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2.xml" ContentType="application/vnd.openxmlformats-officedocument.drawingml.chartshapes+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3.xml" ContentType="application/vnd.openxmlformats-officedocument.drawingml.chartshapes+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4.xml" ContentType="application/vnd.openxmlformats-officedocument.drawingml.chartshapes+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5.xml" ContentType="application/vnd.openxmlformats-officedocument.drawingml.chartshapes+xml"/>
  <Override PartName="/word/charts/chart12.xml" ContentType="application/vnd.openxmlformats-officedocument.drawingml.chart+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3.xml" ContentType="application/vnd.openxmlformats-officedocument.themeOverrid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4.xml" ContentType="application/vnd.openxmlformats-officedocument.themeOverrid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5.xml" ContentType="application/vnd.openxmlformats-officedocument.themeOverrid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6.xml" ContentType="application/vnd.openxmlformats-officedocument.themeOverride+xml"/>
  <Override PartName="/word/drawings/drawing6.xml" ContentType="application/vnd.openxmlformats-officedocument.drawingml.chartshapes+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7.xml" ContentType="application/vnd.openxmlformats-officedocument.themeOverrid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8.xml" ContentType="application/vnd.openxmlformats-officedocument.themeOverride+xml"/>
  <Override PartName="/word/drawings/drawing7.xml" ContentType="application/vnd.openxmlformats-officedocument.drawingml.chartshapes+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9.xml" ContentType="application/vnd.openxmlformats-officedocument.themeOverride+xml"/>
  <Override PartName="/word/drawings/drawing8.xml" ContentType="application/vnd.openxmlformats-officedocument.drawingml.chartshapes+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0.xml" ContentType="application/vnd.openxmlformats-officedocument.themeOverride+xml"/>
  <Override PartName="/word/charts/chart22.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1.xml" ContentType="application/vnd.openxmlformats-officedocument.themeOverride+xml"/>
  <Override PartName="/word/drawings/drawing9.xml" ContentType="application/vnd.openxmlformats-officedocument.drawingml.chartshapes+xml"/>
  <Override PartName="/word/charts/chart23.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2.xml" ContentType="application/vnd.openxmlformats-officedocument.themeOverride+xml"/>
  <Override PartName="/word/charts/chart24.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3.xml" ContentType="application/vnd.openxmlformats-officedocument.themeOverride+xml"/>
  <Override PartName="/word/drawings/drawing10.xml" ContentType="application/vnd.openxmlformats-officedocument.drawingml.chartshapes+xml"/>
  <Override PartName="/word/charts/chart25.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4.xml" ContentType="application/vnd.openxmlformats-officedocument.themeOverride+xml"/>
  <Override PartName="/word/charts/chart26.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5.xml" ContentType="application/vnd.openxmlformats-officedocument.themeOverride+xml"/>
  <Override PartName="/word/drawings/drawing11.xml" ContentType="application/vnd.openxmlformats-officedocument.drawingml.chartshapes+xml"/>
  <Override PartName="/word/charts/chart27.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6.xml" ContentType="application/vnd.openxmlformats-officedocument.themeOverride+xml"/>
  <Override PartName="/word/charts/chart28.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9.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0.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1.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2.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3E46B" w14:textId="77777777" w:rsidR="00D75270" w:rsidRPr="00FD63A6" w:rsidRDefault="00D850F4" w:rsidP="009F1B2B">
      <w:pPr>
        <w:jc w:val="center"/>
        <w:rPr>
          <w:caps/>
          <w:sz w:val="24"/>
          <w:szCs w:val="24"/>
        </w:rPr>
      </w:pPr>
      <w:r w:rsidRPr="00FD63A6">
        <w:rPr>
          <w:caps/>
          <w:sz w:val="24"/>
          <w:szCs w:val="24"/>
        </w:rPr>
        <w:t>University of Oklahoma</w:t>
      </w:r>
    </w:p>
    <w:p w14:paraId="672E99C9" w14:textId="77777777" w:rsidR="00D850F4" w:rsidRPr="00FD63A6" w:rsidRDefault="00D850F4" w:rsidP="00D850F4">
      <w:pPr>
        <w:jc w:val="center"/>
        <w:rPr>
          <w:caps/>
          <w:sz w:val="24"/>
          <w:szCs w:val="24"/>
        </w:rPr>
      </w:pPr>
      <w:r w:rsidRPr="00FD63A6">
        <w:rPr>
          <w:caps/>
          <w:sz w:val="24"/>
          <w:szCs w:val="24"/>
        </w:rPr>
        <w:t>Graduate College</w:t>
      </w:r>
    </w:p>
    <w:p w14:paraId="01CEA7B7" w14:textId="77777777" w:rsidR="00D850F4" w:rsidRPr="00FD63A6" w:rsidRDefault="00D850F4" w:rsidP="00D850F4">
      <w:pPr>
        <w:jc w:val="center"/>
        <w:rPr>
          <w:caps/>
          <w:sz w:val="24"/>
          <w:szCs w:val="24"/>
        </w:rPr>
      </w:pPr>
    </w:p>
    <w:p w14:paraId="7004B5F9" w14:textId="77777777" w:rsidR="00D850F4" w:rsidRPr="00FD63A6" w:rsidRDefault="00D850F4" w:rsidP="00D850F4">
      <w:pPr>
        <w:jc w:val="center"/>
        <w:rPr>
          <w:caps/>
          <w:sz w:val="24"/>
          <w:szCs w:val="24"/>
        </w:rPr>
      </w:pPr>
    </w:p>
    <w:p w14:paraId="7FC60EE3" w14:textId="003DD66A" w:rsidR="00D850F4" w:rsidRPr="00FD63A6" w:rsidRDefault="00D850F4" w:rsidP="00D850F4">
      <w:pPr>
        <w:jc w:val="center"/>
        <w:rPr>
          <w:caps/>
          <w:sz w:val="24"/>
          <w:szCs w:val="24"/>
        </w:rPr>
      </w:pPr>
      <w:r w:rsidRPr="00FD63A6">
        <w:rPr>
          <w:caps/>
          <w:sz w:val="24"/>
          <w:szCs w:val="24"/>
        </w:rPr>
        <w:t>Iron Transport and Removal Dynamics in the Oxidative Unit</w:t>
      </w:r>
      <w:r w:rsidR="00FD63A6" w:rsidRPr="00FD63A6">
        <w:rPr>
          <w:caps/>
          <w:sz w:val="24"/>
          <w:szCs w:val="24"/>
        </w:rPr>
        <w:t>s</w:t>
      </w:r>
      <w:r w:rsidRPr="00FD63A6">
        <w:rPr>
          <w:caps/>
          <w:sz w:val="24"/>
          <w:szCs w:val="24"/>
        </w:rPr>
        <w:t xml:space="preserve"> </w:t>
      </w:r>
    </w:p>
    <w:p w14:paraId="6C360DED" w14:textId="77777777" w:rsidR="00D850F4" w:rsidRPr="00FD63A6" w:rsidRDefault="00D850F4" w:rsidP="00D850F4">
      <w:pPr>
        <w:jc w:val="center"/>
        <w:rPr>
          <w:caps/>
          <w:sz w:val="24"/>
          <w:szCs w:val="24"/>
        </w:rPr>
      </w:pPr>
      <w:r w:rsidRPr="00FD63A6">
        <w:rPr>
          <w:caps/>
          <w:sz w:val="24"/>
          <w:szCs w:val="24"/>
        </w:rPr>
        <w:t>of a Passive Treatment System</w:t>
      </w:r>
    </w:p>
    <w:p w14:paraId="70C139DA" w14:textId="77777777" w:rsidR="00D850F4" w:rsidRPr="00FD63A6" w:rsidRDefault="00D850F4" w:rsidP="00D850F4">
      <w:pPr>
        <w:jc w:val="center"/>
        <w:rPr>
          <w:caps/>
          <w:sz w:val="24"/>
          <w:szCs w:val="24"/>
        </w:rPr>
      </w:pPr>
    </w:p>
    <w:p w14:paraId="3FD54AAB" w14:textId="77777777" w:rsidR="00D850F4" w:rsidRPr="00FD63A6" w:rsidRDefault="00D850F4" w:rsidP="00D850F4">
      <w:pPr>
        <w:jc w:val="center"/>
        <w:rPr>
          <w:caps/>
          <w:sz w:val="24"/>
          <w:szCs w:val="24"/>
        </w:rPr>
      </w:pPr>
    </w:p>
    <w:p w14:paraId="749E604E" w14:textId="77777777" w:rsidR="00D850F4" w:rsidRPr="00FD63A6" w:rsidRDefault="00D850F4" w:rsidP="00D850F4">
      <w:pPr>
        <w:jc w:val="center"/>
        <w:rPr>
          <w:caps/>
          <w:sz w:val="24"/>
          <w:szCs w:val="24"/>
        </w:rPr>
      </w:pPr>
    </w:p>
    <w:p w14:paraId="7AE17689" w14:textId="77777777" w:rsidR="00D850F4" w:rsidRPr="00FD63A6" w:rsidRDefault="00D850F4" w:rsidP="00D850F4">
      <w:pPr>
        <w:jc w:val="center"/>
        <w:rPr>
          <w:caps/>
          <w:sz w:val="24"/>
          <w:szCs w:val="24"/>
        </w:rPr>
      </w:pPr>
    </w:p>
    <w:p w14:paraId="368D5CAE" w14:textId="77777777" w:rsidR="00D850F4" w:rsidRPr="00FD63A6" w:rsidRDefault="00D850F4" w:rsidP="00D850F4">
      <w:pPr>
        <w:jc w:val="center"/>
        <w:rPr>
          <w:caps/>
          <w:sz w:val="24"/>
          <w:szCs w:val="24"/>
        </w:rPr>
      </w:pPr>
    </w:p>
    <w:p w14:paraId="6829633D" w14:textId="77777777" w:rsidR="00D850F4" w:rsidRPr="00FD63A6" w:rsidRDefault="00D850F4" w:rsidP="00D850F4">
      <w:pPr>
        <w:jc w:val="center"/>
        <w:rPr>
          <w:caps/>
          <w:sz w:val="24"/>
          <w:szCs w:val="24"/>
        </w:rPr>
      </w:pPr>
    </w:p>
    <w:p w14:paraId="16D107CF" w14:textId="77777777" w:rsidR="00D850F4" w:rsidRPr="00FD63A6" w:rsidRDefault="00D850F4" w:rsidP="00D850F4">
      <w:pPr>
        <w:jc w:val="center"/>
        <w:rPr>
          <w:caps/>
          <w:sz w:val="24"/>
          <w:szCs w:val="24"/>
        </w:rPr>
      </w:pPr>
      <w:r w:rsidRPr="00FD63A6">
        <w:rPr>
          <w:caps/>
          <w:sz w:val="24"/>
          <w:szCs w:val="24"/>
        </w:rPr>
        <w:t xml:space="preserve">A Dissertation </w:t>
      </w:r>
    </w:p>
    <w:p w14:paraId="6C255235" w14:textId="77777777" w:rsidR="00D850F4" w:rsidRPr="00FD63A6" w:rsidRDefault="00D850F4" w:rsidP="00D850F4">
      <w:pPr>
        <w:jc w:val="center"/>
        <w:rPr>
          <w:caps/>
          <w:sz w:val="24"/>
          <w:szCs w:val="24"/>
        </w:rPr>
      </w:pPr>
      <w:r w:rsidRPr="00FD63A6">
        <w:rPr>
          <w:caps/>
          <w:sz w:val="24"/>
          <w:szCs w:val="24"/>
        </w:rPr>
        <w:t>Submitted to the Graduate Faculty</w:t>
      </w:r>
    </w:p>
    <w:p w14:paraId="6ECFBC6E" w14:textId="285AE910" w:rsidR="00D850F4" w:rsidRPr="00FD63A6" w:rsidRDefault="00147A98" w:rsidP="00D850F4">
      <w:pPr>
        <w:jc w:val="center"/>
        <w:rPr>
          <w:sz w:val="24"/>
          <w:szCs w:val="24"/>
        </w:rPr>
      </w:pPr>
      <w:r>
        <w:rPr>
          <w:sz w:val="24"/>
          <w:szCs w:val="24"/>
        </w:rPr>
        <w:t>i</w:t>
      </w:r>
      <w:r w:rsidR="00D850F4" w:rsidRPr="00FD63A6">
        <w:rPr>
          <w:sz w:val="24"/>
          <w:szCs w:val="24"/>
        </w:rPr>
        <w:t xml:space="preserve">n partial fulfillment of the requirements for the </w:t>
      </w:r>
    </w:p>
    <w:p w14:paraId="327CA77F" w14:textId="77777777" w:rsidR="00D850F4" w:rsidRPr="00FD63A6" w:rsidRDefault="00D850F4" w:rsidP="00D850F4">
      <w:pPr>
        <w:jc w:val="center"/>
        <w:rPr>
          <w:sz w:val="24"/>
          <w:szCs w:val="24"/>
        </w:rPr>
      </w:pPr>
      <w:r w:rsidRPr="00FD63A6">
        <w:rPr>
          <w:sz w:val="24"/>
          <w:szCs w:val="24"/>
        </w:rPr>
        <w:t xml:space="preserve">Degree of </w:t>
      </w:r>
    </w:p>
    <w:p w14:paraId="73327D63" w14:textId="77777777" w:rsidR="00D850F4" w:rsidRPr="00FD63A6" w:rsidRDefault="00D850F4" w:rsidP="00D850F4">
      <w:pPr>
        <w:jc w:val="center"/>
        <w:rPr>
          <w:caps/>
          <w:sz w:val="24"/>
          <w:szCs w:val="24"/>
        </w:rPr>
      </w:pPr>
      <w:r w:rsidRPr="00FD63A6">
        <w:rPr>
          <w:caps/>
          <w:sz w:val="24"/>
          <w:szCs w:val="24"/>
        </w:rPr>
        <w:t>Doctor of Philosophy</w:t>
      </w:r>
    </w:p>
    <w:p w14:paraId="73013F64" w14:textId="77777777" w:rsidR="00D850F4" w:rsidRPr="00FD63A6" w:rsidRDefault="00D850F4" w:rsidP="00D850F4">
      <w:pPr>
        <w:jc w:val="center"/>
        <w:rPr>
          <w:sz w:val="24"/>
          <w:szCs w:val="24"/>
        </w:rPr>
      </w:pPr>
    </w:p>
    <w:p w14:paraId="11E9C60F" w14:textId="77777777" w:rsidR="00D850F4" w:rsidRPr="00FD63A6" w:rsidRDefault="00D850F4" w:rsidP="00D850F4">
      <w:pPr>
        <w:jc w:val="center"/>
        <w:rPr>
          <w:sz w:val="24"/>
          <w:szCs w:val="24"/>
        </w:rPr>
      </w:pPr>
    </w:p>
    <w:p w14:paraId="505FE220" w14:textId="77777777" w:rsidR="00D850F4" w:rsidRPr="00FD63A6" w:rsidRDefault="00D850F4" w:rsidP="00D850F4">
      <w:pPr>
        <w:jc w:val="center"/>
        <w:rPr>
          <w:sz w:val="24"/>
          <w:szCs w:val="24"/>
        </w:rPr>
      </w:pPr>
    </w:p>
    <w:p w14:paraId="0972B3B4" w14:textId="77777777" w:rsidR="00D850F4" w:rsidRPr="00FD63A6" w:rsidRDefault="00D850F4" w:rsidP="00D850F4">
      <w:pPr>
        <w:jc w:val="center"/>
        <w:rPr>
          <w:sz w:val="24"/>
          <w:szCs w:val="24"/>
        </w:rPr>
      </w:pPr>
    </w:p>
    <w:p w14:paraId="1064BE36" w14:textId="77777777" w:rsidR="00D850F4" w:rsidRPr="00FD63A6" w:rsidRDefault="00D850F4" w:rsidP="00D850F4">
      <w:pPr>
        <w:jc w:val="center"/>
        <w:rPr>
          <w:sz w:val="24"/>
          <w:szCs w:val="24"/>
        </w:rPr>
      </w:pPr>
    </w:p>
    <w:p w14:paraId="03E1CB7A" w14:textId="77777777" w:rsidR="00D850F4" w:rsidRPr="00FD63A6" w:rsidRDefault="00D850F4" w:rsidP="00D850F4">
      <w:pPr>
        <w:jc w:val="center"/>
        <w:rPr>
          <w:sz w:val="24"/>
          <w:szCs w:val="24"/>
        </w:rPr>
      </w:pPr>
    </w:p>
    <w:p w14:paraId="0847C118" w14:textId="77777777" w:rsidR="00D850F4" w:rsidRPr="00FD63A6" w:rsidRDefault="00D850F4" w:rsidP="00D850F4">
      <w:pPr>
        <w:jc w:val="center"/>
        <w:rPr>
          <w:sz w:val="24"/>
          <w:szCs w:val="24"/>
        </w:rPr>
      </w:pPr>
    </w:p>
    <w:p w14:paraId="43C76AEB" w14:textId="77777777" w:rsidR="00D850F4" w:rsidRPr="00FD63A6" w:rsidRDefault="00D850F4" w:rsidP="00D850F4">
      <w:pPr>
        <w:jc w:val="center"/>
        <w:rPr>
          <w:sz w:val="24"/>
          <w:szCs w:val="24"/>
        </w:rPr>
      </w:pPr>
      <w:r w:rsidRPr="00FD63A6">
        <w:rPr>
          <w:sz w:val="24"/>
          <w:szCs w:val="24"/>
        </w:rPr>
        <w:t>By</w:t>
      </w:r>
    </w:p>
    <w:p w14:paraId="545D91DC" w14:textId="77777777" w:rsidR="00D850F4" w:rsidRPr="00FD63A6" w:rsidRDefault="00D850F4" w:rsidP="00D850F4">
      <w:pPr>
        <w:spacing w:after="0" w:line="240" w:lineRule="auto"/>
        <w:jc w:val="center"/>
        <w:rPr>
          <w:caps/>
          <w:sz w:val="24"/>
          <w:szCs w:val="24"/>
        </w:rPr>
      </w:pPr>
      <w:r w:rsidRPr="00FD63A6">
        <w:rPr>
          <w:caps/>
          <w:sz w:val="24"/>
          <w:szCs w:val="24"/>
        </w:rPr>
        <w:t>Leah Oxenford</w:t>
      </w:r>
    </w:p>
    <w:p w14:paraId="24B1929E" w14:textId="77777777" w:rsidR="00D850F4" w:rsidRPr="00FD63A6" w:rsidRDefault="00D850F4" w:rsidP="00D850F4">
      <w:pPr>
        <w:spacing w:after="0" w:line="240" w:lineRule="auto"/>
        <w:jc w:val="center"/>
        <w:rPr>
          <w:sz w:val="24"/>
          <w:szCs w:val="24"/>
        </w:rPr>
      </w:pPr>
      <w:r w:rsidRPr="00FD63A6">
        <w:rPr>
          <w:sz w:val="24"/>
          <w:szCs w:val="24"/>
        </w:rPr>
        <w:t>Norman, Oklahoma</w:t>
      </w:r>
    </w:p>
    <w:p w14:paraId="4B528E3D" w14:textId="77777777" w:rsidR="00D850F4" w:rsidRPr="00FD63A6" w:rsidRDefault="00D850F4" w:rsidP="00D850F4">
      <w:pPr>
        <w:spacing w:after="0" w:line="240" w:lineRule="auto"/>
        <w:jc w:val="center"/>
        <w:rPr>
          <w:sz w:val="24"/>
          <w:szCs w:val="24"/>
        </w:rPr>
      </w:pPr>
      <w:r w:rsidRPr="00FD63A6">
        <w:rPr>
          <w:sz w:val="24"/>
          <w:szCs w:val="24"/>
        </w:rPr>
        <w:t>2016</w:t>
      </w:r>
    </w:p>
    <w:p w14:paraId="3927A801" w14:textId="77777777" w:rsidR="00D850F4" w:rsidRDefault="00D850F4" w:rsidP="00D850F4">
      <w:pPr>
        <w:spacing w:after="0" w:line="240" w:lineRule="auto"/>
        <w:jc w:val="center"/>
      </w:pPr>
    </w:p>
    <w:p w14:paraId="41651324" w14:textId="77777777" w:rsidR="00D850F4" w:rsidRDefault="00D850F4" w:rsidP="00D850F4">
      <w:pPr>
        <w:spacing w:after="0" w:line="240" w:lineRule="auto"/>
        <w:jc w:val="center"/>
      </w:pPr>
    </w:p>
    <w:p w14:paraId="5D9C31AE" w14:textId="77777777" w:rsidR="00D850F4" w:rsidRDefault="00D850F4" w:rsidP="00D850F4">
      <w:pPr>
        <w:spacing w:after="0" w:line="240" w:lineRule="auto"/>
        <w:jc w:val="center"/>
      </w:pPr>
    </w:p>
    <w:p w14:paraId="4C2AC5BD" w14:textId="77777777" w:rsidR="00D850F4" w:rsidRDefault="00D850F4" w:rsidP="00D850F4">
      <w:pPr>
        <w:spacing w:after="0" w:line="240" w:lineRule="auto"/>
      </w:pPr>
    </w:p>
    <w:p w14:paraId="1FF0C239" w14:textId="77777777" w:rsidR="00D850F4" w:rsidRDefault="00D850F4" w:rsidP="00D850F4">
      <w:pPr>
        <w:spacing w:after="0" w:line="240" w:lineRule="auto"/>
      </w:pPr>
    </w:p>
    <w:p w14:paraId="7257C106" w14:textId="77777777" w:rsidR="00F72370" w:rsidRDefault="00F72370" w:rsidP="00D850F4">
      <w:pPr>
        <w:spacing w:after="0" w:line="240" w:lineRule="auto"/>
      </w:pPr>
    </w:p>
    <w:p w14:paraId="2B94E57D" w14:textId="77777777" w:rsidR="00F72370" w:rsidRDefault="00F72370" w:rsidP="00D850F4">
      <w:pPr>
        <w:spacing w:after="0" w:line="240" w:lineRule="auto"/>
      </w:pPr>
    </w:p>
    <w:p w14:paraId="0A34ABE1" w14:textId="77777777" w:rsidR="00D850F4" w:rsidRDefault="00D850F4" w:rsidP="00D850F4">
      <w:pPr>
        <w:spacing w:after="0" w:line="240" w:lineRule="auto"/>
      </w:pPr>
    </w:p>
    <w:p w14:paraId="21B28472" w14:textId="72C4A07C" w:rsidR="00D850F4" w:rsidRDefault="00D850F4" w:rsidP="00D850F4">
      <w:pPr>
        <w:jc w:val="center"/>
        <w:rPr>
          <w:caps/>
        </w:rPr>
      </w:pPr>
      <w:r w:rsidRPr="00D850F4">
        <w:rPr>
          <w:caps/>
        </w:rPr>
        <w:t>Iron Transport and Removal Dynamics in the Oxidative Unit</w:t>
      </w:r>
      <w:r w:rsidR="00FD63A6">
        <w:rPr>
          <w:caps/>
        </w:rPr>
        <w:t>s</w:t>
      </w:r>
      <w:r w:rsidRPr="00D850F4">
        <w:rPr>
          <w:caps/>
        </w:rPr>
        <w:t xml:space="preserve"> </w:t>
      </w:r>
    </w:p>
    <w:p w14:paraId="588FDB9C" w14:textId="77777777" w:rsidR="00D850F4" w:rsidRPr="00D850F4" w:rsidRDefault="00D850F4" w:rsidP="00D850F4">
      <w:pPr>
        <w:jc w:val="center"/>
        <w:rPr>
          <w:caps/>
        </w:rPr>
      </w:pPr>
      <w:r w:rsidRPr="00D850F4">
        <w:rPr>
          <w:caps/>
        </w:rPr>
        <w:t>of a Passive Treatment System</w:t>
      </w:r>
    </w:p>
    <w:p w14:paraId="21E8D37B" w14:textId="77777777" w:rsidR="00D850F4" w:rsidRDefault="00D850F4" w:rsidP="00D850F4">
      <w:pPr>
        <w:spacing w:after="0" w:line="240" w:lineRule="auto"/>
        <w:jc w:val="center"/>
      </w:pPr>
    </w:p>
    <w:p w14:paraId="7C05C70F" w14:textId="77777777" w:rsidR="00D850F4" w:rsidRPr="00F72370" w:rsidRDefault="00D850F4" w:rsidP="00D850F4">
      <w:pPr>
        <w:spacing w:after="0" w:line="240" w:lineRule="auto"/>
        <w:jc w:val="center"/>
        <w:rPr>
          <w:caps/>
        </w:rPr>
      </w:pPr>
      <w:r w:rsidRPr="00F72370">
        <w:rPr>
          <w:caps/>
        </w:rPr>
        <w:t xml:space="preserve">A dissertation approved for the </w:t>
      </w:r>
    </w:p>
    <w:p w14:paraId="04B27F31" w14:textId="77777777" w:rsidR="00D850F4" w:rsidRPr="00F72370" w:rsidRDefault="00D850F4" w:rsidP="00D850F4">
      <w:pPr>
        <w:spacing w:after="0" w:line="240" w:lineRule="auto"/>
        <w:jc w:val="center"/>
        <w:rPr>
          <w:caps/>
          <w:sz w:val="23"/>
          <w:szCs w:val="23"/>
        </w:rPr>
      </w:pPr>
      <w:r w:rsidRPr="00F72370">
        <w:rPr>
          <w:caps/>
          <w:sz w:val="23"/>
          <w:szCs w:val="23"/>
        </w:rPr>
        <w:t>SCHOOL OF CIVIL ENGINEERING AND ENVIRONMENTAL SCIENCE</w:t>
      </w:r>
    </w:p>
    <w:p w14:paraId="4EC62E47" w14:textId="77777777" w:rsidR="00F72370" w:rsidRPr="00F72370" w:rsidRDefault="00F72370" w:rsidP="00D850F4">
      <w:pPr>
        <w:spacing w:after="0" w:line="240" w:lineRule="auto"/>
        <w:jc w:val="center"/>
        <w:rPr>
          <w:caps/>
          <w:sz w:val="23"/>
          <w:szCs w:val="23"/>
        </w:rPr>
      </w:pPr>
    </w:p>
    <w:p w14:paraId="23EA2B78" w14:textId="77777777" w:rsidR="00F72370" w:rsidRPr="00F72370" w:rsidRDefault="00F72370" w:rsidP="00D850F4">
      <w:pPr>
        <w:spacing w:after="0" w:line="240" w:lineRule="auto"/>
        <w:jc w:val="center"/>
        <w:rPr>
          <w:caps/>
          <w:sz w:val="23"/>
          <w:szCs w:val="23"/>
        </w:rPr>
      </w:pPr>
    </w:p>
    <w:p w14:paraId="69924D9E" w14:textId="77777777" w:rsidR="00F72370" w:rsidRPr="00F72370" w:rsidRDefault="00F72370" w:rsidP="00D850F4">
      <w:pPr>
        <w:spacing w:after="0" w:line="240" w:lineRule="auto"/>
        <w:jc w:val="center"/>
        <w:rPr>
          <w:caps/>
          <w:sz w:val="23"/>
          <w:szCs w:val="23"/>
        </w:rPr>
      </w:pPr>
    </w:p>
    <w:p w14:paraId="2CB89AFD" w14:textId="77777777" w:rsidR="00F72370" w:rsidRPr="00F72370" w:rsidRDefault="00F72370" w:rsidP="00D850F4">
      <w:pPr>
        <w:spacing w:after="0" w:line="240" w:lineRule="auto"/>
        <w:jc w:val="center"/>
        <w:rPr>
          <w:caps/>
          <w:sz w:val="23"/>
          <w:szCs w:val="23"/>
        </w:rPr>
      </w:pPr>
    </w:p>
    <w:p w14:paraId="411EA7AA" w14:textId="77777777" w:rsidR="00F72370" w:rsidRPr="00F72370" w:rsidRDefault="00F72370" w:rsidP="00D850F4">
      <w:pPr>
        <w:spacing w:after="0" w:line="240" w:lineRule="auto"/>
        <w:jc w:val="center"/>
        <w:rPr>
          <w:caps/>
          <w:sz w:val="23"/>
          <w:szCs w:val="23"/>
        </w:rPr>
      </w:pPr>
    </w:p>
    <w:p w14:paraId="5012F0BC" w14:textId="77777777" w:rsidR="00F72370" w:rsidRPr="00F72370" w:rsidRDefault="00F72370" w:rsidP="00D850F4">
      <w:pPr>
        <w:spacing w:after="0" w:line="240" w:lineRule="auto"/>
        <w:jc w:val="center"/>
        <w:rPr>
          <w:caps/>
          <w:sz w:val="23"/>
          <w:szCs w:val="23"/>
        </w:rPr>
      </w:pPr>
      <w:r w:rsidRPr="00F72370">
        <w:rPr>
          <w:caps/>
          <w:sz w:val="23"/>
          <w:szCs w:val="23"/>
        </w:rPr>
        <w:t>BY</w:t>
      </w:r>
    </w:p>
    <w:p w14:paraId="01AA3D2F" w14:textId="4B2C05A9" w:rsidR="00F72370" w:rsidRDefault="00F72370" w:rsidP="00D850F4">
      <w:pPr>
        <w:spacing w:after="0" w:line="240" w:lineRule="auto"/>
        <w:jc w:val="center"/>
        <w:rPr>
          <w:sz w:val="23"/>
          <w:szCs w:val="23"/>
        </w:rPr>
      </w:pPr>
    </w:p>
    <w:p w14:paraId="72E1FC35" w14:textId="0A2C98FC" w:rsidR="00C87A7A" w:rsidRDefault="00C87A7A" w:rsidP="00D850F4">
      <w:pPr>
        <w:spacing w:after="0" w:line="240" w:lineRule="auto"/>
        <w:jc w:val="center"/>
        <w:rPr>
          <w:sz w:val="23"/>
          <w:szCs w:val="23"/>
        </w:rPr>
      </w:pPr>
    </w:p>
    <w:p w14:paraId="6BF5B4A4" w14:textId="4C1FE127" w:rsidR="00C87A7A" w:rsidRDefault="00C87A7A" w:rsidP="00D850F4">
      <w:pPr>
        <w:spacing w:after="0" w:line="240" w:lineRule="auto"/>
        <w:jc w:val="center"/>
        <w:rPr>
          <w:sz w:val="23"/>
          <w:szCs w:val="23"/>
        </w:rPr>
      </w:pPr>
    </w:p>
    <w:p w14:paraId="7E0D6C75" w14:textId="77777777" w:rsidR="00C87A7A" w:rsidRDefault="00C87A7A" w:rsidP="00D850F4">
      <w:pPr>
        <w:spacing w:after="0" w:line="240" w:lineRule="auto"/>
        <w:jc w:val="center"/>
        <w:rPr>
          <w:sz w:val="23"/>
          <w:szCs w:val="23"/>
        </w:rPr>
      </w:pPr>
    </w:p>
    <w:p w14:paraId="7AF9E23A" w14:textId="77777777" w:rsidR="00F72370" w:rsidRDefault="00F72370" w:rsidP="00D850F4">
      <w:pPr>
        <w:spacing w:after="0" w:line="240" w:lineRule="auto"/>
        <w:jc w:val="center"/>
        <w:rPr>
          <w:sz w:val="23"/>
          <w:szCs w:val="23"/>
        </w:rPr>
      </w:pPr>
    </w:p>
    <w:p w14:paraId="5F68C714" w14:textId="77777777" w:rsidR="00F72370" w:rsidRDefault="00F72370" w:rsidP="00F72370">
      <w:pPr>
        <w:spacing w:after="0" w:line="240" w:lineRule="auto"/>
        <w:jc w:val="right"/>
        <w:rPr>
          <w:sz w:val="23"/>
          <w:szCs w:val="23"/>
        </w:rPr>
      </w:pPr>
      <w:r>
        <w:rPr>
          <w:sz w:val="23"/>
          <w:szCs w:val="23"/>
        </w:rPr>
        <w:t>______________________________________</w:t>
      </w:r>
    </w:p>
    <w:p w14:paraId="51AA20F5" w14:textId="77777777" w:rsidR="00F72370" w:rsidRDefault="00F72370" w:rsidP="00F72370">
      <w:pPr>
        <w:spacing w:after="0" w:line="240" w:lineRule="auto"/>
        <w:jc w:val="right"/>
      </w:pPr>
      <w:r>
        <w:t xml:space="preserve">Dr. Robert </w:t>
      </w:r>
      <w:proofErr w:type="spellStart"/>
      <w:r>
        <w:t>Nairn</w:t>
      </w:r>
      <w:proofErr w:type="spellEnd"/>
      <w:r>
        <w:t>, Chair</w:t>
      </w:r>
    </w:p>
    <w:p w14:paraId="70AA75AA" w14:textId="61C107CA" w:rsidR="00F72370" w:rsidRDefault="00F72370" w:rsidP="00C87A7A">
      <w:pPr>
        <w:spacing w:after="0" w:line="240" w:lineRule="auto"/>
      </w:pPr>
    </w:p>
    <w:p w14:paraId="5670DF9C" w14:textId="77777777" w:rsidR="00F72370" w:rsidRDefault="00F72370" w:rsidP="00F72370">
      <w:pPr>
        <w:spacing w:after="0" w:line="240" w:lineRule="auto"/>
        <w:jc w:val="right"/>
      </w:pPr>
    </w:p>
    <w:p w14:paraId="433F5065" w14:textId="77777777" w:rsidR="00F72370" w:rsidRDefault="00F72370" w:rsidP="00F72370">
      <w:pPr>
        <w:spacing w:after="0" w:line="240" w:lineRule="auto"/>
        <w:jc w:val="right"/>
        <w:rPr>
          <w:sz w:val="23"/>
          <w:szCs w:val="23"/>
        </w:rPr>
      </w:pPr>
      <w:r>
        <w:rPr>
          <w:sz w:val="23"/>
          <w:szCs w:val="23"/>
        </w:rPr>
        <w:t>______________________________________</w:t>
      </w:r>
    </w:p>
    <w:p w14:paraId="6EFBFBAB" w14:textId="77777777" w:rsidR="00F72370" w:rsidRDefault="00F72370" w:rsidP="00F72370">
      <w:pPr>
        <w:spacing w:after="0" w:line="240" w:lineRule="auto"/>
        <w:jc w:val="right"/>
      </w:pPr>
      <w:r>
        <w:t>Dr. Elizabeth Butler</w:t>
      </w:r>
    </w:p>
    <w:p w14:paraId="248FBA55" w14:textId="36531F47" w:rsidR="00F72370" w:rsidRDefault="00F72370" w:rsidP="00C87A7A">
      <w:pPr>
        <w:spacing w:after="0" w:line="240" w:lineRule="auto"/>
      </w:pPr>
    </w:p>
    <w:p w14:paraId="38EC1C81" w14:textId="77777777" w:rsidR="00F72370" w:rsidRDefault="00F72370" w:rsidP="00F72370">
      <w:pPr>
        <w:spacing w:after="0" w:line="240" w:lineRule="auto"/>
        <w:jc w:val="right"/>
      </w:pPr>
    </w:p>
    <w:p w14:paraId="550E6198" w14:textId="77777777" w:rsidR="00F72370" w:rsidRDefault="00F72370" w:rsidP="00F72370">
      <w:pPr>
        <w:spacing w:after="0" w:line="240" w:lineRule="auto"/>
        <w:jc w:val="right"/>
        <w:rPr>
          <w:sz w:val="23"/>
          <w:szCs w:val="23"/>
        </w:rPr>
      </w:pPr>
      <w:r>
        <w:rPr>
          <w:sz w:val="23"/>
          <w:szCs w:val="23"/>
        </w:rPr>
        <w:t>______________________________________</w:t>
      </w:r>
    </w:p>
    <w:p w14:paraId="23C2F12B" w14:textId="77777777" w:rsidR="00F72370" w:rsidRDefault="00F72370" w:rsidP="00F72370">
      <w:pPr>
        <w:spacing w:after="0" w:line="240" w:lineRule="auto"/>
        <w:jc w:val="right"/>
      </w:pPr>
      <w:r>
        <w:t>Dr. Andrew Madden</w:t>
      </w:r>
    </w:p>
    <w:p w14:paraId="181A73C6" w14:textId="0B9A3C71" w:rsidR="00F72370" w:rsidRDefault="00F72370" w:rsidP="00C87A7A">
      <w:pPr>
        <w:spacing w:after="0" w:line="240" w:lineRule="auto"/>
      </w:pPr>
    </w:p>
    <w:p w14:paraId="49D82D99" w14:textId="77777777" w:rsidR="00F72370" w:rsidRDefault="00F72370" w:rsidP="00F72370">
      <w:pPr>
        <w:spacing w:after="0" w:line="240" w:lineRule="auto"/>
        <w:jc w:val="right"/>
      </w:pPr>
    </w:p>
    <w:p w14:paraId="055A290B" w14:textId="77777777" w:rsidR="00F72370" w:rsidRDefault="00F72370" w:rsidP="00F72370">
      <w:pPr>
        <w:spacing w:after="0" w:line="240" w:lineRule="auto"/>
        <w:jc w:val="right"/>
        <w:rPr>
          <w:sz w:val="23"/>
          <w:szCs w:val="23"/>
        </w:rPr>
      </w:pPr>
      <w:r>
        <w:rPr>
          <w:sz w:val="23"/>
          <w:szCs w:val="23"/>
        </w:rPr>
        <w:t>______________________________________</w:t>
      </w:r>
    </w:p>
    <w:p w14:paraId="6EE53208" w14:textId="77777777" w:rsidR="00F72370" w:rsidRDefault="00F72370" w:rsidP="00F72370">
      <w:pPr>
        <w:spacing w:after="0" w:line="240" w:lineRule="auto"/>
        <w:jc w:val="right"/>
      </w:pPr>
      <w:r>
        <w:t>Dr. David Sabatini</w:t>
      </w:r>
    </w:p>
    <w:p w14:paraId="1E904508" w14:textId="11735B47" w:rsidR="00F72370" w:rsidRDefault="00F72370" w:rsidP="00C87A7A">
      <w:pPr>
        <w:spacing w:after="0" w:line="240" w:lineRule="auto"/>
      </w:pPr>
    </w:p>
    <w:p w14:paraId="1FB4FA4E" w14:textId="77777777" w:rsidR="00F72370" w:rsidRDefault="00F72370" w:rsidP="00F72370">
      <w:pPr>
        <w:spacing w:after="0" w:line="240" w:lineRule="auto"/>
        <w:jc w:val="right"/>
      </w:pPr>
    </w:p>
    <w:p w14:paraId="7CF3573A" w14:textId="77777777" w:rsidR="00F72370" w:rsidRDefault="00F72370" w:rsidP="00F72370">
      <w:pPr>
        <w:spacing w:after="0" w:line="240" w:lineRule="auto"/>
        <w:jc w:val="right"/>
        <w:rPr>
          <w:sz w:val="23"/>
          <w:szCs w:val="23"/>
        </w:rPr>
      </w:pPr>
      <w:r>
        <w:rPr>
          <w:sz w:val="23"/>
          <w:szCs w:val="23"/>
        </w:rPr>
        <w:t>______________________________________</w:t>
      </w:r>
    </w:p>
    <w:p w14:paraId="1E66448F" w14:textId="77777777" w:rsidR="00F72370" w:rsidRDefault="00F72370" w:rsidP="00F72370">
      <w:pPr>
        <w:spacing w:after="0" w:line="240" w:lineRule="auto"/>
        <w:jc w:val="right"/>
      </w:pPr>
      <w:r>
        <w:t xml:space="preserve">Dr. Keith </w:t>
      </w:r>
      <w:proofErr w:type="spellStart"/>
      <w:r>
        <w:t>Strevett</w:t>
      </w:r>
      <w:proofErr w:type="spellEnd"/>
    </w:p>
    <w:p w14:paraId="5460D86C" w14:textId="77777777" w:rsidR="00F72370" w:rsidRDefault="00F72370" w:rsidP="00F72370">
      <w:pPr>
        <w:spacing w:after="0" w:line="240" w:lineRule="auto"/>
        <w:jc w:val="right"/>
      </w:pPr>
    </w:p>
    <w:p w14:paraId="225B8319" w14:textId="77777777" w:rsidR="00F72370" w:rsidRDefault="00F72370" w:rsidP="00F72370">
      <w:pPr>
        <w:spacing w:after="0" w:line="240" w:lineRule="auto"/>
        <w:jc w:val="right"/>
      </w:pPr>
    </w:p>
    <w:p w14:paraId="2BC12415" w14:textId="77777777" w:rsidR="00F72370" w:rsidRPr="00F72370" w:rsidRDefault="00F72370" w:rsidP="00F72370">
      <w:pPr>
        <w:spacing w:after="0" w:line="240" w:lineRule="auto"/>
        <w:jc w:val="right"/>
        <w:rPr>
          <w:sz w:val="23"/>
          <w:szCs w:val="23"/>
        </w:rPr>
      </w:pPr>
    </w:p>
    <w:p w14:paraId="2B9216D7" w14:textId="77777777" w:rsidR="00F72370" w:rsidRDefault="00F72370" w:rsidP="00F72370">
      <w:pPr>
        <w:spacing w:after="0" w:line="240" w:lineRule="auto"/>
        <w:jc w:val="right"/>
      </w:pPr>
    </w:p>
    <w:p w14:paraId="1E830E73" w14:textId="77777777" w:rsidR="00F72370" w:rsidRDefault="00F72370" w:rsidP="00F72370">
      <w:pPr>
        <w:spacing w:after="0" w:line="240" w:lineRule="auto"/>
        <w:jc w:val="right"/>
      </w:pPr>
    </w:p>
    <w:p w14:paraId="24CE0B2D" w14:textId="77777777" w:rsidR="00F72370" w:rsidRDefault="00F72370" w:rsidP="00F72370">
      <w:pPr>
        <w:spacing w:after="0" w:line="240" w:lineRule="auto"/>
        <w:jc w:val="right"/>
      </w:pPr>
    </w:p>
    <w:p w14:paraId="0F8F7612" w14:textId="77777777" w:rsidR="00F72370" w:rsidRDefault="00F72370" w:rsidP="00F72370">
      <w:pPr>
        <w:spacing w:after="0" w:line="240" w:lineRule="auto"/>
        <w:jc w:val="center"/>
      </w:pPr>
    </w:p>
    <w:p w14:paraId="0DB15746" w14:textId="77777777" w:rsidR="00F72370" w:rsidRDefault="00F72370" w:rsidP="00F72370">
      <w:pPr>
        <w:spacing w:after="0" w:line="240" w:lineRule="auto"/>
        <w:jc w:val="center"/>
      </w:pPr>
    </w:p>
    <w:p w14:paraId="676DDDE3" w14:textId="77777777" w:rsidR="00F72370" w:rsidRDefault="00F72370" w:rsidP="00F72370">
      <w:pPr>
        <w:spacing w:after="0" w:line="240" w:lineRule="auto"/>
        <w:jc w:val="center"/>
      </w:pPr>
    </w:p>
    <w:p w14:paraId="7CE635E9" w14:textId="77777777" w:rsidR="00F72370" w:rsidRDefault="00F72370" w:rsidP="00F72370">
      <w:pPr>
        <w:spacing w:after="0" w:line="240" w:lineRule="auto"/>
        <w:jc w:val="center"/>
      </w:pPr>
    </w:p>
    <w:p w14:paraId="26AF33CB" w14:textId="77777777" w:rsidR="00F72370" w:rsidRDefault="00F72370" w:rsidP="00F72370">
      <w:pPr>
        <w:spacing w:after="0" w:line="240" w:lineRule="auto"/>
        <w:jc w:val="center"/>
      </w:pPr>
    </w:p>
    <w:p w14:paraId="2A62A7DF" w14:textId="77777777" w:rsidR="00F72370" w:rsidRDefault="00F72370" w:rsidP="00F72370">
      <w:pPr>
        <w:spacing w:after="0" w:line="240" w:lineRule="auto"/>
        <w:jc w:val="center"/>
      </w:pPr>
    </w:p>
    <w:p w14:paraId="25CEE789" w14:textId="77777777" w:rsidR="00F72370" w:rsidRDefault="00F72370" w:rsidP="00F72370">
      <w:pPr>
        <w:spacing w:after="0" w:line="240" w:lineRule="auto"/>
        <w:jc w:val="center"/>
      </w:pPr>
    </w:p>
    <w:p w14:paraId="0D953E3A" w14:textId="77777777" w:rsidR="00F72370" w:rsidRDefault="00F72370" w:rsidP="00F72370">
      <w:pPr>
        <w:spacing w:after="0" w:line="240" w:lineRule="auto"/>
        <w:jc w:val="center"/>
      </w:pPr>
    </w:p>
    <w:p w14:paraId="3180E72D" w14:textId="77777777" w:rsidR="00F72370" w:rsidRDefault="00F72370" w:rsidP="00F72370">
      <w:pPr>
        <w:spacing w:after="0" w:line="240" w:lineRule="auto"/>
        <w:jc w:val="center"/>
      </w:pPr>
    </w:p>
    <w:p w14:paraId="3931745A" w14:textId="77777777" w:rsidR="00F72370" w:rsidRDefault="00F72370" w:rsidP="00F72370">
      <w:pPr>
        <w:spacing w:after="0" w:line="240" w:lineRule="auto"/>
        <w:jc w:val="center"/>
      </w:pPr>
    </w:p>
    <w:p w14:paraId="394973B7" w14:textId="77777777" w:rsidR="00F72370" w:rsidRDefault="00F72370" w:rsidP="00F72370">
      <w:pPr>
        <w:spacing w:after="0" w:line="240" w:lineRule="auto"/>
        <w:jc w:val="center"/>
      </w:pPr>
    </w:p>
    <w:p w14:paraId="51E91736" w14:textId="77777777" w:rsidR="00F72370" w:rsidRDefault="00F72370" w:rsidP="00F72370">
      <w:pPr>
        <w:spacing w:after="0" w:line="240" w:lineRule="auto"/>
        <w:jc w:val="center"/>
      </w:pPr>
    </w:p>
    <w:p w14:paraId="762C4363" w14:textId="77777777" w:rsidR="00F72370" w:rsidRDefault="00F72370" w:rsidP="00F72370">
      <w:pPr>
        <w:spacing w:after="0" w:line="240" w:lineRule="auto"/>
        <w:jc w:val="center"/>
      </w:pPr>
    </w:p>
    <w:p w14:paraId="1B2225D4" w14:textId="77777777" w:rsidR="00F72370" w:rsidRDefault="00F72370" w:rsidP="00F72370">
      <w:pPr>
        <w:spacing w:after="0" w:line="240" w:lineRule="auto"/>
        <w:jc w:val="center"/>
      </w:pPr>
    </w:p>
    <w:p w14:paraId="0811E90C" w14:textId="77777777" w:rsidR="00F72370" w:rsidRDefault="00F72370" w:rsidP="00F72370">
      <w:pPr>
        <w:spacing w:after="0" w:line="240" w:lineRule="auto"/>
        <w:jc w:val="center"/>
      </w:pPr>
    </w:p>
    <w:p w14:paraId="32261939" w14:textId="77777777" w:rsidR="00F72370" w:rsidRDefault="00F72370" w:rsidP="00F72370">
      <w:pPr>
        <w:spacing w:after="0" w:line="240" w:lineRule="auto"/>
        <w:jc w:val="center"/>
      </w:pPr>
    </w:p>
    <w:p w14:paraId="7AA26B75" w14:textId="77777777" w:rsidR="00F72370" w:rsidRDefault="00F72370" w:rsidP="00F72370">
      <w:pPr>
        <w:spacing w:after="0" w:line="240" w:lineRule="auto"/>
        <w:jc w:val="center"/>
      </w:pPr>
    </w:p>
    <w:p w14:paraId="440159D8" w14:textId="77777777" w:rsidR="00F72370" w:rsidRDefault="00F72370" w:rsidP="00F72370">
      <w:pPr>
        <w:spacing w:after="0" w:line="240" w:lineRule="auto"/>
        <w:jc w:val="center"/>
      </w:pPr>
    </w:p>
    <w:p w14:paraId="02E09481" w14:textId="77777777" w:rsidR="00F72370" w:rsidRDefault="00F72370" w:rsidP="00F72370">
      <w:pPr>
        <w:spacing w:after="0" w:line="240" w:lineRule="auto"/>
        <w:jc w:val="center"/>
      </w:pPr>
    </w:p>
    <w:p w14:paraId="7CADD4F4" w14:textId="77777777" w:rsidR="00F72370" w:rsidRDefault="00F72370" w:rsidP="00F72370">
      <w:pPr>
        <w:spacing w:after="0" w:line="240" w:lineRule="auto"/>
        <w:jc w:val="center"/>
      </w:pPr>
    </w:p>
    <w:p w14:paraId="33CF8869" w14:textId="77777777" w:rsidR="00F72370" w:rsidRDefault="00F72370" w:rsidP="00F72370">
      <w:pPr>
        <w:spacing w:after="0" w:line="240" w:lineRule="auto"/>
        <w:jc w:val="center"/>
      </w:pPr>
    </w:p>
    <w:p w14:paraId="3BB0E09D" w14:textId="77777777" w:rsidR="00F72370" w:rsidRDefault="00F72370" w:rsidP="00F72370">
      <w:pPr>
        <w:spacing w:after="0" w:line="240" w:lineRule="auto"/>
        <w:jc w:val="center"/>
      </w:pPr>
    </w:p>
    <w:p w14:paraId="0BA5B0EB" w14:textId="77777777" w:rsidR="00F72370" w:rsidRDefault="00F72370" w:rsidP="00F72370">
      <w:pPr>
        <w:spacing w:after="0" w:line="240" w:lineRule="auto"/>
        <w:jc w:val="center"/>
      </w:pPr>
    </w:p>
    <w:p w14:paraId="6E80DE97" w14:textId="77777777" w:rsidR="00F72370" w:rsidRDefault="00F72370" w:rsidP="00F72370">
      <w:pPr>
        <w:spacing w:after="0" w:line="240" w:lineRule="auto"/>
        <w:jc w:val="center"/>
      </w:pPr>
    </w:p>
    <w:p w14:paraId="60E84209" w14:textId="77777777" w:rsidR="00F72370" w:rsidRDefault="00F72370" w:rsidP="00F72370">
      <w:pPr>
        <w:spacing w:after="0" w:line="240" w:lineRule="auto"/>
        <w:jc w:val="center"/>
      </w:pPr>
    </w:p>
    <w:p w14:paraId="493A44C9" w14:textId="77777777" w:rsidR="00F72370" w:rsidRDefault="00F72370" w:rsidP="00F72370">
      <w:pPr>
        <w:spacing w:after="0" w:line="240" w:lineRule="auto"/>
        <w:jc w:val="center"/>
      </w:pPr>
    </w:p>
    <w:p w14:paraId="5B6DB3FA" w14:textId="77777777" w:rsidR="00F72370" w:rsidRDefault="00F72370" w:rsidP="00F72370">
      <w:pPr>
        <w:spacing w:after="0" w:line="240" w:lineRule="auto"/>
        <w:jc w:val="center"/>
      </w:pPr>
    </w:p>
    <w:p w14:paraId="1A9E594F" w14:textId="77777777" w:rsidR="00F72370" w:rsidRDefault="00F72370" w:rsidP="00F72370">
      <w:pPr>
        <w:spacing w:after="0" w:line="240" w:lineRule="auto"/>
        <w:jc w:val="center"/>
      </w:pPr>
    </w:p>
    <w:p w14:paraId="47D4FD39" w14:textId="77777777" w:rsidR="00F72370" w:rsidRDefault="00F72370" w:rsidP="00F72370">
      <w:pPr>
        <w:spacing w:after="0" w:line="240" w:lineRule="auto"/>
        <w:jc w:val="center"/>
      </w:pPr>
    </w:p>
    <w:p w14:paraId="51033F29" w14:textId="77777777" w:rsidR="00F72370" w:rsidRDefault="00F72370" w:rsidP="00F72370">
      <w:pPr>
        <w:spacing w:after="0" w:line="240" w:lineRule="auto"/>
        <w:jc w:val="center"/>
      </w:pPr>
    </w:p>
    <w:p w14:paraId="049ADE5E" w14:textId="77777777" w:rsidR="00F72370" w:rsidRDefault="00F72370" w:rsidP="00F72370">
      <w:pPr>
        <w:spacing w:after="0" w:line="240" w:lineRule="auto"/>
        <w:jc w:val="center"/>
      </w:pPr>
    </w:p>
    <w:p w14:paraId="445160CA" w14:textId="77777777" w:rsidR="00F72370" w:rsidRDefault="00F72370" w:rsidP="00F72370">
      <w:pPr>
        <w:spacing w:after="0" w:line="240" w:lineRule="auto"/>
        <w:jc w:val="center"/>
      </w:pPr>
    </w:p>
    <w:p w14:paraId="00FAF868" w14:textId="77777777" w:rsidR="00F72370" w:rsidRDefault="00F72370" w:rsidP="00F72370">
      <w:pPr>
        <w:spacing w:after="0" w:line="240" w:lineRule="auto"/>
        <w:jc w:val="center"/>
      </w:pPr>
    </w:p>
    <w:p w14:paraId="37186B26" w14:textId="77777777" w:rsidR="00F72370" w:rsidRDefault="00F72370" w:rsidP="00F72370">
      <w:pPr>
        <w:spacing w:after="0" w:line="240" w:lineRule="auto"/>
        <w:jc w:val="center"/>
      </w:pPr>
    </w:p>
    <w:p w14:paraId="3ED36194" w14:textId="77777777" w:rsidR="00F72370" w:rsidRDefault="00F72370" w:rsidP="00F72370">
      <w:pPr>
        <w:spacing w:after="0" w:line="240" w:lineRule="auto"/>
        <w:jc w:val="center"/>
      </w:pPr>
    </w:p>
    <w:p w14:paraId="4E5348BA" w14:textId="77777777" w:rsidR="00F72370" w:rsidRDefault="00F72370" w:rsidP="00F72370">
      <w:pPr>
        <w:spacing w:after="0" w:line="240" w:lineRule="auto"/>
        <w:jc w:val="center"/>
      </w:pPr>
    </w:p>
    <w:p w14:paraId="6C19D8DD" w14:textId="77777777" w:rsidR="00F72370" w:rsidRDefault="00F72370" w:rsidP="00F72370">
      <w:pPr>
        <w:spacing w:after="0" w:line="240" w:lineRule="auto"/>
        <w:jc w:val="center"/>
      </w:pPr>
    </w:p>
    <w:p w14:paraId="36A1998F" w14:textId="77777777" w:rsidR="00F72370" w:rsidRDefault="00F72370" w:rsidP="00F72370">
      <w:pPr>
        <w:spacing w:after="0" w:line="240" w:lineRule="auto"/>
        <w:jc w:val="center"/>
      </w:pPr>
    </w:p>
    <w:p w14:paraId="708CE5C7" w14:textId="77777777" w:rsidR="00F72370" w:rsidRDefault="00F72370" w:rsidP="00F72370">
      <w:pPr>
        <w:spacing w:after="0" w:line="240" w:lineRule="auto"/>
        <w:jc w:val="center"/>
      </w:pPr>
    </w:p>
    <w:p w14:paraId="1126AC82" w14:textId="1C7BD9CD" w:rsidR="00F72370" w:rsidRDefault="00F72370" w:rsidP="00FD63A6">
      <w:pPr>
        <w:spacing w:after="0" w:line="240" w:lineRule="auto"/>
      </w:pPr>
    </w:p>
    <w:p w14:paraId="13B4B39F" w14:textId="77777777" w:rsidR="00F72370" w:rsidRDefault="00F72370" w:rsidP="00F72370">
      <w:pPr>
        <w:spacing w:after="0" w:line="240" w:lineRule="auto"/>
        <w:jc w:val="center"/>
      </w:pPr>
    </w:p>
    <w:p w14:paraId="08E67940" w14:textId="69C5A4E9" w:rsidR="00F72370" w:rsidRPr="00FD63A6" w:rsidRDefault="00F72370" w:rsidP="00FD63A6">
      <w:pPr>
        <w:spacing w:after="0" w:line="240" w:lineRule="auto"/>
        <w:rPr>
          <w:sz w:val="24"/>
          <w:szCs w:val="24"/>
        </w:rPr>
      </w:pPr>
    </w:p>
    <w:p w14:paraId="0CC63491" w14:textId="77777777" w:rsidR="00F72370" w:rsidRPr="00FD63A6" w:rsidRDefault="00F72370" w:rsidP="00F72370">
      <w:pPr>
        <w:spacing w:after="0" w:line="240" w:lineRule="auto"/>
        <w:jc w:val="center"/>
        <w:rPr>
          <w:sz w:val="24"/>
          <w:szCs w:val="24"/>
        </w:rPr>
      </w:pPr>
      <w:r w:rsidRPr="00FD63A6">
        <w:rPr>
          <w:rFonts w:cstheme="minorHAnsi"/>
          <w:sz w:val="24"/>
          <w:szCs w:val="24"/>
        </w:rPr>
        <w:t>©</w:t>
      </w:r>
      <w:r w:rsidRPr="00FD63A6">
        <w:rPr>
          <w:sz w:val="24"/>
          <w:szCs w:val="24"/>
        </w:rPr>
        <w:t xml:space="preserve"> Copyright by LEAH OXENFORD 2016</w:t>
      </w:r>
    </w:p>
    <w:p w14:paraId="2ADB4783" w14:textId="136B31A5" w:rsidR="00830DB5" w:rsidRPr="00FD63A6" w:rsidRDefault="00F72370" w:rsidP="00F72370">
      <w:pPr>
        <w:spacing w:after="0" w:line="240" w:lineRule="auto"/>
        <w:jc w:val="center"/>
        <w:rPr>
          <w:sz w:val="24"/>
          <w:szCs w:val="24"/>
        </w:rPr>
        <w:sectPr w:rsidR="00830DB5" w:rsidRPr="00FD63A6">
          <w:footerReference w:type="default" r:id="rId8"/>
          <w:pgSz w:w="12240" w:h="15840"/>
          <w:pgMar w:top="1440" w:right="1440" w:bottom="1440" w:left="1440" w:header="720" w:footer="720" w:gutter="0"/>
          <w:cols w:space="720"/>
          <w:docGrid w:linePitch="360"/>
        </w:sectPr>
      </w:pPr>
      <w:r w:rsidRPr="00FD63A6">
        <w:rPr>
          <w:sz w:val="24"/>
          <w:szCs w:val="24"/>
        </w:rPr>
        <w:t>All Rights Reserved</w:t>
      </w:r>
      <w:r w:rsidR="00FD63A6">
        <w:rPr>
          <w:sz w:val="24"/>
          <w:szCs w:val="24"/>
        </w:rPr>
        <w:t>.</w:t>
      </w:r>
    </w:p>
    <w:p w14:paraId="39534634" w14:textId="77777777" w:rsidR="00F72370" w:rsidRDefault="00F72370" w:rsidP="00F72370">
      <w:pPr>
        <w:spacing w:after="0" w:line="240" w:lineRule="auto"/>
        <w:jc w:val="center"/>
      </w:pPr>
    </w:p>
    <w:p w14:paraId="4AB91C05" w14:textId="77777777" w:rsidR="00F72370" w:rsidRDefault="00F72370" w:rsidP="00F72370">
      <w:pPr>
        <w:spacing w:after="0" w:line="240" w:lineRule="auto"/>
        <w:jc w:val="center"/>
      </w:pPr>
    </w:p>
    <w:p w14:paraId="3A74D192" w14:textId="77777777" w:rsidR="007B109C" w:rsidRDefault="007B109C" w:rsidP="00F72370">
      <w:pPr>
        <w:spacing w:after="0" w:line="240" w:lineRule="auto"/>
      </w:pPr>
    </w:p>
    <w:p w14:paraId="2E989B24" w14:textId="77777777" w:rsidR="007B109C" w:rsidRDefault="007B109C" w:rsidP="00F72370">
      <w:pPr>
        <w:spacing w:after="0" w:line="240" w:lineRule="auto"/>
      </w:pPr>
    </w:p>
    <w:p w14:paraId="2F848A66" w14:textId="77777777" w:rsidR="007B109C" w:rsidRDefault="007B109C" w:rsidP="00F72370">
      <w:pPr>
        <w:spacing w:after="0" w:line="240" w:lineRule="auto"/>
      </w:pPr>
    </w:p>
    <w:p w14:paraId="0ABE2820" w14:textId="77777777" w:rsidR="007B109C" w:rsidRDefault="007B109C" w:rsidP="00F72370">
      <w:pPr>
        <w:spacing w:after="0" w:line="240" w:lineRule="auto"/>
      </w:pPr>
    </w:p>
    <w:p w14:paraId="3C160886" w14:textId="77777777" w:rsidR="007B109C" w:rsidRDefault="007B109C" w:rsidP="00F72370">
      <w:pPr>
        <w:spacing w:after="0" w:line="240" w:lineRule="auto"/>
      </w:pPr>
    </w:p>
    <w:p w14:paraId="3451DFA9" w14:textId="77777777" w:rsidR="007B109C" w:rsidRDefault="007B109C" w:rsidP="00F72370">
      <w:pPr>
        <w:spacing w:after="0" w:line="240" w:lineRule="auto"/>
      </w:pPr>
    </w:p>
    <w:p w14:paraId="43FE2E36" w14:textId="77777777" w:rsidR="007B109C" w:rsidRDefault="007B109C" w:rsidP="00F72370">
      <w:pPr>
        <w:spacing w:after="0" w:line="240" w:lineRule="auto"/>
      </w:pPr>
    </w:p>
    <w:p w14:paraId="093FA2F7" w14:textId="77777777" w:rsidR="007B109C" w:rsidRDefault="007B109C" w:rsidP="00F72370">
      <w:pPr>
        <w:spacing w:after="0" w:line="240" w:lineRule="auto"/>
      </w:pPr>
    </w:p>
    <w:p w14:paraId="695B8CEF" w14:textId="77777777" w:rsidR="007B109C" w:rsidRDefault="007B109C" w:rsidP="00F72370">
      <w:pPr>
        <w:spacing w:after="0" w:line="240" w:lineRule="auto"/>
      </w:pPr>
    </w:p>
    <w:p w14:paraId="783A974B" w14:textId="77777777" w:rsidR="007B109C" w:rsidRDefault="007B109C" w:rsidP="00F72370">
      <w:pPr>
        <w:spacing w:after="0" w:line="240" w:lineRule="auto"/>
      </w:pPr>
    </w:p>
    <w:p w14:paraId="7ACB1CB7" w14:textId="77777777" w:rsidR="007B109C" w:rsidRDefault="007B109C" w:rsidP="00F72370">
      <w:pPr>
        <w:spacing w:after="0" w:line="240" w:lineRule="auto"/>
      </w:pPr>
    </w:p>
    <w:p w14:paraId="5D199E13" w14:textId="77777777" w:rsidR="007B109C" w:rsidRDefault="007B109C" w:rsidP="00F72370">
      <w:pPr>
        <w:spacing w:after="0" w:line="240" w:lineRule="auto"/>
      </w:pPr>
    </w:p>
    <w:p w14:paraId="3AD23A03" w14:textId="77777777" w:rsidR="007B109C" w:rsidRDefault="007B109C" w:rsidP="00292DF6">
      <w:pPr>
        <w:spacing w:after="0" w:line="240" w:lineRule="auto"/>
        <w:jc w:val="center"/>
      </w:pPr>
    </w:p>
    <w:p w14:paraId="2E084947" w14:textId="4EFCD338" w:rsidR="00830DB5" w:rsidRPr="00FD63A6" w:rsidRDefault="007B109C" w:rsidP="00292DF6">
      <w:pPr>
        <w:spacing w:after="0" w:line="240" w:lineRule="auto"/>
        <w:jc w:val="center"/>
        <w:rPr>
          <w:sz w:val="24"/>
          <w:szCs w:val="24"/>
        </w:rPr>
      </w:pPr>
      <w:r w:rsidRPr="00FD63A6">
        <w:rPr>
          <w:sz w:val="24"/>
          <w:szCs w:val="24"/>
        </w:rPr>
        <w:t>For</w:t>
      </w:r>
      <w:r w:rsidR="00830DB5" w:rsidRPr="00FD63A6">
        <w:rPr>
          <w:sz w:val="24"/>
          <w:szCs w:val="24"/>
        </w:rPr>
        <w:t xml:space="preserve"> fir</w:t>
      </w:r>
      <w:r w:rsidR="00292DF6" w:rsidRPr="00FD63A6">
        <w:rPr>
          <w:sz w:val="24"/>
          <w:szCs w:val="24"/>
        </w:rPr>
        <w:t>st generation college graduates</w:t>
      </w:r>
    </w:p>
    <w:p w14:paraId="0EEFE783" w14:textId="77777777" w:rsidR="007B109C" w:rsidRPr="00830DB5" w:rsidRDefault="007B109C" w:rsidP="00F72370">
      <w:pPr>
        <w:spacing w:after="0" w:line="240" w:lineRule="auto"/>
      </w:pPr>
    </w:p>
    <w:p w14:paraId="3C886F5D" w14:textId="0E09A6CD" w:rsidR="007B109C" w:rsidRDefault="007B109C" w:rsidP="00F72370">
      <w:pPr>
        <w:spacing w:after="0" w:line="240" w:lineRule="auto"/>
        <w:sectPr w:rsidR="007B109C" w:rsidSect="00830DB5">
          <w:footerReference w:type="default" r:id="rId9"/>
          <w:pgSz w:w="12240" w:h="15840"/>
          <w:pgMar w:top="1440" w:right="1440" w:bottom="1440" w:left="2304" w:header="720" w:footer="720" w:gutter="0"/>
          <w:pgNumType w:fmt="lowerRoman"/>
          <w:cols w:space="720"/>
          <w:docGrid w:linePitch="360"/>
        </w:sectPr>
      </w:pPr>
    </w:p>
    <w:p w14:paraId="49DE7D03" w14:textId="2D47D3A3" w:rsidR="00F72370" w:rsidRDefault="00C87A7A" w:rsidP="00C87A7A">
      <w:pPr>
        <w:pStyle w:val="Heading1"/>
      </w:pPr>
      <w:r>
        <w:lastRenderedPageBreak/>
        <w:t>Acknowledgements</w:t>
      </w:r>
    </w:p>
    <w:p w14:paraId="378ED448" w14:textId="77777777" w:rsidR="00C87A7A" w:rsidRPr="00C87A7A" w:rsidRDefault="00C87A7A" w:rsidP="00C87A7A"/>
    <w:p w14:paraId="776EB82C" w14:textId="04245ECC" w:rsidR="00830DB5" w:rsidRDefault="00941722" w:rsidP="009F1B2B">
      <w:pPr>
        <w:spacing w:after="0" w:line="480" w:lineRule="auto"/>
        <w:jc w:val="both"/>
      </w:pPr>
      <w:r>
        <w:t xml:space="preserve">There are many people that have been essential to my growth as both a scientist and as a person through the various forms that one’s education can take. I would like to thank each of them for their specific role in as my mentors, </w:t>
      </w:r>
      <w:r w:rsidR="00D11E61">
        <w:t>colleagues</w:t>
      </w:r>
      <w:r>
        <w:t xml:space="preserve">, confidants, and friends. </w:t>
      </w:r>
    </w:p>
    <w:p w14:paraId="6D9C7940" w14:textId="77777777" w:rsidR="00830DB5" w:rsidRDefault="00E85630" w:rsidP="009F1B2B">
      <w:pPr>
        <w:spacing w:after="0" w:line="480" w:lineRule="auto"/>
        <w:jc w:val="both"/>
      </w:pPr>
      <w:r>
        <w:t xml:space="preserve">A special thanks goes to my adviser, Dr. Robert </w:t>
      </w:r>
      <w:proofErr w:type="spellStart"/>
      <w:r>
        <w:t>Nairn</w:t>
      </w:r>
      <w:proofErr w:type="spellEnd"/>
      <w:r>
        <w:t xml:space="preserve">, for his role in my development as a scientist, an educator, and as an engaged member of my community. </w:t>
      </w:r>
      <w:r w:rsidR="00B001A8">
        <w:t xml:space="preserve">His passion and integrity serve as inspiration as to how commitment and dedication can yield lasting change in the world of environmental remediation as well as education. </w:t>
      </w:r>
      <w:r w:rsidR="009E45DF">
        <w:t>His mentorship</w:t>
      </w:r>
      <w:r w:rsidR="00B001A8">
        <w:t xml:space="preserve"> challenged me every step of the way in this process, and gave me the freedom to learn from my own mistakes.  Than</w:t>
      </w:r>
      <w:r w:rsidR="009E45DF">
        <w:t xml:space="preserve">k you for taking a chance on me.  </w:t>
      </w:r>
    </w:p>
    <w:p w14:paraId="26E48376" w14:textId="77777777" w:rsidR="00F72370" w:rsidRPr="00E85630" w:rsidRDefault="00941722" w:rsidP="009F1B2B">
      <w:pPr>
        <w:spacing w:line="480" w:lineRule="auto"/>
        <w:jc w:val="both"/>
        <w:rPr>
          <w:rFonts w:cstheme="minorHAnsi"/>
          <w:i/>
        </w:rPr>
      </w:pPr>
      <w:r w:rsidRPr="00D95286">
        <w:rPr>
          <w:rFonts w:cstheme="minorHAnsi"/>
        </w:rPr>
        <w:t xml:space="preserve">This research would not have been possible without the commitment of so many students from the Center for the Restoration of Ecosystems and Watersheds (CREW). Through countless hours on the road, in the field, in the classroom, and in the laboratory, we have worked diligently to support each other in making a difference within the field of environmental science. </w:t>
      </w:r>
      <w:r w:rsidR="00D95286" w:rsidRPr="00D95286">
        <w:rPr>
          <w:rFonts w:cstheme="minorHAnsi"/>
        </w:rPr>
        <w:t xml:space="preserve"> We are a part of something greater than ourselves: </w:t>
      </w:r>
      <w:r w:rsidR="00D95286" w:rsidRPr="00E85630">
        <w:rPr>
          <w:rFonts w:cstheme="minorHAnsi"/>
          <w:i/>
        </w:rPr>
        <w:t xml:space="preserve">J. </w:t>
      </w:r>
      <w:proofErr w:type="spellStart"/>
      <w:r w:rsidR="00D95286" w:rsidRPr="00E85630">
        <w:rPr>
          <w:rFonts w:cstheme="minorHAnsi"/>
          <w:i/>
        </w:rPr>
        <w:t>LaBar</w:t>
      </w:r>
      <w:proofErr w:type="spellEnd"/>
      <w:r w:rsidR="00D95286" w:rsidRPr="00E85630">
        <w:rPr>
          <w:rFonts w:cstheme="minorHAnsi"/>
          <w:i/>
        </w:rPr>
        <w:t xml:space="preserve">, B. </w:t>
      </w:r>
      <w:proofErr w:type="spellStart"/>
      <w:r w:rsidR="00D95286" w:rsidRPr="00E85630">
        <w:rPr>
          <w:rFonts w:cstheme="minorHAnsi"/>
          <w:i/>
        </w:rPr>
        <w:t>Holzbauer</w:t>
      </w:r>
      <w:proofErr w:type="spellEnd"/>
      <w:r w:rsidR="00D95286" w:rsidRPr="00E85630">
        <w:rPr>
          <w:rFonts w:cstheme="minorHAnsi"/>
          <w:i/>
        </w:rPr>
        <w:t xml:space="preserve">-Schweitzer, B. Page, N. Shepherd, E. Thornton, N. Berg-Mattson, E. Fielding, A. Marsh, D. Nguyen, A. </w:t>
      </w:r>
      <w:proofErr w:type="spellStart"/>
      <w:r w:rsidR="00D95286" w:rsidRPr="00E85630">
        <w:rPr>
          <w:rFonts w:cstheme="minorHAnsi"/>
          <w:i/>
        </w:rPr>
        <w:t>Sikora</w:t>
      </w:r>
      <w:proofErr w:type="spellEnd"/>
      <w:r w:rsidR="00D95286" w:rsidRPr="00E85630">
        <w:rPr>
          <w:rFonts w:cstheme="minorHAnsi"/>
          <w:i/>
        </w:rPr>
        <w:t xml:space="preserve">, K. Steele, Z. Tang, J. </w:t>
      </w:r>
      <w:proofErr w:type="spellStart"/>
      <w:r w:rsidR="00D95286" w:rsidRPr="00E85630">
        <w:rPr>
          <w:rFonts w:cstheme="minorHAnsi"/>
          <w:i/>
        </w:rPr>
        <w:t>Arango</w:t>
      </w:r>
      <w:proofErr w:type="spellEnd"/>
      <w:r w:rsidR="00D95286" w:rsidRPr="00E85630">
        <w:rPr>
          <w:rFonts w:cstheme="minorHAnsi"/>
          <w:i/>
        </w:rPr>
        <w:t xml:space="preserve">, M. Rice, B. </w:t>
      </w:r>
      <w:proofErr w:type="spellStart"/>
      <w:r w:rsidR="00D95286" w:rsidRPr="00E85630">
        <w:rPr>
          <w:rFonts w:cstheme="minorHAnsi"/>
          <w:i/>
        </w:rPr>
        <w:t>Furneaux</w:t>
      </w:r>
      <w:proofErr w:type="spellEnd"/>
      <w:r w:rsidR="00D95286" w:rsidRPr="00E85630">
        <w:rPr>
          <w:rFonts w:cstheme="minorHAnsi"/>
          <w:i/>
        </w:rPr>
        <w:t xml:space="preserve">, J. </w:t>
      </w:r>
      <w:proofErr w:type="spellStart"/>
      <w:r w:rsidR="00D95286" w:rsidRPr="00E85630">
        <w:rPr>
          <w:rFonts w:cstheme="minorHAnsi"/>
          <w:i/>
        </w:rPr>
        <w:t>Brumley</w:t>
      </w:r>
      <w:proofErr w:type="spellEnd"/>
      <w:r w:rsidR="00D95286" w:rsidRPr="00E85630">
        <w:rPr>
          <w:rFonts w:cstheme="minorHAnsi"/>
          <w:i/>
        </w:rPr>
        <w:t xml:space="preserve">, S. </w:t>
      </w:r>
      <w:proofErr w:type="spellStart"/>
      <w:r w:rsidR="00D95286" w:rsidRPr="00E85630">
        <w:rPr>
          <w:rFonts w:cstheme="minorHAnsi"/>
          <w:i/>
        </w:rPr>
        <w:t>Yepez</w:t>
      </w:r>
      <w:proofErr w:type="spellEnd"/>
      <w:r w:rsidR="00D95286" w:rsidRPr="00E85630">
        <w:rPr>
          <w:rFonts w:cstheme="minorHAnsi"/>
          <w:i/>
        </w:rPr>
        <w:t xml:space="preserve">, A. Smith, J. McAllister, W. Andrews, A. Brewer, B. Santamaria, C. Neely, A. </w:t>
      </w:r>
      <w:proofErr w:type="spellStart"/>
      <w:r w:rsidR="00D95286" w:rsidRPr="00E85630">
        <w:rPr>
          <w:rFonts w:cstheme="minorHAnsi"/>
          <w:i/>
        </w:rPr>
        <w:t>Garrido</w:t>
      </w:r>
      <w:proofErr w:type="spellEnd"/>
      <w:r w:rsidR="00D95286" w:rsidRPr="00E85630">
        <w:rPr>
          <w:rFonts w:cstheme="minorHAnsi"/>
          <w:i/>
        </w:rPr>
        <w:t xml:space="preserve">, W. </w:t>
      </w:r>
      <w:proofErr w:type="spellStart"/>
      <w:r w:rsidR="00D95286" w:rsidRPr="00E85630">
        <w:rPr>
          <w:rFonts w:cstheme="minorHAnsi"/>
          <w:i/>
        </w:rPr>
        <w:t>Strosnider</w:t>
      </w:r>
      <w:proofErr w:type="spellEnd"/>
      <w:r w:rsidR="00D95286" w:rsidRPr="00E85630">
        <w:rPr>
          <w:rFonts w:cstheme="minorHAnsi"/>
          <w:i/>
        </w:rPr>
        <w:t xml:space="preserve">, D. Lutes, and S. Guzman. </w:t>
      </w:r>
    </w:p>
    <w:p w14:paraId="27941F69" w14:textId="77777777" w:rsidR="001C713C" w:rsidRDefault="00D95286" w:rsidP="009F1B2B">
      <w:pPr>
        <w:spacing w:after="0" w:line="480" w:lineRule="auto"/>
        <w:jc w:val="both"/>
      </w:pPr>
      <w:r>
        <w:t xml:space="preserve">Likewise, my </w:t>
      </w:r>
      <w:r w:rsidR="001C713C">
        <w:t>colleagues</w:t>
      </w:r>
      <w:r>
        <w:t xml:space="preserve"> at the University of Science and Arts of Oklahoma </w:t>
      </w:r>
      <w:r w:rsidR="001C713C">
        <w:t>(USAO) have</w:t>
      </w:r>
      <w:r>
        <w:t xml:space="preserve"> supported me with interesting scheduling solutions, encouragement, meals, and </w:t>
      </w:r>
      <w:r w:rsidR="001C713C">
        <w:t xml:space="preserve">a base of operations in Norman, OK for field or laboratory work requiring my full and undivided attention. </w:t>
      </w:r>
      <w:r w:rsidR="001C713C" w:rsidRPr="00E85630">
        <w:rPr>
          <w:i/>
        </w:rPr>
        <w:t xml:space="preserve">Jeannette </w:t>
      </w:r>
      <w:proofErr w:type="spellStart"/>
      <w:r w:rsidR="001C713C" w:rsidRPr="00E85630">
        <w:rPr>
          <w:i/>
        </w:rPr>
        <w:t>Loutsch</w:t>
      </w:r>
      <w:proofErr w:type="spellEnd"/>
      <w:r w:rsidR="001C713C" w:rsidRPr="00E85630">
        <w:rPr>
          <w:i/>
        </w:rPr>
        <w:t>, Rachel Jones, Jason Shaw, Mike Mather, James Addams, and JC Sanders.</w:t>
      </w:r>
    </w:p>
    <w:p w14:paraId="7885B4F1" w14:textId="16A07A24" w:rsidR="001C713C" w:rsidRDefault="001C713C" w:rsidP="00E85630">
      <w:pPr>
        <w:spacing w:after="0" w:line="480" w:lineRule="auto"/>
        <w:jc w:val="both"/>
        <w:rPr>
          <w:i/>
        </w:rPr>
      </w:pPr>
      <w:r>
        <w:lastRenderedPageBreak/>
        <w:t xml:space="preserve">And finally, my </w:t>
      </w:r>
      <w:proofErr w:type="gramStart"/>
      <w:r>
        <w:t>mentors</w:t>
      </w:r>
      <w:proofErr w:type="gramEnd"/>
      <w:r>
        <w:t xml:space="preserve"> / role models that have shaped me into the scientist I am today, and are responsible for the scientist that I will become</w:t>
      </w:r>
      <w:r w:rsidR="00E85630">
        <w:t xml:space="preserve"> through my service to others</w:t>
      </w:r>
      <w:r>
        <w:t xml:space="preserve">: </w:t>
      </w:r>
      <w:r w:rsidRPr="00E85630">
        <w:rPr>
          <w:i/>
        </w:rPr>
        <w:t xml:space="preserve">Mike </w:t>
      </w:r>
      <w:proofErr w:type="spellStart"/>
      <w:r w:rsidRPr="00E85630">
        <w:rPr>
          <w:i/>
        </w:rPr>
        <w:t>Sadar</w:t>
      </w:r>
      <w:proofErr w:type="spellEnd"/>
      <w:r w:rsidR="00E85630" w:rsidRPr="00E85630">
        <w:rPr>
          <w:i/>
        </w:rPr>
        <w:t xml:space="preserve"> (</w:t>
      </w:r>
      <w:proofErr w:type="spellStart"/>
      <w:r w:rsidR="00E85630" w:rsidRPr="00E85630">
        <w:rPr>
          <w:i/>
        </w:rPr>
        <w:t>Hach</w:t>
      </w:r>
      <w:proofErr w:type="spellEnd"/>
      <w:r w:rsidR="00E85630" w:rsidRPr="00E85630">
        <w:rPr>
          <w:i/>
        </w:rPr>
        <w:t xml:space="preserve"> Co.)</w:t>
      </w:r>
      <w:r w:rsidRPr="00E85630">
        <w:rPr>
          <w:i/>
        </w:rPr>
        <w:t>, Dr. David Pringle</w:t>
      </w:r>
      <w:r w:rsidR="00E85630" w:rsidRPr="00E85630">
        <w:rPr>
          <w:i/>
        </w:rPr>
        <w:t xml:space="preserve"> (UNC-Greeley)</w:t>
      </w:r>
      <w:r w:rsidRPr="00E85630">
        <w:rPr>
          <w:i/>
        </w:rPr>
        <w:t xml:space="preserve">, </w:t>
      </w:r>
      <w:r w:rsidR="00D11E61">
        <w:rPr>
          <w:i/>
        </w:rPr>
        <w:t xml:space="preserve">Dr. </w:t>
      </w:r>
      <w:proofErr w:type="spellStart"/>
      <w:r w:rsidRPr="00E85630">
        <w:rPr>
          <w:i/>
        </w:rPr>
        <w:t>Najati</w:t>
      </w:r>
      <w:proofErr w:type="spellEnd"/>
      <w:r w:rsidRPr="00E85630">
        <w:rPr>
          <w:i/>
        </w:rPr>
        <w:t xml:space="preserve"> Kaval</w:t>
      </w:r>
      <w:r w:rsidR="00E85630" w:rsidRPr="00E85630">
        <w:rPr>
          <w:i/>
        </w:rPr>
        <w:t xml:space="preserve"> (OSU)</w:t>
      </w:r>
      <w:r w:rsidRPr="00E85630">
        <w:rPr>
          <w:i/>
        </w:rPr>
        <w:t>, Tim Messer</w:t>
      </w:r>
      <w:r w:rsidR="00E85630" w:rsidRPr="00E85630">
        <w:rPr>
          <w:i/>
        </w:rPr>
        <w:t xml:space="preserve"> (</w:t>
      </w:r>
      <w:proofErr w:type="spellStart"/>
      <w:r w:rsidR="00E85630" w:rsidRPr="00E85630">
        <w:rPr>
          <w:i/>
        </w:rPr>
        <w:t>Verus</w:t>
      </w:r>
      <w:proofErr w:type="spellEnd"/>
      <w:r w:rsidR="00E85630" w:rsidRPr="00E85630">
        <w:rPr>
          <w:i/>
        </w:rPr>
        <w:t xml:space="preserve">), </w:t>
      </w:r>
      <w:r w:rsidRPr="00E85630">
        <w:rPr>
          <w:i/>
        </w:rPr>
        <w:t>Margaret Dunn</w:t>
      </w:r>
      <w:r w:rsidR="00E85630" w:rsidRPr="00E85630">
        <w:rPr>
          <w:i/>
        </w:rPr>
        <w:t xml:space="preserve"> (</w:t>
      </w:r>
      <w:r w:rsidR="00FD63A6">
        <w:rPr>
          <w:i/>
        </w:rPr>
        <w:t>ASMR</w:t>
      </w:r>
      <w:r w:rsidR="00E85630" w:rsidRPr="00E85630">
        <w:rPr>
          <w:i/>
        </w:rPr>
        <w:t xml:space="preserve">), and Dr. Robert </w:t>
      </w:r>
      <w:proofErr w:type="spellStart"/>
      <w:r w:rsidR="00E85630" w:rsidRPr="00E85630">
        <w:rPr>
          <w:i/>
        </w:rPr>
        <w:t>Nairn</w:t>
      </w:r>
      <w:proofErr w:type="spellEnd"/>
      <w:r w:rsidR="00E85630" w:rsidRPr="00E85630">
        <w:rPr>
          <w:i/>
        </w:rPr>
        <w:t xml:space="preserve"> (OU)</w:t>
      </w:r>
      <w:r w:rsidRPr="00E85630">
        <w:rPr>
          <w:i/>
        </w:rPr>
        <w:t>.</w:t>
      </w:r>
    </w:p>
    <w:p w14:paraId="3C7B6B6D" w14:textId="77777777" w:rsidR="009E45DF" w:rsidRDefault="009E45DF" w:rsidP="00E85630">
      <w:pPr>
        <w:spacing w:after="0" w:line="480" w:lineRule="auto"/>
        <w:jc w:val="both"/>
        <w:rPr>
          <w:i/>
        </w:rPr>
      </w:pPr>
    </w:p>
    <w:p w14:paraId="65D50166" w14:textId="77777777" w:rsidR="009E45DF" w:rsidRDefault="009E45DF" w:rsidP="00E85630">
      <w:pPr>
        <w:spacing w:after="0" w:line="480" w:lineRule="auto"/>
        <w:jc w:val="both"/>
        <w:rPr>
          <w:i/>
        </w:rPr>
      </w:pPr>
    </w:p>
    <w:p w14:paraId="37A386DD" w14:textId="77777777" w:rsidR="009E45DF" w:rsidRDefault="009E45DF" w:rsidP="00E85630">
      <w:pPr>
        <w:spacing w:after="0" w:line="480" w:lineRule="auto"/>
        <w:jc w:val="both"/>
        <w:rPr>
          <w:i/>
        </w:rPr>
      </w:pPr>
    </w:p>
    <w:p w14:paraId="177999D7" w14:textId="77777777" w:rsidR="009E45DF" w:rsidRDefault="009E45DF" w:rsidP="00E85630">
      <w:pPr>
        <w:spacing w:after="0" w:line="480" w:lineRule="auto"/>
        <w:jc w:val="both"/>
        <w:rPr>
          <w:i/>
        </w:rPr>
      </w:pPr>
    </w:p>
    <w:p w14:paraId="2F0F8082" w14:textId="77777777" w:rsidR="009E45DF" w:rsidRDefault="009E45DF" w:rsidP="00E85630">
      <w:pPr>
        <w:spacing w:after="0" w:line="480" w:lineRule="auto"/>
        <w:jc w:val="both"/>
        <w:rPr>
          <w:i/>
        </w:rPr>
      </w:pPr>
    </w:p>
    <w:p w14:paraId="00C1C5EF" w14:textId="77777777" w:rsidR="009E45DF" w:rsidRDefault="009E45DF" w:rsidP="00E85630">
      <w:pPr>
        <w:spacing w:after="0" w:line="480" w:lineRule="auto"/>
        <w:jc w:val="both"/>
        <w:rPr>
          <w:i/>
        </w:rPr>
      </w:pPr>
    </w:p>
    <w:p w14:paraId="24D318F9" w14:textId="77777777" w:rsidR="009E45DF" w:rsidRDefault="009E45DF" w:rsidP="00E85630">
      <w:pPr>
        <w:spacing w:after="0" w:line="480" w:lineRule="auto"/>
        <w:jc w:val="both"/>
        <w:rPr>
          <w:i/>
        </w:rPr>
      </w:pPr>
    </w:p>
    <w:p w14:paraId="5171D64F" w14:textId="77777777" w:rsidR="009E45DF" w:rsidRDefault="009E45DF" w:rsidP="00E85630">
      <w:pPr>
        <w:spacing w:after="0" w:line="480" w:lineRule="auto"/>
        <w:jc w:val="both"/>
        <w:rPr>
          <w:i/>
        </w:rPr>
      </w:pPr>
    </w:p>
    <w:p w14:paraId="17376F7A" w14:textId="77777777" w:rsidR="009E45DF" w:rsidRDefault="009E45DF" w:rsidP="00E85630">
      <w:pPr>
        <w:spacing w:after="0" w:line="480" w:lineRule="auto"/>
        <w:jc w:val="both"/>
        <w:rPr>
          <w:i/>
        </w:rPr>
      </w:pPr>
    </w:p>
    <w:p w14:paraId="44BC6427" w14:textId="77777777" w:rsidR="009E45DF" w:rsidRDefault="009E45DF" w:rsidP="00E85630">
      <w:pPr>
        <w:spacing w:after="0" w:line="480" w:lineRule="auto"/>
        <w:jc w:val="both"/>
        <w:rPr>
          <w:i/>
        </w:rPr>
      </w:pPr>
    </w:p>
    <w:p w14:paraId="0A5AF4ED" w14:textId="77777777" w:rsidR="009E45DF" w:rsidRDefault="009E45DF" w:rsidP="00E85630">
      <w:pPr>
        <w:spacing w:after="0" w:line="480" w:lineRule="auto"/>
        <w:jc w:val="both"/>
        <w:rPr>
          <w:i/>
        </w:rPr>
      </w:pPr>
    </w:p>
    <w:p w14:paraId="5E72E9E2" w14:textId="77777777" w:rsidR="009E45DF" w:rsidRDefault="009E45DF" w:rsidP="00E85630">
      <w:pPr>
        <w:spacing w:after="0" w:line="480" w:lineRule="auto"/>
        <w:jc w:val="both"/>
        <w:rPr>
          <w:i/>
        </w:rPr>
      </w:pPr>
    </w:p>
    <w:p w14:paraId="79836F5F" w14:textId="77777777" w:rsidR="009E45DF" w:rsidRPr="00E85630" w:rsidRDefault="009E45DF" w:rsidP="00E85630">
      <w:pPr>
        <w:spacing w:after="0" w:line="480" w:lineRule="auto"/>
        <w:jc w:val="both"/>
        <w:rPr>
          <w:i/>
        </w:rPr>
      </w:pPr>
    </w:p>
    <w:p w14:paraId="42547B69" w14:textId="77777777" w:rsidR="00941722" w:rsidRDefault="00941722" w:rsidP="00941722">
      <w:pPr>
        <w:spacing w:after="0" w:line="240" w:lineRule="auto"/>
        <w:jc w:val="both"/>
      </w:pPr>
    </w:p>
    <w:p w14:paraId="3E0F3433" w14:textId="77777777" w:rsidR="00830DB5" w:rsidRDefault="00830DB5" w:rsidP="00F72370">
      <w:pPr>
        <w:spacing w:after="0" w:line="240" w:lineRule="auto"/>
      </w:pPr>
    </w:p>
    <w:p w14:paraId="68526630" w14:textId="77777777" w:rsidR="00830DB5" w:rsidRDefault="00830DB5" w:rsidP="00F72370">
      <w:pPr>
        <w:spacing w:after="0" w:line="240" w:lineRule="auto"/>
      </w:pPr>
    </w:p>
    <w:p w14:paraId="3C271B3A" w14:textId="77777777" w:rsidR="00830DB5" w:rsidRDefault="00830DB5" w:rsidP="00F72370">
      <w:pPr>
        <w:spacing w:after="0" w:line="240" w:lineRule="auto"/>
      </w:pPr>
    </w:p>
    <w:p w14:paraId="434C471A" w14:textId="77777777" w:rsidR="00830DB5" w:rsidRDefault="00830DB5" w:rsidP="00F72370">
      <w:pPr>
        <w:spacing w:after="0" w:line="240" w:lineRule="auto"/>
      </w:pPr>
    </w:p>
    <w:p w14:paraId="605091C7" w14:textId="77777777" w:rsidR="00830DB5" w:rsidRDefault="00830DB5" w:rsidP="00F72370">
      <w:pPr>
        <w:spacing w:after="0" w:line="240" w:lineRule="auto"/>
      </w:pPr>
    </w:p>
    <w:p w14:paraId="0DF55743" w14:textId="77777777" w:rsidR="00830DB5" w:rsidRDefault="00830DB5" w:rsidP="00F72370">
      <w:pPr>
        <w:spacing w:after="0" w:line="240" w:lineRule="auto"/>
      </w:pPr>
    </w:p>
    <w:p w14:paraId="18216242" w14:textId="77777777" w:rsidR="00830DB5" w:rsidRDefault="00830DB5" w:rsidP="00F72370">
      <w:pPr>
        <w:spacing w:after="0" w:line="240" w:lineRule="auto"/>
      </w:pPr>
    </w:p>
    <w:p w14:paraId="53C34B4D" w14:textId="77777777" w:rsidR="00830DB5" w:rsidRDefault="00830DB5" w:rsidP="00F72370">
      <w:pPr>
        <w:spacing w:after="0" w:line="240" w:lineRule="auto"/>
      </w:pPr>
    </w:p>
    <w:p w14:paraId="062CB433" w14:textId="77777777" w:rsidR="00830DB5" w:rsidRDefault="00830DB5" w:rsidP="00F72370">
      <w:pPr>
        <w:spacing w:after="0" w:line="240" w:lineRule="auto"/>
      </w:pPr>
    </w:p>
    <w:p w14:paraId="7C09B93A" w14:textId="77777777" w:rsidR="00830DB5" w:rsidRDefault="00830DB5" w:rsidP="00F72370">
      <w:pPr>
        <w:spacing w:after="0" w:line="240" w:lineRule="auto"/>
      </w:pPr>
    </w:p>
    <w:p w14:paraId="1C13E8D3" w14:textId="77777777" w:rsidR="00830DB5" w:rsidRDefault="00830DB5" w:rsidP="00F72370">
      <w:pPr>
        <w:spacing w:after="0" w:line="240" w:lineRule="auto"/>
      </w:pPr>
    </w:p>
    <w:p w14:paraId="42D798C8" w14:textId="77777777" w:rsidR="00830DB5" w:rsidRDefault="00830DB5" w:rsidP="00F72370">
      <w:pPr>
        <w:spacing w:after="0" w:line="240" w:lineRule="auto"/>
      </w:pPr>
    </w:p>
    <w:p w14:paraId="640CF7FC" w14:textId="77777777" w:rsidR="00830DB5" w:rsidRDefault="00830DB5" w:rsidP="00F72370">
      <w:pPr>
        <w:spacing w:after="0" w:line="240" w:lineRule="auto"/>
      </w:pPr>
    </w:p>
    <w:p w14:paraId="603C9F01" w14:textId="77777777" w:rsidR="00D80D43" w:rsidRPr="00871563" w:rsidRDefault="00D80D43" w:rsidP="00EE471A">
      <w:pPr>
        <w:pStyle w:val="Heading1"/>
        <w:jc w:val="both"/>
      </w:pPr>
      <w:r w:rsidRPr="00871563">
        <w:lastRenderedPageBreak/>
        <w:t xml:space="preserve">Table of Contents </w:t>
      </w:r>
    </w:p>
    <w:p w14:paraId="10ACD14B" w14:textId="77777777" w:rsidR="00D80D43" w:rsidRPr="00532E6D" w:rsidRDefault="00D80D43" w:rsidP="00EE471A">
      <w:pPr>
        <w:jc w:val="both"/>
      </w:pPr>
    </w:p>
    <w:p w14:paraId="50E5DB40" w14:textId="52964A57" w:rsidR="00D80D43" w:rsidRPr="00D11E61" w:rsidRDefault="00D80D43"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 xml:space="preserve">List of Tables </w:t>
      </w:r>
      <w:r w:rsidRPr="00D11E61">
        <w:rPr>
          <w:rFonts w:asciiTheme="minorHAnsi" w:hAnsiTheme="minorHAnsi" w:cstheme="minorHAnsi"/>
          <w:sz w:val="22"/>
          <w:szCs w:val="22"/>
        </w:rPr>
        <w:t>..................................................................................................................</w:t>
      </w:r>
      <w:r w:rsidR="00EE471A" w:rsidRPr="00D11E61">
        <w:rPr>
          <w:rFonts w:asciiTheme="minorHAnsi" w:hAnsiTheme="minorHAnsi" w:cstheme="minorHAnsi"/>
          <w:sz w:val="22"/>
          <w:szCs w:val="22"/>
        </w:rPr>
        <w:t>.</w:t>
      </w:r>
      <w:r w:rsidRPr="00D11E61">
        <w:rPr>
          <w:rFonts w:asciiTheme="minorHAnsi" w:hAnsiTheme="minorHAnsi" w:cstheme="minorHAnsi"/>
          <w:sz w:val="22"/>
          <w:szCs w:val="22"/>
        </w:rPr>
        <w:t>....</w:t>
      </w:r>
      <w:r w:rsidR="009F1B2B" w:rsidRPr="00D11E61">
        <w:rPr>
          <w:rFonts w:asciiTheme="minorHAnsi" w:hAnsiTheme="minorHAnsi" w:cstheme="minorHAnsi"/>
          <w:sz w:val="22"/>
          <w:szCs w:val="22"/>
        </w:rPr>
        <w:t>.</w:t>
      </w:r>
      <w:r w:rsidRPr="00D11E61">
        <w:rPr>
          <w:rFonts w:asciiTheme="minorHAnsi" w:hAnsiTheme="minorHAnsi" w:cstheme="minorHAnsi"/>
          <w:sz w:val="22"/>
          <w:szCs w:val="22"/>
        </w:rPr>
        <w:t xml:space="preserve">...... viii </w:t>
      </w:r>
    </w:p>
    <w:p w14:paraId="1D18F826" w14:textId="77777777" w:rsidR="00D80D43" w:rsidRPr="00D11E61" w:rsidRDefault="00D80D43" w:rsidP="00EE471A">
      <w:pPr>
        <w:pStyle w:val="Default"/>
        <w:jc w:val="both"/>
        <w:rPr>
          <w:rFonts w:asciiTheme="minorHAnsi" w:hAnsiTheme="minorHAnsi" w:cstheme="minorHAnsi"/>
          <w:sz w:val="22"/>
          <w:szCs w:val="22"/>
        </w:rPr>
      </w:pPr>
    </w:p>
    <w:p w14:paraId="61F491BC" w14:textId="4B94929F" w:rsidR="00D80D43" w:rsidRPr="00D11E61" w:rsidRDefault="00D80D43"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 xml:space="preserve">List of Figures </w:t>
      </w:r>
      <w:r w:rsidRPr="00D11E61">
        <w:rPr>
          <w:rFonts w:asciiTheme="minorHAnsi" w:hAnsiTheme="minorHAnsi" w:cstheme="minorHAnsi"/>
          <w:sz w:val="22"/>
          <w:szCs w:val="22"/>
        </w:rPr>
        <w:t>.......................................................................................................................</w:t>
      </w:r>
      <w:r w:rsidR="009F1B2B" w:rsidRPr="00D11E61">
        <w:rPr>
          <w:rFonts w:asciiTheme="minorHAnsi" w:hAnsiTheme="minorHAnsi" w:cstheme="minorHAnsi"/>
          <w:sz w:val="22"/>
          <w:szCs w:val="22"/>
        </w:rPr>
        <w:t>.</w:t>
      </w:r>
      <w:r w:rsidRPr="00D11E61">
        <w:rPr>
          <w:rFonts w:asciiTheme="minorHAnsi" w:hAnsiTheme="minorHAnsi" w:cstheme="minorHAnsi"/>
          <w:sz w:val="22"/>
          <w:szCs w:val="22"/>
        </w:rPr>
        <w:t>..</w:t>
      </w:r>
      <w:r w:rsidR="00EE471A" w:rsidRPr="00D11E61">
        <w:rPr>
          <w:rFonts w:asciiTheme="minorHAnsi" w:hAnsiTheme="minorHAnsi" w:cstheme="minorHAnsi"/>
          <w:sz w:val="22"/>
          <w:szCs w:val="22"/>
        </w:rPr>
        <w:t>.</w:t>
      </w:r>
      <w:r w:rsidRPr="00D11E61">
        <w:rPr>
          <w:rFonts w:asciiTheme="minorHAnsi" w:hAnsiTheme="minorHAnsi" w:cstheme="minorHAnsi"/>
          <w:sz w:val="22"/>
          <w:szCs w:val="22"/>
        </w:rPr>
        <w:t xml:space="preserve">.... </w:t>
      </w:r>
      <w:r w:rsidR="00871563">
        <w:rPr>
          <w:rFonts w:asciiTheme="minorHAnsi" w:hAnsiTheme="minorHAnsi" w:cstheme="minorHAnsi"/>
          <w:sz w:val="22"/>
          <w:szCs w:val="22"/>
        </w:rPr>
        <w:t>i</w:t>
      </w:r>
      <w:r w:rsidRPr="00D11E61">
        <w:rPr>
          <w:rFonts w:asciiTheme="minorHAnsi" w:hAnsiTheme="minorHAnsi" w:cstheme="minorHAnsi"/>
          <w:sz w:val="22"/>
          <w:szCs w:val="22"/>
        </w:rPr>
        <w:t xml:space="preserve">x </w:t>
      </w:r>
    </w:p>
    <w:p w14:paraId="7E87C185" w14:textId="77777777" w:rsidR="00D80D43" w:rsidRPr="00D11E61" w:rsidRDefault="00D80D43" w:rsidP="00EE471A">
      <w:pPr>
        <w:pStyle w:val="Default"/>
        <w:jc w:val="both"/>
        <w:rPr>
          <w:rFonts w:asciiTheme="minorHAnsi" w:hAnsiTheme="minorHAnsi" w:cstheme="minorHAnsi"/>
          <w:sz w:val="22"/>
          <w:szCs w:val="22"/>
        </w:rPr>
      </w:pPr>
    </w:p>
    <w:p w14:paraId="3917FE8F" w14:textId="350C37BA" w:rsidR="00D80D43" w:rsidRPr="00D11E61" w:rsidRDefault="00D11E61"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Abstract……………………………………</w:t>
      </w:r>
      <w:r>
        <w:rPr>
          <w:rFonts w:asciiTheme="minorHAnsi" w:hAnsiTheme="minorHAnsi" w:cstheme="minorHAnsi"/>
          <w:bCs/>
          <w:sz w:val="22"/>
          <w:szCs w:val="22"/>
        </w:rPr>
        <w:t>………………………………………………………………………</w:t>
      </w:r>
      <w:r w:rsidRPr="00D11E61">
        <w:rPr>
          <w:rFonts w:asciiTheme="minorHAnsi" w:hAnsiTheme="minorHAnsi" w:cstheme="minorHAnsi"/>
          <w:bCs/>
          <w:sz w:val="22"/>
          <w:szCs w:val="22"/>
        </w:rPr>
        <w:t>…………………</w:t>
      </w:r>
      <w:proofErr w:type="gramStart"/>
      <w:r w:rsidRPr="00D11E61">
        <w:rPr>
          <w:rFonts w:asciiTheme="minorHAnsi" w:hAnsiTheme="minorHAnsi" w:cstheme="minorHAnsi"/>
          <w:bCs/>
          <w:sz w:val="22"/>
          <w:szCs w:val="22"/>
        </w:rPr>
        <w:t>….</w:t>
      </w:r>
      <w:r w:rsidR="00D80D43" w:rsidRPr="00D11E61">
        <w:rPr>
          <w:rFonts w:asciiTheme="minorHAnsi" w:hAnsiTheme="minorHAnsi" w:cstheme="minorHAnsi"/>
          <w:sz w:val="22"/>
          <w:szCs w:val="22"/>
        </w:rPr>
        <w:t>x</w:t>
      </w:r>
      <w:r w:rsidR="00871563">
        <w:rPr>
          <w:rFonts w:asciiTheme="minorHAnsi" w:hAnsiTheme="minorHAnsi" w:cstheme="minorHAnsi"/>
          <w:sz w:val="22"/>
          <w:szCs w:val="22"/>
        </w:rPr>
        <w:t>ii</w:t>
      </w:r>
      <w:proofErr w:type="gramEnd"/>
      <w:r w:rsidR="00D80D43" w:rsidRPr="00D11E61">
        <w:rPr>
          <w:rFonts w:asciiTheme="minorHAnsi" w:hAnsiTheme="minorHAnsi" w:cstheme="minorHAnsi"/>
          <w:sz w:val="22"/>
          <w:szCs w:val="22"/>
        </w:rPr>
        <w:t xml:space="preserve"> </w:t>
      </w:r>
    </w:p>
    <w:p w14:paraId="688D7582" w14:textId="77777777" w:rsidR="00D80D43" w:rsidRPr="00D11E61" w:rsidRDefault="00D80D43" w:rsidP="00EE471A">
      <w:pPr>
        <w:pStyle w:val="Heading1"/>
        <w:spacing w:before="0" w:line="240" w:lineRule="auto"/>
        <w:jc w:val="both"/>
        <w:rPr>
          <w:b w:val="0"/>
        </w:rPr>
      </w:pPr>
    </w:p>
    <w:p w14:paraId="15E1F9F6" w14:textId="125FD1E3" w:rsidR="00D80D43" w:rsidRPr="00D11E61" w:rsidRDefault="00D80D43" w:rsidP="00EE471A">
      <w:pPr>
        <w:pStyle w:val="Heading1"/>
        <w:spacing w:before="0" w:line="240" w:lineRule="auto"/>
        <w:jc w:val="both"/>
        <w:rPr>
          <w:rFonts w:asciiTheme="minorHAnsi" w:hAnsiTheme="minorHAnsi" w:cstheme="minorHAnsi"/>
          <w:b w:val="0"/>
          <w:sz w:val="22"/>
          <w:szCs w:val="22"/>
        </w:rPr>
      </w:pPr>
      <w:r w:rsidRPr="00D11E61">
        <w:rPr>
          <w:rFonts w:asciiTheme="minorHAnsi" w:hAnsiTheme="minorHAnsi" w:cstheme="minorHAnsi"/>
          <w:sz w:val="22"/>
          <w:szCs w:val="22"/>
        </w:rPr>
        <w:t>Chapter 1:</w:t>
      </w:r>
      <w:r w:rsidRPr="00D11E61">
        <w:rPr>
          <w:rFonts w:asciiTheme="minorHAnsi" w:hAnsiTheme="minorHAnsi" w:cstheme="minorHAnsi"/>
          <w:b w:val="0"/>
          <w:sz w:val="22"/>
          <w:szCs w:val="22"/>
        </w:rPr>
        <w:t xml:space="preserve"> Full Scale Pass</w:t>
      </w:r>
      <w:r w:rsidR="00EE471A" w:rsidRPr="00D11E61">
        <w:rPr>
          <w:rFonts w:asciiTheme="minorHAnsi" w:hAnsiTheme="minorHAnsi" w:cstheme="minorHAnsi"/>
          <w:b w:val="0"/>
          <w:sz w:val="22"/>
          <w:szCs w:val="22"/>
        </w:rPr>
        <w:t>ive Treatment of Net-Alkaline Ferruginous</w:t>
      </w:r>
      <w:r w:rsidR="00563B77" w:rsidRPr="00D11E61">
        <w:rPr>
          <w:rFonts w:asciiTheme="minorHAnsi" w:hAnsiTheme="minorHAnsi" w:cstheme="minorHAnsi"/>
          <w:b w:val="0"/>
          <w:sz w:val="22"/>
          <w:szCs w:val="22"/>
        </w:rPr>
        <w:t xml:space="preserve"> Acid Mine Drainage </w:t>
      </w:r>
      <w:r w:rsidR="00EC3256" w:rsidRPr="00D11E61">
        <w:rPr>
          <w:rFonts w:asciiTheme="minorHAnsi" w:hAnsiTheme="minorHAnsi" w:cstheme="minorHAnsi"/>
          <w:b w:val="0"/>
          <w:sz w:val="22"/>
          <w:szCs w:val="22"/>
        </w:rPr>
        <w:t xml:space="preserve">at the Tar Creek Superfund Site </w:t>
      </w:r>
      <w:r w:rsidR="00563B77" w:rsidRPr="00D11E61">
        <w:rPr>
          <w:rFonts w:asciiTheme="minorHAnsi" w:hAnsiTheme="minorHAnsi" w:cstheme="minorHAnsi"/>
          <w:b w:val="0"/>
          <w:sz w:val="22"/>
          <w:szCs w:val="22"/>
        </w:rPr>
        <w:t>………………………</w:t>
      </w:r>
      <w:r w:rsidR="009F1B2B" w:rsidRPr="00D11E61">
        <w:rPr>
          <w:rFonts w:asciiTheme="minorHAnsi" w:hAnsiTheme="minorHAnsi" w:cstheme="minorHAnsi"/>
          <w:b w:val="0"/>
          <w:sz w:val="22"/>
          <w:szCs w:val="22"/>
        </w:rPr>
        <w:t>.....</w:t>
      </w:r>
      <w:r w:rsidR="00EE471A" w:rsidRPr="00D11E61">
        <w:rPr>
          <w:rFonts w:asciiTheme="minorHAnsi" w:hAnsiTheme="minorHAnsi" w:cstheme="minorHAnsi"/>
          <w:b w:val="0"/>
          <w:sz w:val="22"/>
          <w:szCs w:val="22"/>
        </w:rPr>
        <w:t>.......................</w:t>
      </w:r>
      <w:r w:rsidR="00D11E61" w:rsidRPr="00D11E61">
        <w:rPr>
          <w:rFonts w:asciiTheme="minorHAnsi" w:hAnsiTheme="minorHAnsi" w:cstheme="minorHAnsi"/>
          <w:b w:val="0"/>
          <w:sz w:val="22"/>
          <w:szCs w:val="22"/>
        </w:rPr>
        <w:t>...........................</w:t>
      </w:r>
      <w:r w:rsidR="00D11E61">
        <w:rPr>
          <w:rFonts w:asciiTheme="minorHAnsi" w:hAnsiTheme="minorHAnsi" w:cstheme="minorHAnsi"/>
          <w:b w:val="0"/>
          <w:sz w:val="22"/>
          <w:szCs w:val="22"/>
        </w:rPr>
        <w:t>.......................</w:t>
      </w:r>
      <w:r w:rsidR="00D11E61" w:rsidRPr="00D11E61">
        <w:rPr>
          <w:rFonts w:asciiTheme="minorHAnsi" w:hAnsiTheme="minorHAnsi" w:cstheme="minorHAnsi"/>
          <w:b w:val="0"/>
          <w:sz w:val="22"/>
          <w:szCs w:val="22"/>
        </w:rPr>
        <w:t>..</w:t>
      </w:r>
      <w:r w:rsidR="009F1B2B" w:rsidRPr="00D11E61">
        <w:rPr>
          <w:rFonts w:asciiTheme="minorHAnsi" w:hAnsiTheme="minorHAnsi" w:cstheme="minorHAnsi"/>
          <w:b w:val="0"/>
          <w:sz w:val="22"/>
          <w:szCs w:val="22"/>
        </w:rPr>
        <w:t>...</w:t>
      </w:r>
      <w:r w:rsidR="00EC3256" w:rsidRPr="00D11E61">
        <w:rPr>
          <w:rFonts w:asciiTheme="minorHAnsi" w:hAnsiTheme="minorHAnsi" w:cstheme="minorHAnsi"/>
          <w:b w:val="0"/>
          <w:sz w:val="22"/>
          <w:szCs w:val="22"/>
        </w:rPr>
        <w:t>...</w:t>
      </w:r>
      <w:r w:rsidRPr="00D11E61">
        <w:rPr>
          <w:rFonts w:asciiTheme="minorHAnsi" w:hAnsiTheme="minorHAnsi" w:cstheme="minorHAnsi"/>
          <w:b w:val="0"/>
          <w:sz w:val="22"/>
          <w:szCs w:val="22"/>
        </w:rPr>
        <w:t xml:space="preserve">1 </w:t>
      </w:r>
    </w:p>
    <w:p w14:paraId="777CEB1B" w14:textId="1BA3CA7B" w:rsidR="005E61AF" w:rsidRPr="00D11E61" w:rsidRDefault="005E61AF" w:rsidP="00EE471A">
      <w:pPr>
        <w:pStyle w:val="Default"/>
        <w:jc w:val="both"/>
        <w:rPr>
          <w:rFonts w:asciiTheme="minorHAnsi" w:hAnsiTheme="minorHAnsi" w:cstheme="minorHAnsi"/>
          <w:bCs/>
          <w:sz w:val="22"/>
          <w:szCs w:val="22"/>
        </w:rPr>
      </w:pPr>
      <w:r w:rsidRPr="00D11E61">
        <w:rPr>
          <w:rFonts w:asciiTheme="minorHAnsi" w:hAnsiTheme="minorHAnsi" w:cstheme="minorHAnsi"/>
          <w:bCs/>
          <w:sz w:val="22"/>
          <w:szCs w:val="22"/>
        </w:rPr>
        <w:t>Abstract…………………………………………………</w:t>
      </w:r>
      <w:r w:rsidR="0057135D">
        <w:rPr>
          <w:rFonts w:asciiTheme="minorHAnsi" w:hAnsiTheme="minorHAnsi" w:cstheme="minorHAnsi"/>
          <w:bCs/>
          <w:sz w:val="22"/>
          <w:szCs w:val="22"/>
        </w:rPr>
        <w:t>………………………………………………………………………</w:t>
      </w:r>
      <w:proofErr w:type="gramStart"/>
      <w:r w:rsidR="0057135D">
        <w:rPr>
          <w:rFonts w:asciiTheme="minorHAnsi" w:hAnsiTheme="minorHAnsi" w:cstheme="minorHAnsi"/>
          <w:bCs/>
          <w:sz w:val="22"/>
          <w:szCs w:val="22"/>
        </w:rPr>
        <w:t>…..</w:t>
      </w:r>
      <w:proofErr w:type="gramEnd"/>
      <w:r w:rsidR="0057135D">
        <w:rPr>
          <w:rFonts w:asciiTheme="minorHAnsi" w:hAnsiTheme="minorHAnsi" w:cstheme="minorHAnsi"/>
          <w:bCs/>
          <w:sz w:val="22"/>
          <w:szCs w:val="22"/>
        </w:rPr>
        <w:t>…….1</w:t>
      </w:r>
    </w:p>
    <w:p w14:paraId="193EFDE7" w14:textId="4419AE7A" w:rsidR="00D80D43" w:rsidRPr="00D11E61" w:rsidRDefault="00D80D43"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Introduction</w:t>
      </w:r>
      <w:r w:rsidRPr="00D11E61">
        <w:rPr>
          <w:rFonts w:asciiTheme="minorHAnsi" w:hAnsiTheme="minorHAnsi" w:cstheme="minorHAnsi"/>
          <w:sz w:val="22"/>
          <w:szCs w:val="22"/>
        </w:rPr>
        <w:t>.........................................................................................</w:t>
      </w:r>
      <w:r w:rsidR="00563B77" w:rsidRPr="00D11E61">
        <w:rPr>
          <w:rFonts w:asciiTheme="minorHAnsi" w:hAnsiTheme="minorHAnsi" w:cstheme="minorHAnsi"/>
          <w:sz w:val="22"/>
          <w:szCs w:val="22"/>
        </w:rPr>
        <w:t>........</w:t>
      </w:r>
      <w:r w:rsidRPr="00D11E61">
        <w:rPr>
          <w:rFonts w:asciiTheme="minorHAnsi" w:hAnsiTheme="minorHAnsi" w:cstheme="minorHAnsi"/>
          <w:sz w:val="22"/>
          <w:szCs w:val="22"/>
        </w:rPr>
        <w:t>........................</w:t>
      </w:r>
      <w:r w:rsidR="00FB0EED" w:rsidRPr="00D11E61">
        <w:rPr>
          <w:rFonts w:asciiTheme="minorHAnsi" w:hAnsiTheme="minorHAnsi" w:cstheme="minorHAnsi"/>
          <w:sz w:val="22"/>
          <w:szCs w:val="22"/>
        </w:rPr>
        <w:t>.</w:t>
      </w:r>
      <w:r w:rsidRPr="00D11E61">
        <w:rPr>
          <w:rFonts w:asciiTheme="minorHAnsi" w:hAnsiTheme="minorHAnsi" w:cstheme="minorHAnsi"/>
          <w:sz w:val="22"/>
          <w:szCs w:val="22"/>
        </w:rPr>
        <w:t>...</w:t>
      </w:r>
      <w:r w:rsidR="005E61AF" w:rsidRPr="00D11E61">
        <w:rPr>
          <w:rFonts w:asciiTheme="minorHAnsi" w:hAnsiTheme="minorHAnsi" w:cstheme="minorHAnsi"/>
          <w:sz w:val="22"/>
          <w:szCs w:val="22"/>
        </w:rPr>
        <w:t>.</w:t>
      </w:r>
      <w:r w:rsidRPr="00D11E61">
        <w:rPr>
          <w:rFonts w:asciiTheme="minorHAnsi" w:hAnsiTheme="minorHAnsi" w:cstheme="minorHAnsi"/>
          <w:sz w:val="22"/>
          <w:szCs w:val="22"/>
        </w:rPr>
        <w:t>....</w:t>
      </w:r>
      <w:r w:rsidR="005E61AF" w:rsidRPr="00D11E61">
        <w:rPr>
          <w:rFonts w:asciiTheme="minorHAnsi" w:hAnsiTheme="minorHAnsi" w:cstheme="minorHAnsi"/>
          <w:sz w:val="22"/>
          <w:szCs w:val="22"/>
        </w:rPr>
        <w:t>2</w:t>
      </w:r>
      <w:r w:rsidRPr="00D11E61">
        <w:rPr>
          <w:rFonts w:asciiTheme="minorHAnsi" w:hAnsiTheme="minorHAnsi" w:cstheme="minorHAnsi"/>
          <w:sz w:val="22"/>
          <w:szCs w:val="22"/>
        </w:rPr>
        <w:t xml:space="preserve"> </w:t>
      </w:r>
    </w:p>
    <w:p w14:paraId="5CF017DA" w14:textId="36671779" w:rsidR="00D80D43" w:rsidRPr="00D11E61" w:rsidRDefault="00563B77"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Acid Mine Drainage</w:t>
      </w:r>
      <w:r w:rsidR="009F1B2B" w:rsidRPr="00D11E61">
        <w:rPr>
          <w:rFonts w:asciiTheme="minorHAnsi" w:hAnsiTheme="minorHAnsi" w:cstheme="minorHAnsi"/>
          <w:bCs/>
          <w:sz w:val="22"/>
          <w:szCs w:val="22"/>
        </w:rPr>
        <w:t>………………………………………………………………………………………………………………….</w:t>
      </w:r>
      <w:r w:rsidR="005E61AF" w:rsidRPr="00D11E61">
        <w:rPr>
          <w:rFonts w:asciiTheme="minorHAnsi" w:hAnsiTheme="minorHAnsi" w:cstheme="minorHAnsi"/>
          <w:sz w:val="22"/>
          <w:szCs w:val="22"/>
        </w:rPr>
        <w:t>4</w:t>
      </w:r>
      <w:r w:rsidR="00D80D43" w:rsidRPr="00D11E61">
        <w:rPr>
          <w:rFonts w:asciiTheme="minorHAnsi" w:hAnsiTheme="minorHAnsi" w:cstheme="minorHAnsi"/>
          <w:sz w:val="22"/>
          <w:szCs w:val="22"/>
        </w:rPr>
        <w:t xml:space="preserve"> </w:t>
      </w:r>
    </w:p>
    <w:p w14:paraId="351FEA6D" w14:textId="37D2B7DF" w:rsidR="00D80D43" w:rsidRPr="00D11E61" w:rsidRDefault="00D80D43"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Passive Treatment Technology………………………………………….</w:t>
      </w:r>
      <w:r w:rsidRPr="00D11E61">
        <w:rPr>
          <w:rFonts w:asciiTheme="minorHAnsi" w:hAnsiTheme="minorHAnsi" w:cstheme="minorHAnsi"/>
          <w:sz w:val="22"/>
          <w:szCs w:val="22"/>
        </w:rPr>
        <w:t>......................................</w:t>
      </w:r>
      <w:r w:rsidR="00563B77" w:rsidRPr="00D11E61">
        <w:rPr>
          <w:rFonts w:asciiTheme="minorHAnsi" w:hAnsiTheme="minorHAnsi" w:cstheme="minorHAnsi"/>
          <w:sz w:val="22"/>
          <w:szCs w:val="22"/>
        </w:rPr>
        <w:t>......</w:t>
      </w:r>
      <w:r w:rsidRPr="00D11E61">
        <w:rPr>
          <w:rFonts w:asciiTheme="minorHAnsi" w:hAnsiTheme="minorHAnsi" w:cstheme="minorHAnsi"/>
          <w:sz w:val="22"/>
          <w:szCs w:val="22"/>
        </w:rPr>
        <w:t>..</w:t>
      </w:r>
      <w:r w:rsidR="009F1B2B" w:rsidRPr="00D11E61">
        <w:rPr>
          <w:rFonts w:asciiTheme="minorHAnsi" w:hAnsiTheme="minorHAnsi" w:cstheme="minorHAnsi"/>
          <w:sz w:val="22"/>
          <w:szCs w:val="22"/>
        </w:rPr>
        <w:t>.</w:t>
      </w:r>
      <w:r w:rsidRPr="00D11E61">
        <w:rPr>
          <w:rFonts w:asciiTheme="minorHAnsi" w:hAnsiTheme="minorHAnsi" w:cstheme="minorHAnsi"/>
          <w:sz w:val="22"/>
          <w:szCs w:val="22"/>
        </w:rPr>
        <w:t>...</w:t>
      </w:r>
      <w:r w:rsidR="00FB0EED" w:rsidRPr="00D11E61">
        <w:rPr>
          <w:rFonts w:asciiTheme="minorHAnsi" w:hAnsiTheme="minorHAnsi" w:cstheme="minorHAnsi"/>
          <w:sz w:val="22"/>
          <w:szCs w:val="22"/>
        </w:rPr>
        <w:t>.</w:t>
      </w:r>
      <w:r w:rsidRPr="00D11E61">
        <w:rPr>
          <w:rFonts w:asciiTheme="minorHAnsi" w:hAnsiTheme="minorHAnsi" w:cstheme="minorHAnsi"/>
          <w:sz w:val="22"/>
          <w:szCs w:val="22"/>
        </w:rPr>
        <w:t>......</w:t>
      </w:r>
      <w:r w:rsidR="0057135D">
        <w:rPr>
          <w:rFonts w:asciiTheme="minorHAnsi" w:hAnsiTheme="minorHAnsi" w:cstheme="minorHAnsi"/>
          <w:sz w:val="22"/>
          <w:szCs w:val="22"/>
        </w:rPr>
        <w:t>6</w:t>
      </w:r>
      <w:r w:rsidRPr="00D11E61">
        <w:rPr>
          <w:rFonts w:asciiTheme="minorHAnsi" w:hAnsiTheme="minorHAnsi" w:cstheme="minorHAnsi"/>
          <w:sz w:val="22"/>
          <w:szCs w:val="22"/>
        </w:rPr>
        <w:t xml:space="preserve"> </w:t>
      </w:r>
    </w:p>
    <w:p w14:paraId="0FBD9302" w14:textId="3DC9F419" w:rsidR="00D80D43" w:rsidRPr="00D11E61" w:rsidRDefault="00D80D43"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Mayer Ranch Passive Treatment System….……………………….</w:t>
      </w:r>
      <w:r w:rsidRPr="00D11E61">
        <w:rPr>
          <w:rFonts w:asciiTheme="minorHAnsi" w:hAnsiTheme="minorHAnsi" w:cstheme="minorHAnsi"/>
          <w:sz w:val="22"/>
          <w:szCs w:val="22"/>
        </w:rPr>
        <w:t>............................................</w:t>
      </w:r>
      <w:r w:rsidR="009F1B2B" w:rsidRPr="00D11E61">
        <w:rPr>
          <w:rFonts w:asciiTheme="minorHAnsi" w:hAnsiTheme="minorHAnsi" w:cstheme="minorHAnsi"/>
          <w:sz w:val="22"/>
          <w:szCs w:val="22"/>
        </w:rPr>
        <w:t>.</w:t>
      </w:r>
      <w:r w:rsidR="00FB0EED" w:rsidRPr="00D11E61">
        <w:rPr>
          <w:rFonts w:asciiTheme="minorHAnsi" w:hAnsiTheme="minorHAnsi" w:cstheme="minorHAnsi"/>
          <w:sz w:val="22"/>
          <w:szCs w:val="22"/>
        </w:rPr>
        <w:t>.</w:t>
      </w:r>
      <w:r w:rsidRPr="00D11E61">
        <w:rPr>
          <w:rFonts w:asciiTheme="minorHAnsi" w:hAnsiTheme="minorHAnsi" w:cstheme="minorHAnsi"/>
          <w:sz w:val="22"/>
          <w:szCs w:val="22"/>
        </w:rPr>
        <w:t>..</w:t>
      </w:r>
      <w:r w:rsidR="00563B77" w:rsidRPr="00D11E61">
        <w:rPr>
          <w:rFonts w:asciiTheme="minorHAnsi" w:hAnsiTheme="minorHAnsi" w:cstheme="minorHAnsi"/>
          <w:sz w:val="22"/>
          <w:szCs w:val="22"/>
        </w:rPr>
        <w:t>.</w:t>
      </w:r>
      <w:r w:rsidR="00EE471A" w:rsidRPr="00D11E61">
        <w:rPr>
          <w:rFonts w:asciiTheme="minorHAnsi" w:hAnsiTheme="minorHAnsi" w:cstheme="minorHAnsi"/>
          <w:sz w:val="22"/>
          <w:szCs w:val="22"/>
        </w:rPr>
        <w:t>.</w:t>
      </w:r>
      <w:r w:rsidR="00563B77" w:rsidRPr="00D11E61">
        <w:rPr>
          <w:rFonts w:asciiTheme="minorHAnsi" w:hAnsiTheme="minorHAnsi" w:cstheme="minorHAnsi"/>
          <w:sz w:val="22"/>
          <w:szCs w:val="22"/>
        </w:rPr>
        <w:t>.....</w:t>
      </w:r>
      <w:r w:rsidRPr="00D11E61">
        <w:rPr>
          <w:rFonts w:asciiTheme="minorHAnsi" w:hAnsiTheme="minorHAnsi" w:cstheme="minorHAnsi"/>
          <w:sz w:val="22"/>
          <w:szCs w:val="22"/>
        </w:rPr>
        <w:t>...</w:t>
      </w:r>
      <w:r w:rsidR="005E61AF" w:rsidRPr="00D11E61">
        <w:rPr>
          <w:rFonts w:asciiTheme="minorHAnsi" w:hAnsiTheme="minorHAnsi" w:cstheme="minorHAnsi"/>
          <w:sz w:val="22"/>
          <w:szCs w:val="22"/>
        </w:rPr>
        <w:t>8</w:t>
      </w:r>
      <w:r w:rsidRPr="00D11E61">
        <w:rPr>
          <w:rFonts w:asciiTheme="minorHAnsi" w:hAnsiTheme="minorHAnsi" w:cstheme="minorHAnsi"/>
          <w:sz w:val="22"/>
          <w:szCs w:val="22"/>
        </w:rPr>
        <w:t xml:space="preserve"> </w:t>
      </w:r>
    </w:p>
    <w:p w14:paraId="4088CEEE" w14:textId="159F2E91" w:rsidR="00D80D43" w:rsidRPr="00D11E61" w:rsidRDefault="00D80D43" w:rsidP="00EE471A">
      <w:pPr>
        <w:pStyle w:val="Default"/>
        <w:jc w:val="both"/>
        <w:rPr>
          <w:rFonts w:asciiTheme="minorHAnsi" w:hAnsiTheme="minorHAnsi" w:cstheme="minorHAnsi"/>
          <w:color w:val="auto"/>
          <w:sz w:val="22"/>
          <w:szCs w:val="22"/>
        </w:rPr>
      </w:pPr>
      <w:r w:rsidRPr="00D11E61">
        <w:rPr>
          <w:rFonts w:asciiTheme="minorHAnsi" w:hAnsiTheme="minorHAnsi" w:cstheme="minorHAnsi"/>
          <w:bCs/>
          <w:color w:val="auto"/>
          <w:sz w:val="22"/>
          <w:szCs w:val="22"/>
        </w:rPr>
        <w:t xml:space="preserve">MRPTS Performance Assessment </w:t>
      </w:r>
      <w:r w:rsidRPr="00D11E61">
        <w:rPr>
          <w:rFonts w:asciiTheme="minorHAnsi" w:hAnsiTheme="minorHAnsi" w:cstheme="minorHAnsi"/>
          <w:color w:val="auto"/>
          <w:sz w:val="22"/>
          <w:szCs w:val="22"/>
        </w:rPr>
        <w:t>..................................................................</w:t>
      </w:r>
      <w:r w:rsidR="00563B77" w:rsidRPr="00D11E61">
        <w:rPr>
          <w:rFonts w:asciiTheme="minorHAnsi" w:hAnsiTheme="minorHAnsi" w:cstheme="minorHAnsi"/>
          <w:color w:val="auto"/>
          <w:sz w:val="22"/>
          <w:szCs w:val="22"/>
        </w:rPr>
        <w:t>.......</w:t>
      </w:r>
      <w:r w:rsidRPr="00D11E61">
        <w:rPr>
          <w:rFonts w:asciiTheme="minorHAnsi" w:hAnsiTheme="minorHAnsi" w:cstheme="minorHAnsi"/>
          <w:color w:val="auto"/>
          <w:sz w:val="22"/>
          <w:szCs w:val="22"/>
        </w:rPr>
        <w:t>..................</w:t>
      </w:r>
      <w:r w:rsidR="00EE471A" w:rsidRPr="00D11E61">
        <w:rPr>
          <w:rFonts w:asciiTheme="minorHAnsi" w:hAnsiTheme="minorHAnsi" w:cstheme="minorHAnsi"/>
          <w:color w:val="auto"/>
          <w:sz w:val="22"/>
          <w:szCs w:val="22"/>
        </w:rPr>
        <w:t>.</w:t>
      </w:r>
      <w:r w:rsidRPr="00D11E61">
        <w:rPr>
          <w:rFonts w:asciiTheme="minorHAnsi" w:hAnsiTheme="minorHAnsi" w:cstheme="minorHAnsi"/>
          <w:color w:val="auto"/>
          <w:sz w:val="22"/>
          <w:szCs w:val="22"/>
        </w:rPr>
        <w:t xml:space="preserve">... </w:t>
      </w:r>
      <w:r w:rsidR="0057135D">
        <w:rPr>
          <w:rFonts w:asciiTheme="minorHAnsi" w:hAnsiTheme="minorHAnsi" w:cstheme="minorHAnsi"/>
          <w:color w:val="auto"/>
          <w:sz w:val="22"/>
          <w:szCs w:val="22"/>
        </w:rPr>
        <w:t>13</w:t>
      </w:r>
      <w:r w:rsidRPr="00D11E61">
        <w:rPr>
          <w:rFonts w:asciiTheme="minorHAnsi" w:hAnsiTheme="minorHAnsi" w:cstheme="minorHAnsi"/>
          <w:color w:val="auto"/>
          <w:sz w:val="22"/>
          <w:szCs w:val="22"/>
        </w:rPr>
        <w:t xml:space="preserve"> </w:t>
      </w:r>
    </w:p>
    <w:p w14:paraId="0A5A89F8" w14:textId="6283727A" w:rsidR="00D80D43" w:rsidRPr="00D11E61" w:rsidRDefault="00670FBA"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Conclusions</w:t>
      </w:r>
      <w:r w:rsidR="00D80D43" w:rsidRPr="00D11E61">
        <w:rPr>
          <w:rFonts w:asciiTheme="minorHAnsi" w:hAnsiTheme="minorHAnsi" w:cstheme="minorHAnsi"/>
          <w:bCs/>
          <w:sz w:val="22"/>
          <w:szCs w:val="22"/>
        </w:rPr>
        <w:t xml:space="preserve"> </w:t>
      </w:r>
      <w:r w:rsidR="00D80D43" w:rsidRPr="00D11E61">
        <w:rPr>
          <w:rFonts w:asciiTheme="minorHAnsi" w:hAnsiTheme="minorHAnsi" w:cstheme="minorHAnsi"/>
          <w:sz w:val="22"/>
          <w:szCs w:val="22"/>
        </w:rPr>
        <w:t>.......................................</w:t>
      </w:r>
      <w:r w:rsidRPr="00D11E61">
        <w:rPr>
          <w:rFonts w:asciiTheme="minorHAnsi" w:hAnsiTheme="minorHAnsi" w:cstheme="minorHAnsi"/>
          <w:sz w:val="22"/>
          <w:szCs w:val="22"/>
        </w:rPr>
        <w:t>.........................</w:t>
      </w:r>
      <w:r w:rsidR="00D80D43" w:rsidRPr="00D11E61">
        <w:rPr>
          <w:rFonts w:asciiTheme="minorHAnsi" w:hAnsiTheme="minorHAnsi" w:cstheme="minorHAnsi"/>
          <w:sz w:val="22"/>
          <w:szCs w:val="22"/>
        </w:rPr>
        <w:t>....</w:t>
      </w:r>
      <w:r w:rsidRPr="00D11E61">
        <w:rPr>
          <w:rFonts w:asciiTheme="minorHAnsi" w:hAnsiTheme="minorHAnsi" w:cstheme="minorHAnsi"/>
          <w:sz w:val="22"/>
          <w:szCs w:val="22"/>
        </w:rPr>
        <w:t>....................................</w:t>
      </w:r>
      <w:r w:rsidR="00D80D43" w:rsidRPr="00D11E61">
        <w:rPr>
          <w:rFonts w:asciiTheme="minorHAnsi" w:hAnsiTheme="minorHAnsi" w:cstheme="minorHAnsi"/>
          <w:sz w:val="22"/>
          <w:szCs w:val="22"/>
        </w:rPr>
        <w:t>.......</w:t>
      </w:r>
      <w:r w:rsidR="00563B77" w:rsidRPr="00D11E61">
        <w:rPr>
          <w:rFonts w:asciiTheme="minorHAnsi" w:hAnsiTheme="minorHAnsi" w:cstheme="minorHAnsi"/>
          <w:sz w:val="22"/>
          <w:szCs w:val="22"/>
        </w:rPr>
        <w:t>........</w:t>
      </w:r>
      <w:r w:rsidR="00D80D43" w:rsidRPr="00D11E61">
        <w:rPr>
          <w:rFonts w:asciiTheme="minorHAnsi" w:hAnsiTheme="minorHAnsi" w:cstheme="minorHAnsi"/>
          <w:sz w:val="22"/>
          <w:szCs w:val="22"/>
        </w:rPr>
        <w:t xml:space="preserve">......... </w:t>
      </w:r>
      <w:r w:rsidRPr="00D11E61">
        <w:rPr>
          <w:rFonts w:asciiTheme="minorHAnsi" w:hAnsiTheme="minorHAnsi" w:cstheme="minorHAnsi"/>
          <w:sz w:val="22"/>
          <w:szCs w:val="22"/>
        </w:rPr>
        <w:t>1</w:t>
      </w:r>
      <w:r w:rsidR="0057135D">
        <w:rPr>
          <w:rFonts w:asciiTheme="minorHAnsi" w:hAnsiTheme="minorHAnsi" w:cstheme="minorHAnsi"/>
          <w:sz w:val="22"/>
          <w:szCs w:val="22"/>
        </w:rPr>
        <w:t>9</w:t>
      </w:r>
      <w:r w:rsidR="00D80D43" w:rsidRPr="00D11E61">
        <w:rPr>
          <w:rFonts w:asciiTheme="minorHAnsi" w:hAnsiTheme="minorHAnsi" w:cstheme="minorHAnsi"/>
          <w:sz w:val="22"/>
          <w:szCs w:val="22"/>
        </w:rPr>
        <w:t xml:space="preserve"> </w:t>
      </w:r>
    </w:p>
    <w:p w14:paraId="4E6BB646" w14:textId="0A5F43E2" w:rsidR="00D80D43" w:rsidRPr="00D11E61" w:rsidRDefault="00EB04ED" w:rsidP="00EE471A">
      <w:pPr>
        <w:pStyle w:val="Default"/>
        <w:jc w:val="both"/>
        <w:rPr>
          <w:rFonts w:asciiTheme="minorHAnsi" w:hAnsiTheme="minorHAnsi" w:cstheme="minorHAnsi"/>
          <w:sz w:val="22"/>
          <w:szCs w:val="22"/>
        </w:rPr>
      </w:pPr>
      <w:r>
        <w:rPr>
          <w:rFonts w:asciiTheme="minorHAnsi" w:hAnsiTheme="minorHAnsi" w:cstheme="minorHAnsi"/>
          <w:sz w:val="22"/>
          <w:szCs w:val="22"/>
        </w:rPr>
        <w:t>Literature Cited</w:t>
      </w:r>
      <w:r w:rsidR="0097307B" w:rsidRPr="00D11E61">
        <w:rPr>
          <w:rFonts w:asciiTheme="minorHAnsi" w:hAnsiTheme="minorHAnsi" w:cstheme="minorHAnsi"/>
          <w:sz w:val="22"/>
          <w:szCs w:val="22"/>
        </w:rPr>
        <w:t xml:space="preserve"> ..............</w:t>
      </w:r>
      <w:r w:rsidR="00D80D43" w:rsidRPr="00D11E61">
        <w:rPr>
          <w:rFonts w:asciiTheme="minorHAnsi" w:hAnsiTheme="minorHAnsi" w:cstheme="minorHAnsi"/>
          <w:sz w:val="22"/>
          <w:szCs w:val="22"/>
        </w:rPr>
        <w:t>.....................</w:t>
      </w:r>
      <w:r>
        <w:rPr>
          <w:rFonts w:asciiTheme="minorHAnsi" w:hAnsiTheme="minorHAnsi" w:cstheme="minorHAnsi"/>
          <w:sz w:val="22"/>
          <w:szCs w:val="22"/>
        </w:rPr>
        <w:t>..........................</w:t>
      </w:r>
      <w:r w:rsidR="00D80D43" w:rsidRPr="00D11E61">
        <w:rPr>
          <w:rFonts w:asciiTheme="minorHAnsi" w:hAnsiTheme="minorHAnsi" w:cstheme="minorHAnsi"/>
          <w:sz w:val="22"/>
          <w:szCs w:val="22"/>
        </w:rPr>
        <w:t>.....................</w:t>
      </w:r>
      <w:r w:rsidR="00670FBA" w:rsidRPr="00D11E61">
        <w:rPr>
          <w:rFonts w:asciiTheme="minorHAnsi" w:hAnsiTheme="minorHAnsi" w:cstheme="minorHAnsi"/>
          <w:sz w:val="22"/>
          <w:szCs w:val="22"/>
        </w:rPr>
        <w:t>........................................</w:t>
      </w:r>
      <w:r w:rsidR="00D80D43" w:rsidRPr="00D11E61">
        <w:rPr>
          <w:rFonts w:asciiTheme="minorHAnsi" w:hAnsiTheme="minorHAnsi" w:cstheme="minorHAnsi"/>
          <w:sz w:val="22"/>
          <w:szCs w:val="22"/>
        </w:rPr>
        <w:t>.</w:t>
      </w:r>
      <w:r w:rsidR="0057135D">
        <w:rPr>
          <w:rFonts w:asciiTheme="minorHAnsi" w:hAnsiTheme="minorHAnsi" w:cstheme="minorHAnsi"/>
          <w:sz w:val="22"/>
          <w:szCs w:val="22"/>
        </w:rPr>
        <w:t>20</w:t>
      </w:r>
      <w:r w:rsidR="00D80D43" w:rsidRPr="00D11E61">
        <w:rPr>
          <w:rFonts w:asciiTheme="minorHAnsi" w:hAnsiTheme="minorHAnsi" w:cstheme="minorHAnsi"/>
          <w:sz w:val="22"/>
          <w:szCs w:val="22"/>
        </w:rPr>
        <w:t xml:space="preserve"> </w:t>
      </w:r>
    </w:p>
    <w:p w14:paraId="55025BF7" w14:textId="77777777" w:rsidR="00670FBA" w:rsidRPr="007771A0" w:rsidRDefault="00670FBA" w:rsidP="00EE471A">
      <w:pPr>
        <w:pStyle w:val="Default"/>
        <w:jc w:val="both"/>
        <w:rPr>
          <w:rFonts w:asciiTheme="minorHAnsi" w:hAnsiTheme="minorHAnsi" w:cstheme="minorHAnsi"/>
          <w:sz w:val="2"/>
          <w:szCs w:val="22"/>
        </w:rPr>
      </w:pPr>
    </w:p>
    <w:p w14:paraId="74AF6A8F" w14:textId="6D198566" w:rsidR="00D80D43" w:rsidRPr="00D11E61" w:rsidRDefault="00670FBA" w:rsidP="00EE471A">
      <w:pPr>
        <w:pStyle w:val="Heading1"/>
        <w:jc w:val="both"/>
        <w:rPr>
          <w:rFonts w:asciiTheme="minorHAnsi" w:hAnsiTheme="minorHAnsi" w:cstheme="minorHAnsi"/>
          <w:b w:val="0"/>
          <w:sz w:val="22"/>
          <w:szCs w:val="22"/>
        </w:rPr>
      </w:pPr>
      <w:r w:rsidRPr="00D11E61">
        <w:rPr>
          <w:rFonts w:asciiTheme="minorHAnsi" w:hAnsiTheme="minorHAnsi" w:cstheme="minorHAnsi"/>
          <w:sz w:val="22"/>
          <w:szCs w:val="22"/>
        </w:rPr>
        <w:t xml:space="preserve">Chapter 2: </w:t>
      </w:r>
      <w:r w:rsidRPr="00D11E61">
        <w:rPr>
          <w:rFonts w:asciiTheme="minorHAnsi" w:hAnsiTheme="minorHAnsi" w:cstheme="minorHAnsi"/>
          <w:b w:val="0"/>
          <w:sz w:val="22"/>
          <w:szCs w:val="22"/>
        </w:rPr>
        <w:t xml:space="preserve">Spatial Profiling of Seasonally Influenced Iron Removal in an Oxidation Treatment Cell </w:t>
      </w:r>
      <w:r w:rsidR="0010766D" w:rsidRPr="00D11E61">
        <w:rPr>
          <w:rFonts w:asciiTheme="minorHAnsi" w:hAnsiTheme="minorHAnsi" w:cstheme="minorHAnsi"/>
          <w:b w:val="0"/>
          <w:sz w:val="22"/>
          <w:szCs w:val="22"/>
        </w:rPr>
        <w:t>………………………………</w:t>
      </w:r>
      <w:r w:rsidR="00D11E61">
        <w:rPr>
          <w:rFonts w:asciiTheme="minorHAnsi" w:hAnsiTheme="minorHAnsi" w:cstheme="minorHAnsi"/>
          <w:b w:val="0"/>
          <w:sz w:val="22"/>
          <w:szCs w:val="22"/>
        </w:rPr>
        <w:t>………………………….</w:t>
      </w:r>
      <w:r w:rsidR="0010766D" w:rsidRPr="00D11E61">
        <w:rPr>
          <w:rFonts w:asciiTheme="minorHAnsi" w:hAnsiTheme="minorHAnsi" w:cstheme="minorHAnsi"/>
          <w:b w:val="0"/>
          <w:sz w:val="22"/>
          <w:szCs w:val="22"/>
        </w:rPr>
        <w:t>……………</w:t>
      </w:r>
      <w:r w:rsidR="00C13AF6" w:rsidRPr="00D11E61">
        <w:rPr>
          <w:rFonts w:asciiTheme="minorHAnsi" w:hAnsiTheme="minorHAnsi" w:cstheme="minorHAnsi"/>
          <w:b w:val="0"/>
          <w:sz w:val="22"/>
          <w:szCs w:val="22"/>
        </w:rPr>
        <w:t>…</w:t>
      </w:r>
      <w:r w:rsidR="00EE471A" w:rsidRPr="00D11E61">
        <w:rPr>
          <w:rFonts w:asciiTheme="minorHAnsi" w:hAnsiTheme="minorHAnsi" w:cstheme="minorHAnsi"/>
          <w:b w:val="0"/>
          <w:sz w:val="22"/>
          <w:szCs w:val="22"/>
        </w:rPr>
        <w:t>………………………………………</w:t>
      </w:r>
      <w:r w:rsidR="00C13AF6" w:rsidRPr="00D11E61">
        <w:rPr>
          <w:rFonts w:asciiTheme="minorHAnsi" w:hAnsiTheme="minorHAnsi" w:cstheme="minorHAnsi"/>
          <w:b w:val="0"/>
          <w:sz w:val="22"/>
          <w:szCs w:val="22"/>
        </w:rPr>
        <w:t>…….</w:t>
      </w:r>
      <w:r w:rsidR="0010766D" w:rsidRPr="00D11E61">
        <w:rPr>
          <w:rFonts w:asciiTheme="minorHAnsi" w:hAnsiTheme="minorHAnsi" w:cstheme="minorHAnsi"/>
          <w:b w:val="0"/>
          <w:sz w:val="22"/>
          <w:szCs w:val="22"/>
        </w:rPr>
        <w:t>……………...2</w:t>
      </w:r>
      <w:r w:rsidR="0057135D">
        <w:rPr>
          <w:rFonts w:asciiTheme="minorHAnsi" w:hAnsiTheme="minorHAnsi" w:cstheme="minorHAnsi"/>
          <w:b w:val="0"/>
          <w:sz w:val="22"/>
          <w:szCs w:val="22"/>
        </w:rPr>
        <w:t>4</w:t>
      </w:r>
      <w:r w:rsidR="00D80D43" w:rsidRPr="00D11E61">
        <w:rPr>
          <w:rFonts w:asciiTheme="minorHAnsi" w:hAnsiTheme="minorHAnsi" w:cstheme="minorHAnsi"/>
          <w:b w:val="0"/>
          <w:sz w:val="22"/>
          <w:szCs w:val="22"/>
        </w:rPr>
        <w:t xml:space="preserve"> </w:t>
      </w:r>
    </w:p>
    <w:p w14:paraId="38FED151" w14:textId="670EC599" w:rsidR="00A172A8" w:rsidRPr="00D11E61" w:rsidRDefault="00A172A8" w:rsidP="00EE471A">
      <w:pPr>
        <w:pStyle w:val="Default"/>
        <w:jc w:val="both"/>
        <w:rPr>
          <w:rFonts w:asciiTheme="minorHAnsi" w:hAnsiTheme="minorHAnsi" w:cstheme="minorHAnsi"/>
          <w:bCs/>
          <w:sz w:val="22"/>
          <w:szCs w:val="22"/>
        </w:rPr>
      </w:pPr>
      <w:r w:rsidRPr="00D11E61">
        <w:rPr>
          <w:rFonts w:asciiTheme="minorHAnsi" w:hAnsiTheme="minorHAnsi" w:cstheme="minorHAnsi"/>
          <w:bCs/>
          <w:sz w:val="22"/>
          <w:szCs w:val="22"/>
        </w:rPr>
        <w:t>Abstract……………………………………………………</w:t>
      </w:r>
      <w:r w:rsidR="0057135D">
        <w:rPr>
          <w:rFonts w:asciiTheme="minorHAnsi" w:hAnsiTheme="minorHAnsi" w:cstheme="minorHAnsi"/>
          <w:bCs/>
          <w:sz w:val="22"/>
          <w:szCs w:val="22"/>
        </w:rPr>
        <w:t>………………………………………………………………………….…24</w:t>
      </w:r>
    </w:p>
    <w:p w14:paraId="0CDD160F" w14:textId="1C6E7873" w:rsidR="00A172A8" w:rsidRPr="00D11E61" w:rsidRDefault="00A172A8" w:rsidP="00EE471A">
      <w:pPr>
        <w:pStyle w:val="Default"/>
        <w:jc w:val="both"/>
        <w:rPr>
          <w:rFonts w:asciiTheme="minorHAnsi" w:hAnsiTheme="minorHAnsi" w:cstheme="minorHAnsi"/>
          <w:bCs/>
          <w:sz w:val="22"/>
          <w:szCs w:val="22"/>
        </w:rPr>
      </w:pPr>
      <w:r w:rsidRPr="00D11E61">
        <w:rPr>
          <w:rFonts w:asciiTheme="minorHAnsi" w:hAnsiTheme="minorHAnsi" w:cstheme="minorHAnsi"/>
          <w:bCs/>
          <w:sz w:val="22"/>
          <w:szCs w:val="22"/>
        </w:rPr>
        <w:t>Introduction……………………………………………………………………………………………………………………………24</w:t>
      </w:r>
    </w:p>
    <w:p w14:paraId="4B194713" w14:textId="2C10EB14" w:rsidR="00D80D43" w:rsidRPr="00D11E61" w:rsidRDefault="00263CB6"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Methods</w:t>
      </w:r>
      <w:r w:rsidR="00D80D43" w:rsidRPr="00D11E61">
        <w:rPr>
          <w:rFonts w:asciiTheme="minorHAnsi" w:hAnsiTheme="minorHAnsi" w:cstheme="minorHAnsi"/>
          <w:sz w:val="22"/>
          <w:szCs w:val="22"/>
        </w:rPr>
        <w:t>............................................................................</w:t>
      </w:r>
      <w:r w:rsidRPr="00D11E61">
        <w:rPr>
          <w:rFonts w:asciiTheme="minorHAnsi" w:hAnsiTheme="minorHAnsi" w:cstheme="minorHAnsi"/>
          <w:sz w:val="22"/>
          <w:szCs w:val="22"/>
        </w:rPr>
        <w:t>.............................................</w:t>
      </w:r>
      <w:r w:rsidR="00D80D43" w:rsidRPr="00D11E61">
        <w:rPr>
          <w:rFonts w:asciiTheme="minorHAnsi" w:hAnsiTheme="minorHAnsi" w:cstheme="minorHAnsi"/>
          <w:sz w:val="22"/>
          <w:szCs w:val="22"/>
        </w:rPr>
        <w:t xml:space="preserve">............ </w:t>
      </w:r>
      <w:r w:rsidR="00A172A8" w:rsidRPr="00D11E61">
        <w:rPr>
          <w:rFonts w:asciiTheme="minorHAnsi" w:hAnsiTheme="minorHAnsi" w:cstheme="minorHAnsi"/>
          <w:sz w:val="22"/>
          <w:szCs w:val="22"/>
        </w:rPr>
        <w:t>26</w:t>
      </w:r>
      <w:r w:rsidR="00D80D43" w:rsidRPr="00D11E61">
        <w:rPr>
          <w:rFonts w:asciiTheme="minorHAnsi" w:hAnsiTheme="minorHAnsi" w:cstheme="minorHAnsi"/>
          <w:sz w:val="22"/>
          <w:szCs w:val="22"/>
        </w:rPr>
        <w:t xml:space="preserve"> </w:t>
      </w:r>
    </w:p>
    <w:p w14:paraId="0E19EE11" w14:textId="3BA8AE86" w:rsidR="00D80D43" w:rsidRPr="00D11E61" w:rsidRDefault="00D80D43"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 xml:space="preserve">Results and discussion </w:t>
      </w:r>
      <w:r w:rsidRPr="00D11E61">
        <w:rPr>
          <w:rFonts w:asciiTheme="minorHAnsi" w:hAnsiTheme="minorHAnsi" w:cstheme="minorHAnsi"/>
          <w:sz w:val="22"/>
          <w:szCs w:val="22"/>
        </w:rPr>
        <w:t>.................................</w:t>
      </w:r>
      <w:r w:rsidR="00263CB6" w:rsidRPr="00D11E61">
        <w:rPr>
          <w:rFonts w:asciiTheme="minorHAnsi" w:hAnsiTheme="minorHAnsi" w:cstheme="minorHAnsi"/>
          <w:sz w:val="22"/>
          <w:szCs w:val="22"/>
        </w:rPr>
        <w:t>.....................</w:t>
      </w:r>
      <w:r w:rsidRPr="00D11E61">
        <w:rPr>
          <w:rFonts w:asciiTheme="minorHAnsi" w:hAnsiTheme="minorHAnsi" w:cstheme="minorHAnsi"/>
          <w:sz w:val="22"/>
          <w:szCs w:val="22"/>
        </w:rPr>
        <w:t>........</w:t>
      </w:r>
      <w:r w:rsidR="00EE471A" w:rsidRPr="00D11E61">
        <w:rPr>
          <w:rFonts w:asciiTheme="minorHAnsi" w:hAnsiTheme="minorHAnsi" w:cstheme="minorHAnsi"/>
          <w:sz w:val="22"/>
          <w:szCs w:val="22"/>
        </w:rPr>
        <w:t>.</w:t>
      </w:r>
      <w:r w:rsidRPr="00D11E61">
        <w:rPr>
          <w:rFonts w:asciiTheme="minorHAnsi" w:hAnsiTheme="minorHAnsi" w:cstheme="minorHAnsi"/>
          <w:sz w:val="22"/>
          <w:szCs w:val="22"/>
        </w:rPr>
        <w:t>.............................................</w:t>
      </w:r>
      <w:r w:rsidR="000F325E" w:rsidRPr="00D11E61">
        <w:rPr>
          <w:rFonts w:asciiTheme="minorHAnsi" w:hAnsiTheme="minorHAnsi" w:cstheme="minorHAnsi"/>
          <w:sz w:val="22"/>
          <w:szCs w:val="22"/>
        </w:rPr>
        <w:t>.</w:t>
      </w:r>
      <w:r w:rsidRPr="00D11E61">
        <w:rPr>
          <w:rFonts w:asciiTheme="minorHAnsi" w:hAnsiTheme="minorHAnsi" w:cstheme="minorHAnsi"/>
          <w:sz w:val="22"/>
          <w:szCs w:val="22"/>
        </w:rPr>
        <w:t xml:space="preserve">... </w:t>
      </w:r>
      <w:r w:rsidR="000F325E" w:rsidRPr="00D11E61">
        <w:rPr>
          <w:rFonts w:asciiTheme="minorHAnsi" w:hAnsiTheme="minorHAnsi" w:cstheme="minorHAnsi"/>
          <w:sz w:val="22"/>
          <w:szCs w:val="22"/>
        </w:rPr>
        <w:t>30</w:t>
      </w:r>
    </w:p>
    <w:p w14:paraId="186A8358" w14:textId="795CE042" w:rsidR="00680FB1" w:rsidRPr="00D11E61" w:rsidRDefault="00D80D43"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 xml:space="preserve">Conclusions </w:t>
      </w:r>
      <w:r w:rsidRPr="00D11E61">
        <w:rPr>
          <w:rFonts w:asciiTheme="minorHAnsi" w:hAnsiTheme="minorHAnsi" w:cstheme="minorHAnsi"/>
          <w:sz w:val="22"/>
          <w:szCs w:val="22"/>
        </w:rPr>
        <w:t>...................................................................................</w:t>
      </w:r>
      <w:r w:rsidR="00680FB1" w:rsidRPr="00D11E61">
        <w:rPr>
          <w:rFonts w:asciiTheme="minorHAnsi" w:hAnsiTheme="minorHAnsi" w:cstheme="minorHAnsi"/>
          <w:sz w:val="22"/>
          <w:szCs w:val="22"/>
        </w:rPr>
        <w:t>..............................</w:t>
      </w:r>
      <w:r w:rsidR="000F325E" w:rsidRPr="00D11E61">
        <w:rPr>
          <w:rFonts w:asciiTheme="minorHAnsi" w:hAnsiTheme="minorHAnsi" w:cstheme="minorHAnsi"/>
          <w:sz w:val="22"/>
          <w:szCs w:val="22"/>
        </w:rPr>
        <w:t>.</w:t>
      </w:r>
      <w:r w:rsidR="00680FB1" w:rsidRPr="00D11E61">
        <w:rPr>
          <w:rFonts w:asciiTheme="minorHAnsi" w:hAnsiTheme="minorHAnsi" w:cstheme="minorHAnsi"/>
          <w:sz w:val="22"/>
          <w:szCs w:val="22"/>
        </w:rPr>
        <w:t>.............</w:t>
      </w:r>
      <w:r w:rsidR="0057135D">
        <w:rPr>
          <w:rFonts w:asciiTheme="minorHAnsi" w:hAnsiTheme="minorHAnsi" w:cstheme="minorHAnsi"/>
          <w:sz w:val="22"/>
          <w:szCs w:val="22"/>
        </w:rPr>
        <w:t>.</w:t>
      </w:r>
      <w:r w:rsidR="00680FB1" w:rsidRPr="00D11E61">
        <w:rPr>
          <w:rFonts w:asciiTheme="minorHAnsi" w:hAnsiTheme="minorHAnsi" w:cstheme="minorHAnsi"/>
          <w:sz w:val="22"/>
          <w:szCs w:val="22"/>
        </w:rPr>
        <w:t>.</w:t>
      </w:r>
      <w:r w:rsidR="0057135D">
        <w:rPr>
          <w:rFonts w:asciiTheme="minorHAnsi" w:hAnsiTheme="minorHAnsi" w:cstheme="minorHAnsi"/>
          <w:sz w:val="22"/>
          <w:szCs w:val="22"/>
        </w:rPr>
        <w:t>45</w:t>
      </w:r>
    </w:p>
    <w:p w14:paraId="40963809" w14:textId="4390A1BD" w:rsidR="00680FB1" w:rsidRPr="00D11E61" w:rsidRDefault="00EB04ED" w:rsidP="00EE471A">
      <w:pPr>
        <w:pStyle w:val="Default"/>
        <w:jc w:val="both"/>
        <w:rPr>
          <w:rFonts w:asciiTheme="minorHAnsi" w:hAnsiTheme="minorHAnsi" w:cstheme="minorHAnsi"/>
          <w:sz w:val="22"/>
          <w:szCs w:val="22"/>
        </w:rPr>
      </w:pPr>
      <w:r>
        <w:rPr>
          <w:rFonts w:asciiTheme="minorHAnsi" w:hAnsiTheme="minorHAnsi" w:cstheme="minorHAnsi"/>
          <w:sz w:val="22"/>
          <w:szCs w:val="22"/>
        </w:rPr>
        <w:t>Literature Citied………………………………</w:t>
      </w:r>
      <w:r w:rsidR="0057135D">
        <w:rPr>
          <w:rFonts w:asciiTheme="minorHAnsi" w:hAnsiTheme="minorHAnsi" w:cstheme="minorHAnsi"/>
          <w:sz w:val="22"/>
          <w:szCs w:val="22"/>
        </w:rPr>
        <w:t>…………………………………………………………………………………</w:t>
      </w:r>
      <w:proofErr w:type="gramStart"/>
      <w:r w:rsidR="0057135D">
        <w:rPr>
          <w:rFonts w:asciiTheme="minorHAnsi" w:hAnsiTheme="minorHAnsi" w:cstheme="minorHAnsi"/>
          <w:sz w:val="22"/>
          <w:szCs w:val="22"/>
        </w:rPr>
        <w:t>...</w:t>
      </w:r>
      <w:r>
        <w:rPr>
          <w:rFonts w:asciiTheme="minorHAnsi" w:hAnsiTheme="minorHAnsi" w:cstheme="minorHAnsi"/>
          <w:sz w:val="22"/>
          <w:szCs w:val="22"/>
        </w:rPr>
        <w:t>..</w:t>
      </w:r>
      <w:proofErr w:type="gramEnd"/>
      <w:r w:rsidR="0057135D">
        <w:rPr>
          <w:rFonts w:asciiTheme="minorHAnsi" w:hAnsiTheme="minorHAnsi" w:cstheme="minorHAnsi"/>
          <w:sz w:val="22"/>
          <w:szCs w:val="22"/>
        </w:rPr>
        <w:t>46</w:t>
      </w:r>
    </w:p>
    <w:p w14:paraId="1492BA0E" w14:textId="77777777" w:rsidR="00680FB1" w:rsidRPr="007771A0" w:rsidRDefault="00680FB1" w:rsidP="00EE471A">
      <w:pPr>
        <w:pStyle w:val="Default"/>
        <w:jc w:val="both"/>
        <w:rPr>
          <w:rFonts w:asciiTheme="minorHAnsi" w:hAnsiTheme="minorHAnsi" w:cstheme="minorHAnsi"/>
          <w:sz w:val="2"/>
          <w:szCs w:val="22"/>
        </w:rPr>
      </w:pPr>
    </w:p>
    <w:p w14:paraId="12EEBDA1" w14:textId="661E82AB" w:rsidR="00FD73F6" w:rsidRPr="00D11E61" w:rsidRDefault="00FD73F6" w:rsidP="00EE471A">
      <w:pPr>
        <w:pStyle w:val="Heading1"/>
        <w:spacing w:line="240" w:lineRule="auto"/>
        <w:jc w:val="both"/>
        <w:rPr>
          <w:rFonts w:asciiTheme="minorHAnsi" w:hAnsiTheme="minorHAnsi" w:cstheme="minorHAnsi"/>
          <w:b w:val="0"/>
          <w:sz w:val="22"/>
          <w:szCs w:val="22"/>
        </w:rPr>
      </w:pPr>
      <w:r w:rsidRPr="00D11E61">
        <w:rPr>
          <w:rFonts w:asciiTheme="minorHAnsi" w:hAnsiTheme="minorHAnsi" w:cstheme="minorHAnsi"/>
          <w:sz w:val="22"/>
          <w:szCs w:val="22"/>
        </w:rPr>
        <w:t>Chapter 3:</w:t>
      </w:r>
      <w:r w:rsidRPr="00D11E61">
        <w:rPr>
          <w:rFonts w:asciiTheme="minorHAnsi" w:hAnsiTheme="minorHAnsi" w:cstheme="minorHAnsi"/>
          <w:b w:val="0"/>
          <w:sz w:val="22"/>
          <w:szCs w:val="22"/>
        </w:rPr>
        <w:t xml:space="preserve"> Storm Event-Driven Metal Transport Dynamics Between Oxidative</w:t>
      </w:r>
      <w:r w:rsidR="00EE471A" w:rsidRPr="00D11E61">
        <w:rPr>
          <w:rFonts w:asciiTheme="minorHAnsi" w:hAnsiTheme="minorHAnsi" w:cstheme="minorHAnsi"/>
          <w:b w:val="0"/>
          <w:sz w:val="22"/>
          <w:szCs w:val="22"/>
        </w:rPr>
        <w:t xml:space="preserve"> </w:t>
      </w:r>
      <w:r w:rsidRPr="00D11E61">
        <w:rPr>
          <w:rFonts w:asciiTheme="minorHAnsi" w:hAnsiTheme="minorHAnsi" w:cstheme="minorHAnsi"/>
          <w:b w:val="0"/>
          <w:sz w:val="22"/>
          <w:szCs w:val="22"/>
        </w:rPr>
        <w:t>Treatment Cells……………………………</w:t>
      </w:r>
      <w:r w:rsidR="00D11E61">
        <w:rPr>
          <w:rFonts w:asciiTheme="minorHAnsi" w:hAnsiTheme="minorHAnsi" w:cstheme="minorHAnsi"/>
          <w:b w:val="0"/>
          <w:sz w:val="22"/>
          <w:szCs w:val="22"/>
        </w:rPr>
        <w:t>……</w:t>
      </w:r>
      <w:proofErr w:type="gramStart"/>
      <w:r w:rsidR="00D11E61">
        <w:rPr>
          <w:rFonts w:asciiTheme="minorHAnsi" w:hAnsiTheme="minorHAnsi" w:cstheme="minorHAnsi"/>
          <w:b w:val="0"/>
          <w:sz w:val="22"/>
          <w:szCs w:val="22"/>
        </w:rPr>
        <w:t>…..</w:t>
      </w:r>
      <w:proofErr w:type="gramEnd"/>
      <w:r w:rsidRPr="00D11E61">
        <w:rPr>
          <w:rFonts w:asciiTheme="minorHAnsi" w:hAnsiTheme="minorHAnsi" w:cstheme="minorHAnsi"/>
          <w:b w:val="0"/>
          <w:sz w:val="22"/>
          <w:szCs w:val="22"/>
        </w:rPr>
        <w:t>………………………………………………………………</w:t>
      </w:r>
      <w:r w:rsidR="00EE471A" w:rsidRPr="00D11E61">
        <w:rPr>
          <w:rFonts w:asciiTheme="minorHAnsi" w:hAnsiTheme="minorHAnsi" w:cstheme="minorHAnsi"/>
          <w:b w:val="0"/>
          <w:sz w:val="22"/>
          <w:szCs w:val="22"/>
        </w:rPr>
        <w:t>………………..</w:t>
      </w:r>
      <w:r w:rsidRPr="00D11E61">
        <w:rPr>
          <w:rFonts w:asciiTheme="minorHAnsi" w:hAnsiTheme="minorHAnsi" w:cstheme="minorHAnsi"/>
          <w:b w:val="0"/>
          <w:sz w:val="22"/>
          <w:szCs w:val="22"/>
        </w:rPr>
        <w:t>……………...</w:t>
      </w:r>
      <w:r w:rsidR="00C4783E" w:rsidRPr="00D11E61">
        <w:rPr>
          <w:rFonts w:asciiTheme="minorHAnsi" w:hAnsiTheme="minorHAnsi" w:cstheme="minorHAnsi"/>
          <w:b w:val="0"/>
          <w:sz w:val="22"/>
          <w:szCs w:val="22"/>
        </w:rPr>
        <w:t>4</w:t>
      </w:r>
      <w:r w:rsidR="0057135D">
        <w:rPr>
          <w:rFonts w:asciiTheme="minorHAnsi" w:hAnsiTheme="minorHAnsi" w:cstheme="minorHAnsi"/>
          <w:b w:val="0"/>
          <w:sz w:val="22"/>
          <w:szCs w:val="22"/>
        </w:rPr>
        <w:t>9</w:t>
      </w:r>
    </w:p>
    <w:p w14:paraId="185F0810" w14:textId="4405815A" w:rsidR="00C4783E" w:rsidRPr="00D11E61" w:rsidRDefault="00C4783E" w:rsidP="00EE471A">
      <w:pPr>
        <w:pStyle w:val="Default"/>
        <w:jc w:val="both"/>
        <w:rPr>
          <w:rFonts w:asciiTheme="minorHAnsi" w:hAnsiTheme="minorHAnsi" w:cstheme="minorHAnsi"/>
          <w:bCs/>
          <w:sz w:val="22"/>
          <w:szCs w:val="22"/>
        </w:rPr>
      </w:pPr>
      <w:r w:rsidRPr="00D11E61">
        <w:rPr>
          <w:rFonts w:asciiTheme="minorHAnsi" w:hAnsiTheme="minorHAnsi" w:cstheme="minorHAnsi"/>
          <w:bCs/>
          <w:sz w:val="22"/>
          <w:szCs w:val="22"/>
        </w:rPr>
        <w:t>Abstract………………………………………………………………………………………………………………………………….4</w:t>
      </w:r>
      <w:r w:rsidR="0057135D">
        <w:rPr>
          <w:rFonts w:asciiTheme="minorHAnsi" w:hAnsiTheme="minorHAnsi" w:cstheme="minorHAnsi"/>
          <w:bCs/>
          <w:sz w:val="22"/>
          <w:szCs w:val="22"/>
        </w:rPr>
        <w:t>9</w:t>
      </w:r>
    </w:p>
    <w:p w14:paraId="72FAA9E2" w14:textId="4E2CC790" w:rsidR="00C4783E" w:rsidRPr="00D11E61" w:rsidRDefault="00C4783E" w:rsidP="00EE471A">
      <w:pPr>
        <w:pStyle w:val="Default"/>
        <w:jc w:val="both"/>
        <w:rPr>
          <w:rFonts w:asciiTheme="minorHAnsi" w:hAnsiTheme="minorHAnsi" w:cstheme="minorHAnsi"/>
          <w:bCs/>
          <w:sz w:val="22"/>
          <w:szCs w:val="22"/>
        </w:rPr>
      </w:pPr>
      <w:r w:rsidRPr="00D11E61">
        <w:rPr>
          <w:rFonts w:asciiTheme="minorHAnsi" w:hAnsiTheme="minorHAnsi" w:cstheme="minorHAnsi"/>
          <w:bCs/>
          <w:sz w:val="22"/>
          <w:szCs w:val="22"/>
        </w:rPr>
        <w:t>Introduction……………………………………………………………………………………………………………………………</w:t>
      </w:r>
      <w:r w:rsidR="0057135D">
        <w:rPr>
          <w:rFonts w:asciiTheme="minorHAnsi" w:hAnsiTheme="minorHAnsi" w:cstheme="minorHAnsi"/>
          <w:bCs/>
          <w:sz w:val="22"/>
          <w:szCs w:val="22"/>
        </w:rPr>
        <w:t>50</w:t>
      </w:r>
    </w:p>
    <w:p w14:paraId="6BED886D" w14:textId="4BE39748" w:rsidR="00FD73F6" w:rsidRPr="00D11E61" w:rsidRDefault="00FD73F6"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Methods</w:t>
      </w:r>
      <w:r w:rsidRPr="00D11E61">
        <w:rPr>
          <w:rFonts w:asciiTheme="minorHAnsi" w:hAnsiTheme="minorHAnsi" w:cstheme="minorHAnsi"/>
          <w:sz w:val="22"/>
          <w:szCs w:val="22"/>
        </w:rPr>
        <w:t>...........................................................................................................................</w:t>
      </w:r>
      <w:r w:rsidR="00EE471A" w:rsidRPr="00D11E61">
        <w:rPr>
          <w:rFonts w:asciiTheme="minorHAnsi" w:hAnsiTheme="minorHAnsi" w:cstheme="minorHAnsi"/>
          <w:sz w:val="22"/>
          <w:szCs w:val="22"/>
        </w:rPr>
        <w:t>...........</w:t>
      </w:r>
      <w:r w:rsidR="0057135D">
        <w:rPr>
          <w:rFonts w:asciiTheme="minorHAnsi" w:hAnsiTheme="minorHAnsi" w:cstheme="minorHAnsi"/>
          <w:sz w:val="22"/>
          <w:szCs w:val="22"/>
        </w:rPr>
        <w:t>53</w:t>
      </w:r>
      <w:r w:rsidRPr="00D11E61">
        <w:rPr>
          <w:rFonts w:asciiTheme="minorHAnsi" w:hAnsiTheme="minorHAnsi" w:cstheme="minorHAnsi"/>
          <w:sz w:val="22"/>
          <w:szCs w:val="22"/>
        </w:rPr>
        <w:t xml:space="preserve"> </w:t>
      </w:r>
    </w:p>
    <w:p w14:paraId="3CB25692" w14:textId="0ECB319E" w:rsidR="00FD7C65" w:rsidRPr="00D11E61" w:rsidRDefault="00FD73F6"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 xml:space="preserve">Results and discussion </w:t>
      </w:r>
      <w:r w:rsidRPr="00D11E61">
        <w:rPr>
          <w:rFonts w:asciiTheme="minorHAnsi" w:hAnsiTheme="minorHAnsi" w:cstheme="minorHAnsi"/>
          <w:sz w:val="22"/>
          <w:szCs w:val="22"/>
        </w:rPr>
        <w:t>.........................................................................................................</w:t>
      </w:r>
      <w:r w:rsidR="00EE471A" w:rsidRPr="00D11E61">
        <w:rPr>
          <w:rFonts w:asciiTheme="minorHAnsi" w:hAnsiTheme="minorHAnsi" w:cstheme="minorHAnsi"/>
          <w:sz w:val="22"/>
          <w:szCs w:val="22"/>
        </w:rPr>
        <w:t>.</w:t>
      </w:r>
      <w:r w:rsidRPr="00D11E61">
        <w:rPr>
          <w:rFonts w:asciiTheme="minorHAnsi" w:hAnsiTheme="minorHAnsi" w:cstheme="minorHAnsi"/>
          <w:sz w:val="22"/>
          <w:szCs w:val="22"/>
        </w:rPr>
        <w:t>.</w:t>
      </w:r>
      <w:r w:rsidR="00C4783E" w:rsidRPr="00D11E61">
        <w:rPr>
          <w:rFonts w:asciiTheme="minorHAnsi" w:hAnsiTheme="minorHAnsi" w:cstheme="minorHAnsi"/>
          <w:sz w:val="22"/>
          <w:szCs w:val="22"/>
        </w:rPr>
        <w:t>.</w:t>
      </w:r>
      <w:r w:rsidRPr="00D11E61">
        <w:rPr>
          <w:rFonts w:asciiTheme="minorHAnsi" w:hAnsiTheme="minorHAnsi" w:cstheme="minorHAnsi"/>
          <w:sz w:val="22"/>
          <w:szCs w:val="22"/>
        </w:rPr>
        <w:t>...</w:t>
      </w:r>
      <w:r w:rsidR="00EE471A" w:rsidRPr="00D11E61">
        <w:rPr>
          <w:rFonts w:asciiTheme="minorHAnsi" w:hAnsiTheme="minorHAnsi" w:cstheme="minorHAnsi"/>
          <w:sz w:val="22"/>
          <w:szCs w:val="22"/>
        </w:rPr>
        <w:t>.</w:t>
      </w:r>
      <w:r w:rsidR="00E9422E" w:rsidRPr="00D11E61">
        <w:rPr>
          <w:rFonts w:asciiTheme="minorHAnsi" w:hAnsiTheme="minorHAnsi" w:cstheme="minorHAnsi"/>
          <w:sz w:val="22"/>
          <w:szCs w:val="22"/>
        </w:rPr>
        <w:t>5</w:t>
      </w:r>
      <w:r w:rsidR="0057135D">
        <w:rPr>
          <w:rFonts w:asciiTheme="minorHAnsi" w:hAnsiTheme="minorHAnsi" w:cstheme="minorHAnsi"/>
          <w:sz w:val="22"/>
          <w:szCs w:val="22"/>
        </w:rPr>
        <w:t>9</w:t>
      </w:r>
    </w:p>
    <w:p w14:paraId="154FDAFE" w14:textId="7E8527F9" w:rsidR="00FD73F6" w:rsidRPr="00D11E61" w:rsidRDefault="00FD73F6"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 xml:space="preserve">Conclusions </w:t>
      </w:r>
      <w:r w:rsidRPr="00D11E61">
        <w:rPr>
          <w:rFonts w:asciiTheme="minorHAnsi" w:hAnsiTheme="minorHAnsi" w:cstheme="minorHAnsi"/>
          <w:sz w:val="22"/>
          <w:szCs w:val="22"/>
        </w:rPr>
        <w:t>.................................................................................................................</w:t>
      </w:r>
      <w:r w:rsidR="00EE471A" w:rsidRPr="00D11E61">
        <w:rPr>
          <w:rFonts w:asciiTheme="minorHAnsi" w:hAnsiTheme="minorHAnsi" w:cstheme="minorHAnsi"/>
          <w:sz w:val="22"/>
          <w:szCs w:val="22"/>
        </w:rPr>
        <w:t>...............</w:t>
      </w:r>
      <w:r w:rsidRPr="00D11E61">
        <w:rPr>
          <w:rFonts w:asciiTheme="minorHAnsi" w:hAnsiTheme="minorHAnsi" w:cstheme="minorHAnsi"/>
          <w:sz w:val="22"/>
          <w:szCs w:val="22"/>
        </w:rPr>
        <w:t>.</w:t>
      </w:r>
      <w:r w:rsidR="00EB04ED">
        <w:rPr>
          <w:rFonts w:asciiTheme="minorHAnsi" w:hAnsiTheme="minorHAnsi" w:cstheme="minorHAnsi"/>
          <w:sz w:val="22"/>
          <w:szCs w:val="22"/>
        </w:rPr>
        <w:t>97</w:t>
      </w:r>
    </w:p>
    <w:p w14:paraId="3390F9F2" w14:textId="1134CBA5" w:rsidR="00FD73F6" w:rsidRPr="00D11E61" w:rsidRDefault="00EB04ED" w:rsidP="00EE471A">
      <w:pPr>
        <w:pStyle w:val="Default"/>
        <w:jc w:val="both"/>
        <w:rPr>
          <w:rFonts w:asciiTheme="minorHAnsi" w:hAnsiTheme="minorHAnsi" w:cstheme="minorHAnsi"/>
          <w:sz w:val="22"/>
          <w:szCs w:val="22"/>
        </w:rPr>
      </w:pPr>
      <w:r>
        <w:rPr>
          <w:rFonts w:asciiTheme="minorHAnsi" w:hAnsiTheme="minorHAnsi" w:cstheme="minorHAnsi"/>
          <w:sz w:val="22"/>
          <w:szCs w:val="22"/>
        </w:rPr>
        <w:t>Literature Cited……………………………………………</w:t>
      </w:r>
      <w:proofErr w:type="gramStart"/>
      <w:r>
        <w:rPr>
          <w:rFonts w:asciiTheme="minorHAnsi" w:hAnsiTheme="minorHAnsi" w:cstheme="minorHAnsi"/>
          <w:sz w:val="22"/>
          <w:szCs w:val="22"/>
        </w:rPr>
        <w:t>…..</w:t>
      </w:r>
      <w:proofErr w:type="gramEnd"/>
      <w:r w:rsidR="00FD73F6" w:rsidRPr="00D11E61">
        <w:rPr>
          <w:rFonts w:asciiTheme="minorHAnsi" w:hAnsiTheme="minorHAnsi" w:cstheme="minorHAnsi"/>
          <w:sz w:val="22"/>
          <w:szCs w:val="22"/>
        </w:rPr>
        <w:t>……</w:t>
      </w:r>
      <w:r w:rsidR="00C4783E" w:rsidRPr="00D11E61">
        <w:rPr>
          <w:rFonts w:asciiTheme="minorHAnsi" w:hAnsiTheme="minorHAnsi" w:cstheme="minorHAnsi"/>
          <w:sz w:val="22"/>
          <w:szCs w:val="22"/>
        </w:rPr>
        <w:t>.</w:t>
      </w:r>
      <w:r w:rsidR="00FD73F6" w:rsidRPr="00D11E61">
        <w:rPr>
          <w:rFonts w:asciiTheme="minorHAnsi" w:hAnsiTheme="minorHAnsi" w:cstheme="minorHAnsi"/>
          <w:sz w:val="22"/>
          <w:szCs w:val="22"/>
        </w:rPr>
        <w:t>……………………………………….…………</w:t>
      </w:r>
      <w:r w:rsidR="00C4783E" w:rsidRPr="00D11E61">
        <w:rPr>
          <w:rFonts w:asciiTheme="minorHAnsi" w:hAnsiTheme="minorHAnsi" w:cstheme="minorHAnsi"/>
          <w:sz w:val="22"/>
          <w:szCs w:val="22"/>
        </w:rPr>
        <w:t>…</w:t>
      </w:r>
      <w:r w:rsidR="00FD73F6" w:rsidRPr="00D11E61">
        <w:rPr>
          <w:rFonts w:asciiTheme="minorHAnsi" w:hAnsiTheme="minorHAnsi" w:cstheme="minorHAnsi"/>
          <w:sz w:val="22"/>
          <w:szCs w:val="22"/>
        </w:rPr>
        <w:t>………..</w:t>
      </w:r>
      <w:r>
        <w:rPr>
          <w:rFonts w:asciiTheme="minorHAnsi" w:hAnsiTheme="minorHAnsi" w:cstheme="minorHAnsi"/>
          <w:sz w:val="22"/>
          <w:szCs w:val="22"/>
        </w:rPr>
        <w:t>98</w:t>
      </w:r>
    </w:p>
    <w:p w14:paraId="4F3E0863" w14:textId="0350C998" w:rsidR="00005FC3" w:rsidRPr="00D11E61" w:rsidRDefault="00D11E61" w:rsidP="00EE471A">
      <w:pPr>
        <w:pStyle w:val="Heading1"/>
        <w:jc w:val="both"/>
        <w:rPr>
          <w:rFonts w:asciiTheme="minorHAnsi" w:hAnsiTheme="minorHAnsi" w:cstheme="minorHAnsi"/>
          <w:b w:val="0"/>
          <w:sz w:val="22"/>
          <w:szCs w:val="22"/>
        </w:rPr>
      </w:pPr>
      <w:r w:rsidRPr="00D11E61">
        <w:rPr>
          <w:rFonts w:asciiTheme="minorHAnsi" w:hAnsiTheme="minorHAnsi" w:cstheme="minorHAnsi"/>
          <w:sz w:val="22"/>
          <w:szCs w:val="22"/>
        </w:rPr>
        <w:t xml:space="preserve">Chapter </w:t>
      </w:r>
      <w:r w:rsidR="00EB04ED">
        <w:rPr>
          <w:rFonts w:asciiTheme="minorHAnsi" w:hAnsiTheme="minorHAnsi" w:cstheme="minorHAnsi"/>
          <w:sz w:val="22"/>
          <w:szCs w:val="22"/>
        </w:rPr>
        <w:t>4</w:t>
      </w:r>
      <w:r w:rsidRPr="00D11E61">
        <w:rPr>
          <w:rFonts w:asciiTheme="minorHAnsi" w:hAnsiTheme="minorHAnsi" w:cstheme="minorHAnsi"/>
          <w:sz w:val="22"/>
          <w:szCs w:val="22"/>
        </w:rPr>
        <w:t>:</w:t>
      </w:r>
      <w:r>
        <w:rPr>
          <w:rFonts w:asciiTheme="minorHAnsi" w:hAnsiTheme="minorHAnsi" w:cstheme="minorHAnsi"/>
          <w:b w:val="0"/>
          <w:sz w:val="22"/>
          <w:szCs w:val="22"/>
        </w:rPr>
        <w:t xml:space="preserve"> </w:t>
      </w:r>
      <w:r w:rsidR="00AC5BDD" w:rsidRPr="00D11E61">
        <w:rPr>
          <w:rFonts w:asciiTheme="minorHAnsi" w:hAnsiTheme="minorHAnsi" w:cstheme="minorHAnsi"/>
          <w:b w:val="0"/>
          <w:sz w:val="22"/>
          <w:szCs w:val="22"/>
        </w:rPr>
        <w:t xml:space="preserve">Characterization of the Spatial Iron </w:t>
      </w:r>
      <w:r w:rsidR="00EE471A" w:rsidRPr="00D11E61">
        <w:rPr>
          <w:rFonts w:asciiTheme="minorHAnsi" w:hAnsiTheme="minorHAnsi" w:cstheme="minorHAnsi"/>
          <w:b w:val="0"/>
          <w:sz w:val="22"/>
          <w:szCs w:val="22"/>
        </w:rPr>
        <w:t xml:space="preserve">Accumulation in the Preliminary </w:t>
      </w:r>
      <w:r w:rsidR="00AC5BDD" w:rsidRPr="00D11E61">
        <w:rPr>
          <w:rFonts w:asciiTheme="minorHAnsi" w:hAnsiTheme="minorHAnsi" w:cstheme="minorHAnsi"/>
          <w:b w:val="0"/>
          <w:sz w:val="22"/>
          <w:szCs w:val="22"/>
        </w:rPr>
        <w:t>Oxidative Cells of a Passive Treatment System…………………………………</w:t>
      </w:r>
      <w:r w:rsidR="000A2DA4" w:rsidRPr="00D11E61">
        <w:rPr>
          <w:rFonts w:asciiTheme="minorHAnsi" w:hAnsiTheme="minorHAnsi" w:cstheme="minorHAnsi"/>
          <w:b w:val="0"/>
          <w:sz w:val="22"/>
          <w:szCs w:val="22"/>
        </w:rPr>
        <w:t>….</w:t>
      </w:r>
      <w:r w:rsidR="00AC5BDD" w:rsidRPr="00D11E61">
        <w:rPr>
          <w:rFonts w:asciiTheme="minorHAnsi" w:hAnsiTheme="minorHAnsi" w:cstheme="minorHAnsi"/>
          <w:b w:val="0"/>
          <w:sz w:val="22"/>
          <w:szCs w:val="22"/>
        </w:rPr>
        <w:t>……</w:t>
      </w:r>
      <w:r>
        <w:rPr>
          <w:rFonts w:asciiTheme="minorHAnsi" w:hAnsiTheme="minorHAnsi" w:cstheme="minorHAnsi"/>
          <w:b w:val="0"/>
          <w:sz w:val="22"/>
          <w:szCs w:val="22"/>
        </w:rPr>
        <w:t>………………………………..</w:t>
      </w:r>
      <w:r w:rsidR="00EE471A" w:rsidRPr="00D11E61">
        <w:rPr>
          <w:rFonts w:asciiTheme="minorHAnsi" w:hAnsiTheme="minorHAnsi" w:cstheme="minorHAnsi"/>
          <w:b w:val="0"/>
          <w:sz w:val="22"/>
          <w:szCs w:val="22"/>
        </w:rPr>
        <w:t>..</w:t>
      </w:r>
      <w:r w:rsidR="00AC5BDD" w:rsidRPr="00D11E61">
        <w:rPr>
          <w:rFonts w:asciiTheme="minorHAnsi" w:hAnsiTheme="minorHAnsi" w:cstheme="minorHAnsi"/>
          <w:b w:val="0"/>
          <w:sz w:val="22"/>
          <w:szCs w:val="22"/>
        </w:rPr>
        <w:t>…</w:t>
      </w:r>
      <w:r w:rsidR="00005FC3" w:rsidRPr="00D11E61">
        <w:rPr>
          <w:rFonts w:asciiTheme="minorHAnsi" w:hAnsiTheme="minorHAnsi" w:cstheme="minorHAnsi"/>
          <w:b w:val="0"/>
          <w:sz w:val="22"/>
          <w:szCs w:val="22"/>
        </w:rPr>
        <w:t>…………...</w:t>
      </w:r>
      <w:r w:rsidR="00317F91">
        <w:rPr>
          <w:rFonts w:asciiTheme="minorHAnsi" w:hAnsiTheme="minorHAnsi" w:cstheme="minorHAnsi"/>
          <w:b w:val="0"/>
          <w:sz w:val="22"/>
          <w:szCs w:val="22"/>
        </w:rPr>
        <w:t>100</w:t>
      </w:r>
    </w:p>
    <w:p w14:paraId="53BEEE10" w14:textId="213AD255" w:rsidR="00C2288F" w:rsidRPr="00D11E61" w:rsidRDefault="00C2288F" w:rsidP="00EE471A">
      <w:pPr>
        <w:pStyle w:val="Default"/>
        <w:jc w:val="both"/>
        <w:rPr>
          <w:rFonts w:asciiTheme="minorHAnsi" w:hAnsiTheme="minorHAnsi" w:cstheme="minorHAnsi"/>
          <w:bCs/>
          <w:sz w:val="22"/>
          <w:szCs w:val="22"/>
        </w:rPr>
      </w:pPr>
      <w:r w:rsidRPr="00D11E61">
        <w:rPr>
          <w:rFonts w:asciiTheme="minorHAnsi" w:hAnsiTheme="minorHAnsi" w:cstheme="minorHAnsi"/>
          <w:bCs/>
          <w:sz w:val="22"/>
          <w:szCs w:val="22"/>
        </w:rPr>
        <w:t>Abstract……………………………………………………………………………………………………………………</w:t>
      </w:r>
      <w:r w:rsidR="00EE471A" w:rsidRPr="00D11E61">
        <w:rPr>
          <w:rFonts w:asciiTheme="minorHAnsi" w:hAnsiTheme="minorHAnsi" w:cstheme="minorHAnsi"/>
          <w:bCs/>
          <w:sz w:val="22"/>
          <w:szCs w:val="22"/>
        </w:rPr>
        <w:t>.</w:t>
      </w:r>
      <w:r w:rsidRPr="00D11E61">
        <w:rPr>
          <w:rFonts w:asciiTheme="minorHAnsi" w:hAnsiTheme="minorHAnsi" w:cstheme="minorHAnsi"/>
          <w:bCs/>
          <w:sz w:val="22"/>
          <w:szCs w:val="22"/>
        </w:rPr>
        <w:t>………….</w:t>
      </w:r>
      <w:r w:rsidR="00317F91">
        <w:rPr>
          <w:rFonts w:asciiTheme="minorHAnsi" w:hAnsiTheme="minorHAnsi" w:cstheme="minorHAnsi"/>
          <w:bCs/>
          <w:sz w:val="22"/>
          <w:szCs w:val="22"/>
        </w:rPr>
        <w:t>100</w:t>
      </w:r>
    </w:p>
    <w:p w14:paraId="5EBFB32D" w14:textId="5E4D2AE4" w:rsidR="00C2288F" w:rsidRPr="00D11E61" w:rsidRDefault="00C2288F" w:rsidP="00EE471A">
      <w:pPr>
        <w:pStyle w:val="Default"/>
        <w:jc w:val="both"/>
        <w:rPr>
          <w:rFonts w:asciiTheme="minorHAnsi" w:hAnsiTheme="minorHAnsi" w:cstheme="minorHAnsi"/>
          <w:bCs/>
          <w:sz w:val="22"/>
          <w:szCs w:val="22"/>
        </w:rPr>
      </w:pPr>
      <w:r w:rsidRPr="00D11E61">
        <w:rPr>
          <w:rFonts w:asciiTheme="minorHAnsi" w:hAnsiTheme="minorHAnsi" w:cstheme="minorHAnsi"/>
          <w:bCs/>
          <w:sz w:val="22"/>
          <w:szCs w:val="22"/>
        </w:rPr>
        <w:t>Introduction……………………………………………………………………………………………………………</w:t>
      </w:r>
      <w:r w:rsidR="00EE471A" w:rsidRPr="00D11E61">
        <w:rPr>
          <w:rFonts w:asciiTheme="minorHAnsi" w:hAnsiTheme="minorHAnsi" w:cstheme="minorHAnsi"/>
          <w:bCs/>
          <w:sz w:val="22"/>
          <w:szCs w:val="22"/>
        </w:rPr>
        <w:t>.</w:t>
      </w:r>
      <w:r w:rsidRPr="00D11E61">
        <w:rPr>
          <w:rFonts w:asciiTheme="minorHAnsi" w:hAnsiTheme="minorHAnsi" w:cstheme="minorHAnsi"/>
          <w:bCs/>
          <w:sz w:val="22"/>
          <w:szCs w:val="22"/>
        </w:rPr>
        <w:t>……………1</w:t>
      </w:r>
      <w:r w:rsidR="003E3267">
        <w:rPr>
          <w:rFonts w:asciiTheme="minorHAnsi" w:hAnsiTheme="minorHAnsi" w:cstheme="minorHAnsi"/>
          <w:bCs/>
          <w:sz w:val="22"/>
          <w:szCs w:val="22"/>
        </w:rPr>
        <w:t>01</w:t>
      </w:r>
    </w:p>
    <w:p w14:paraId="688D928B" w14:textId="3E6B0AE1" w:rsidR="00C2288F" w:rsidRDefault="00C2288F"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Iron Accumulation Profile</w:t>
      </w:r>
      <w:r w:rsidRPr="00D11E61">
        <w:rPr>
          <w:rFonts w:asciiTheme="minorHAnsi" w:hAnsiTheme="minorHAnsi" w:cstheme="minorHAnsi"/>
          <w:sz w:val="22"/>
          <w:szCs w:val="22"/>
        </w:rPr>
        <w:t>............................................................................................</w:t>
      </w:r>
      <w:r w:rsidR="00EE471A" w:rsidRPr="00D11E61">
        <w:rPr>
          <w:rFonts w:asciiTheme="minorHAnsi" w:hAnsiTheme="minorHAnsi" w:cstheme="minorHAnsi"/>
          <w:sz w:val="22"/>
          <w:szCs w:val="22"/>
        </w:rPr>
        <w:t>.</w:t>
      </w:r>
      <w:r w:rsidR="003E3267">
        <w:rPr>
          <w:rFonts w:asciiTheme="minorHAnsi" w:hAnsiTheme="minorHAnsi" w:cstheme="minorHAnsi"/>
          <w:sz w:val="22"/>
          <w:szCs w:val="22"/>
        </w:rPr>
        <w:t>.............103</w:t>
      </w:r>
      <w:bookmarkStart w:id="0" w:name="_GoBack"/>
      <w:bookmarkEnd w:id="0"/>
    </w:p>
    <w:p w14:paraId="6754193D" w14:textId="761E33CE" w:rsidR="00317F91" w:rsidRPr="00D11E61" w:rsidRDefault="00317F91" w:rsidP="00EE471A">
      <w:pPr>
        <w:pStyle w:val="Default"/>
        <w:jc w:val="both"/>
        <w:rPr>
          <w:rFonts w:asciiTheme="minorHAnsi" w:hAnsiTheme="minorHAnsi" w:cstheme="minorHAnsi"/>
          <w:sz w:val="22"/>
          <w:szCs w:val="22"/>
        </w:rPr>
      </w:pPr>
      <w:r>
        <w:rPr>
          <w:rFonts w:asciiTheme="minorHAnsi" w:hAnsiTheme="minorHAnsi" w:cstheme="minorHAnsi"/>
          <w:sz w:val="22"/>
          <w:szCs w:val="22"/>
        </w:rPr>
        <w:t>Iron Characterization…………………………………………………………………………………………………………….109</w:t>
      </w:r>
    </w:p>
    <w:p w14:paraId="6C50D53C" w14:textId="2405ED74" w:rsidR="00C2288F" w:rsidRPr="00D11E61" w:rsidRDefault="00C2288F"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Tracer Study…………………..</w:t>
      </w:r>
      <w:r w:rsidRPr="00D11E61">
        <w:rPr>
          <w:rFonts w:asciiTheme="minorHAnsi" w:hAnsiTheme="minorHAnsi" w:cstheme="minorHAnsi"/>
          <w:sz w:val="22"/>
          <w:szCs w:val="22"/>
        </w:rPr>
        <w:t>.........................................................................................................</w:t>
      </w:r>
      <w:r w:rsidR="00317F91">
        <w:rPr>
          <w:rFonts w:asciiTheme="minorHAnsi" w:hAnsiTheme="minorHAnsi" w:cstheme="minorHAnsi"/>
          <w:sz w:val="22"/>
          <w:szCs w:val="22"/>
        </w:rPr>
        <w:t>116</w:t>
      </w:r>
    </w:p>
    <w:p w14:paraId="15A4E92C" w14:textId="133AC4A1" w:rsidR="00C2288F" w:rsidRPr="00D11E61" w:rsidRDefault="00C2288F" w:rsidP="00EE471A">
      <w:pPr>
        <w:pStyle w:val="Default"/>
        <w:jc w:val="both"/>
        <w:rPr>
          <w:rFonts w:asciiTheme="minorHAnsi" w:hAnsiTheme="minorHAnsi" w:cstheme="minorHAnsi"/>
          <w:sz w:val="22"/>
          <w:szCs w:val="22"/>
        </w:rPr>
      </w:pPr>
      <w:r w:rsidRPr="00D11E61">
        <w:rPr>
          <w:rFonts w:asciiTheme="minorHAnsi" w:hAnsiTheme="minorHAnsi" w:cstheme="minorHAnsi"/>
          <w:bCs/>
          <w:sz w:val="22"/>
          <w:szCs w:val="22"/>
        </w:rPr>
        <w:t xml:space="preserve">Conclusions </w:t>
      </w:r>
      <w:r w:rsidRPr="00D11E61">
        <w:rPr>
          <w:rFonts w:asciiTheme="minorHAnsi" w:hAnsiTheme="minorHAnsi" w:cstheme="minorHAnsi"/>
          <w:sz w:val="22"/>
          <w:szCs w:val="22"/>
        </w:rPr>
        <w:t>..............................................................................................................</w:t>
      </w:r>
      <w:r w:rsidR="00EE471A" w:rsidRPr="00D11E61">
        <w:rPr>
          <w:rFonts w:asciiTheme="minorHAnsi" w:hAnsiTheme="minorHAnsi" w:cstheme="minorHAnsi"/>
          <w:sz w:val="22"/>
          <w:szCs w:val="22"/>
        </w:rPr>
        <w:t>...............</w:t>
      </w:r>
      <w:r w:rsidR="00317F91">
        <w:rPr>
          <w:rFonts w:asciiTheme="minorHAnsi" w:hAnsiTheme="minorHAnsi" w:cstheme="minorHAnsi"/>
          <w:sz w:val="22"/>
          <w:szCs w:val="22"/>
        </w:rPr>
        <w:t>..123</w:t>
      </w:r>
    </w:p>
    <w:p w14:paraId="729209DC" w14:textId="2EB69B97" w:rsidR="00C2288F" w:rsidRPr="00D11E61" w:rsidRDefault="00EB04ED" w:rsidP="00EE471A">
      <w:pPr>
        <w:pStyle w:val="Default"/>
        <w:jc w:val="both"/>
        <w:rPr>
          <w:rFonts w:asciiTheme="minorHAnsi" w:hAnsiTheme="minorHAnsi" w:cstheme="minorHAnsi"/>
          <w:sz w:val="22"/>
          <w:szCs w:val="22"/>
        </w:rPr>
      </w:pPr>
      <w:r>
        <w:rPr>
          <w:rFonts w:asciiTheme="minorHAnsi" w:hAnsiTheme="minorHAnsi" w:cstheme="minorHAnsi"/>
          <w:sz w:val="22"/>
          <w:szCs w:val="22"/>
        </w:rPr>
        <w:t>Literature Cited</w:t>
      </w:r>
      <w:proofErr w:type="gramStart"/>
      <w:r>
        <w:rPr>
          <w:rFonts w:asciiTheme="minorHAnsi" w:hAnsiTheme="minorHAnsi" w:cstheme="minorHAnsi"/>
          <w:sz w:val="22"/>
          <w:szCs w:val="22"/>
        </w:rPr>
        <w:t>…..</w:t>
      </w:r>
      <w:proofErr w:type="gramEnd"/>
      <w:r w:rsidR="00C2288F" w:rsidRPr="00D11E61">
        <w:rPr>
          <w:rFonts w:asciiTheme="minorHAnsi" w:hAnsiTheme="minorHAnsi" w:cstheme="minorHAnsi"/>
          <w:sz w:val="22"/>
          <w:szCs w:val="22"/>
        </w:rPr>
        <w:t>………………………………………………….……………………………………….</w:t>
      </w:r>
      <w:r w:rsidR="00EE471A" w:rsidRPr="00D11E61">
        <w:rPr>
          <w:rFonts w:asciiTheme="minorHAnsi" w:hAnsiTheme="minorHAnsi" w:cstheme="minorHAnsi"/>
          <w:sz w:val="22"/>
          <w:szCs w:val="22"/>
        </w:rPr>
        <w:t>.</w:t>
      </w:r>
      <w:r w:rsidR="00C2288F" w:rsidRPr="00D11E61">
        <w:rPr>
          <w:rFonts w:asciiTheme="minorHAnsi" w:hAnsiTheme="minorHAnsi" w:cstheme="minorHAnsi"/>
          <w:sz w:val="22"/>
          <w:szCs w:val="22"/>
        </w:rPr>
        <w:t>……</w:t>
      </w:r>
      <w:r w:rsidR="000A2DA4" w:rsidRPr="00D11E61">
        <w:rPr>
          <w:rFonts w:asciiTheme="minorHAnsi" w:hAnsiTheme="minorHAnsi" w:cstheme="minorHAnsi"/>
          <w:sz w:val="22"/>
          <w:szCs w:val="22"/>
        </w:rPr>
        <w:t>….</w:t>
      </w:r>
      <w:r w:rsidR="00317F91">
        <w:rPr>
          <w:rFonts w:asciiTheme="minorHAnsi" w:hAnsiTheme="minorHAnsi" w:cstheme="minorHAnsi"/>
          <w:sz w:val="22"/>
          <w:szCs w:val="22"/>
        </w:rPr>
        <w:t>………….123</w:t>
      </w:r>
    </w:p>
    <w:p w14:paraId="3BFA601A" w14:textId="60274E78" w:rsidR="00781257" w:rsidRDefault="00781257" w:rsidP="00EE471A">
      <w:pPr>
        <w:pStyle w:val="Default"/>
        <w:jc w:val="both"/>
        <w:rPr>
          <w:rFonts w:asciiTheme="minorHAnsi" w:hAnsiTheme="minorHAnsi" w:cstheme="minorHAnsi"/>
          <w:sz w:val="22"/>
          <w:szCs w:val="22"/>
        </w:rPr>
      </w:pPr>
    </w:p>
    <w:p w14:paraId="753C37EC" w14:textId="77777777" w:rsidR="00D80D43" w:rsidRPr="00532E6D" w:rsidRDefault="00D80D43" w:rsidP="00D80D43">
      <w:pPr>
        <w:pStyle w:val="Default"/>
        <w:rPr>
          <w:rFonts w:asciiTheme="minorHAnsi" w:hAnsiTheme="minorHAnsi" w:cstheme="minorHAnsi"/>
          <w:color w:val="auto"/>
          <w:sz w:val="22"/>
          <w:szCs w:val="22"/>
        </w:rPr>
      </w:pPr>
    </w:p>
    <w:p w14:paraId="05B78C16" w14:textId="23AE7D83" w:rsidR="008615B8" w:rsidRPr="00147A98" w:rsidRDefault="008615B8" w:rsidP="00EB04ED">
      <w:pPr>
        <w:rPr>
          <w:rFonts w:asciiTheme="majorHAnsi" w:eastAsiaTheme="majorEastAsia" w:hAnsiTheme="majorHAnsi" w:cstheme="majorBidi"/>
          <w:b/>
          <w:sz w:val="24"/>
          <w:szCs w:val="24"/>
        </w:rPr>
      </w:pPr>
      <w:r w:rsidRPr="00147A98">
        <w:rPr>
          <w:rFonts w:asciiTheme="majorHAnsi" w:hAnsiTheme="majorHAnsi"/>
          <w:b/>
          <w:sz w:val="24"/>
          <w:szCs w:val="24"/>
        </w:rPr>
        <w:t xml:space="preserve">List of Tables </w:t>
      </w:r>
    </w:p>
    <w:p w14:paraId="2BB80584" w14:textId="77777777" w:rsidR="008615B8" w:rsidRDefault="008615B8" w:rsidP="00AB32B8">
      <w:pPr>
        <w:pStyle w:val="Heading3"/>
        <w:spacing w:before="0" w:line="240" w:lineRule="auto"/>
      </w:pPr>
    </w:p>
    <w:p w14:paraId="100B2559" w14:textId="25FB3CEB" w:rsidR="008615B8" w:rsidRPr="00EB04ED" w:rsidRDefault="008615B8" w:rsidP="00AB32B8">
      <w:pPr>
        <w:pStyle w:val="Heading3"/>
        <w:spacing w:before="0" w:line="240" w:lineRule="auto"/>
        <w:rPr>
          <w:rFonts w:asciiTheme="minorHAnsi" w:hAnsiTheme="minorHAnsi" w:cstheme="minorHAnsi"/>
          <w:szCs w:val="20"/>
        </w:rPr>
      </w:pPr>
      <w:r w:rsidRPr="00EB04ED">
        <w:rPr>
          <w:rFonts w:asciiTheme="minorHAnsi" w:hAnsiTheme="minorHAnsi" w:cstheme="minorHAnsi"/>
          <w:szCs w:val="20"/>
        </w:rPr>
        <w:t>Table 1.1: Summary EPA Operable Units at the Tar Creek Superfund Site ………………………………………………</w:t>
      </w:r>
      <w:r w:rsidR="005E61AF" w:rsidRPr="00EB04ED">
        <w:rPr>
          <w:rFonts w:asciiTheme="minorHAnsi" w:hAnsiTheme="minorHAnsi" w:cstheme="minorHAnsi"/>
          <w:szCs w:val="20"/>
        </w:rPr>
        <w:t>3</w:t>
      </w:r>
    </w:p>
    <w:p w14:paraId="0648497C" w14:textId="77777777" w:rsidR="00AA7A3D" w:rsidRPr="00EB04ED" w:rsidRDefault="00AA7A3D" w:rsidP="00AB32B8">
      <w:pPr>
        <w:spacing w:after="0" w:line="240" w:lineRule="auto"/>
        <w:rPr>
          <w:rFonts w:cstheme="minorHAnsi"/>
          <w:sz w:val="20"/>
          <w:szCs w:val="20"/>
        </w:rPr>
      </w:pPr>
    </w:p>
    <w:p w14:paraId="54893C1E" w14:textId="08AF7254" w:rsidR="004E3BDC" w:rsidRPr="00EB04ED" w:rsidRDefault="008615B8" w:rsidP="00AB32B8">
      <w:pPr>
        <w:pStyle w:val="Heading3"/>
        <w:spacing w:before="0" w:line="240" w:lineRule="auto"/>
        <w:rPr>
          <w:rFonts w:asciiTheme="minorHAnsi" w:hAnsiTheme="minorHAnsi" w:cstheme="minorHAnsi"/>
          <w:szCs w:val="20"/>
        </w:rPr>
      </w:pPr>
      <w:r w:rsidRPr="00EB04ED">
        <w:rPr>
          <w:rFonts w:asciiTheme="minorHAnsi" w:hAnsiTheme="minorHAnsi" w:cstheme="minorHAnsi"/>
          <w:szCs w:val="20"/>
        </w:rPr>
        <w:t>Table 1.2: Water Quality Parameters That Influenced the Design of the Mayer Ranch Passive Treatment System: Average Concentration ± σ for MRPTS Location and Impacted Tributary…………</w:t>
      </w:r>
      <w:r w:rsidR="00EE471A" w:rsidRPr="00EB04ED">
        <w:rPr>
          <w:rFonts w:asciiTheme="minorHAnsi" w:hAnsiTheme="minorHAnsi" w:cstheme="minorHAnsi"/>
          <w:szCs w:val="20"/>
        </w:rPr>
        <w:t>………………..</w:t>
      </w:r>
      <w:r w:rsidR="004E3BDC" w:rsidRPr="00EB04ED">
        <w:rPr>
          <w:rFonts w:asciiTheme="minorHAnsi" w:hAnsiTheme="minorHAnsi" w:cstheme="minorHAnsi"/>
          <w:szCs w:val="20"/>
        </w:rPr>
        <w:t>.</w:t>
      </w:r>
      <w:r w:rsidRPr="00EB04ED">
        <w:rPr>
          <w:rFonts w:asciiTheme="minorHAnsi" w:hAnsiTheme="minorHAnsi" w:cstheme="minorHAnsi"/>
          <w:szCs w:val="20"/>
        </w:rPr>
        <w:t>……</w:t>
      </w:r>
      <w:r w:rsidR="005E61AF" w:rsidRPr="00EB04ED">
        <w:rPr>
          <w:rFonts w:asciiTheme="minorHAnsi" w:hAnsiTheme="minorHAnsi" w:cstheme="minorHAnsi"/>
          <w:szCs w:val="20"/>
        </w:rPr>
        <w:t>10</w:t>
      </w:r>
    </w:p>
    <w:p w14:paraId="5F377EE7" w14:textId="77777777" w:rsidR="00AA7A3D" w:rsidRPr="00EB04ED" w:rsidRDefault="00AA7A3D" w:rsidP="00AB32B8">
      <w:pPr>
        <w:spacing w:after="0" w:line="240" w:lineRule="auto"/>
        <w:rPr>
          <w:rFonts w:cstheme="minorHAnsi"/>
          <w:sz w:val="20"/>
          <w:szCs w:val="20"/>
        </w:rPr>
      </w:pPr>
    </w:p>
    <w:p w14:paraId="46140A37" w14:textId="2E0BA178" w:rsidR="004E3BDC" w:rsidRPr="00EB04ED" w:rsidRDefault="008615B8" w:rsidP="00AB32B8">
      <w:pPr>
        <w:spacing w:after="0" w:line="240" w:lineRule="auto"/>
        <w:rPr>
          <w:rFonts w:cstheme="minorHAnsi"/>
          <w:sz w:val="20"/>
          <w:szCs w:val="20"/>
        </w:rPr>
      </w:pPr>
      <w:r w:rsidRPr="00EB04ED">
        <w:rPr>
          <w:rFonts w:cstheme="minorHAnsi"/>
          <w:sz w:val="20"/>
          <w:szCs w:val="20"/>
        </w:rPr>
        <w:t>Table 1.3: Mayer Ranch Passive Treatment System Su</w:t>
      </w:r>
      <w:r w:rsidR="00EE471A" w:rsidRPr="00EB04ED">
        <w:rPr>
          <w:rFonts w:cstheme="minorHAnsi"/>
          <w:sz w:val="20"/>
          <w:szCs w:val="20"/>
        </w:rPr>
        <w:t>mmary of Cell Form and Function (Design)……</w:t>
      </w:r>
      <w:proofErr w:type="gramStart"/>
      <w:r w:rsidR="00EE471A" w:rsidRPr="00EB04ED">
        <w:rPr>
          <w:rFonts w:cstheme="minorHAnsi"/>
          <w:sz w:val="20"/>
          <w:szCs w:val="20"/>
        </w:rPr>
        <w:t>…..</w:t>
      </w:r>
      <w:proofErr w:type="gramEnd"/>
      <w:r w:rsidR="005E61AF" w:rsidRPr="00EB04ED">
        <w:rPr>
          <w:rFonts w:cstheme="minorHAnsi"/>
          <w:sz w:val="20"/>
          <w:szCs w:val="20"/>
        </w:rPr>
        <w:t>11</w:t>
      </w:r>
    </w:p>
    <w:p w14:paraId="29B4C11D" w14:textId="77777777" w:rsidR="00AA7A3D" w:rsidRPr="00EB04ED" w:rsidRDefault="00AA7A3D" w:rsidP="00AB32B8">
      <w:pPr>
        <w:spacing w:after="0" w:line="240" w:lineRule="auto"/>
        <w:rPr>
          <w:rFonts w:cstheme="minorHAnsi"/>
          <w:sz w:val="20"/>
          <w:szCs w:val="20"/>
        </w:rPr>
      </w:pPr>
    </w:p>
    <w:p w14:paraId="5BFB1B52" w14:textId="0CA629A9" w:rsidR="008615B8" w:rsidRPr="00EB04ED" w:rsidRDefault="008615B8" w:rsidP="00AB32B8">
      <w:pPr>
        <w:spacing w:after="0" w:line="240" w:lineRule="auto"/>
        <w:rPr>
          <w:rFonts w:cstheme="minorHAnsi"/>
          <w:sz w:val="20"/>
          <w:szCs w:val="20"/>
        </w:rPr>
      </w:pPr>
      <w:r w:rsidRPr="00EB04ED">
        <w:rPr>
          <w:rFonts w:cstheme="minorHAnsi"/>
          <w:sz w:val="20"/>
          <w:szCs w:val="20"/>
        </w:rPr>
        <w:t>Table 1.4: Seven-year average performance evaluation summary for the Mayer Ranch passive treatment system 2009-2015 for total and dissolved metals concentration</w:t>
      </w:r>
      <w:r w:rsidR="00EE471A" w:rsidRPr="00EB04ED">
        <w:rPr>
          <w:rFonts w:cstheme="minorHAnsi"/>
          <w:sz w:val="20"/>
          <w:szCs w:val="20"/>
        </w:rPr>
        <w:t>s as well as field measurements</w:t>
      </w:r>
      <w:r w:rsidR="004E3BDC" w:rsidRPr="00EB04ED">
        <w:rPr>
          <w:rFonts w:cstheme="minorHAnsi"/>
          <w:sz w:val="20"/>
          <w:szCs w:val="20"/>
        </w:rPr>
        <w:t>………</w:t>
      </w:r>
      <w:r w:rsidR="00EE471A" w:rsidRPr="00EB04ED">
        <w:rPr>
          <w:rFonts w:cstheme="minorHAnsi"/>
          <w:sz w:val="20"/>
          <w:szCs w:val="20"/>
        </w:rPr>
        <w:t>….</w:t>
      </w:r>
      <w:r w:rsidRPr="00EB04ED">
        <w:rPr>
          <w:rFonts w:cstheme="minorHAnsi"/>
          <w:sz w:val="20"/>
          <w:szCs w:val="20"/>
        </w:rPr>
        <w:t>1</w:t>
      </w:r>
      <w:r w:rsidR="005E61AF" w:rsidRPr="00EB04ED">
        <w:rPr>
          <w:rFonts w:cstheme="minorHAnsi"/>
          <w:sz w:val="20"/>
          <w:szCs w:val="20"/>
        </w:rPr>
        <w:t>5</w:t>
      </w:r>
    </w:p>
    <w:p w14:paraId="4A63AFA9" w14:textId="77777777" w:rsidR="00AA7A3D" w:rsidRPr="00EB04ED" w:rsidRDefault="00AA7A3D" w:rsidP="00AB32B8">
      <w:pPr>
        <w:spacing w:after="0" w:line="240" w:lineRule="auto"/>
        <w:rPr>
          <w:rFonts w:cstheme="minorHAnsi"/>
          <w:sz w:val="20"/>
          <w:szCs w:val="20"/>
        </w:rPr>
      </w:pPr>
    </w:p>
    <w:p w14:paraId="5BE2A126" w14:textId="6AE19660" w:rsidR="007B109C" w:rsidRPr="00EB04ED" w:rsidRDefault="008615B8" w:rsidP="00AB32B8">
      <w:pPr>
        <w:pStyle w:val="Heading3"/>
        <w:spacing w:before="0" w:line="240" w:lineRule="auto"/>
        <w:rPr>
          <w:rFonts w:asciiTheme="minorHAnsi" w:hAnsiTheme="minorHAnsi" w:cstheme="minorHAnsi"/>
          <w:szCs w:val="20"/>
        </w:rPr>
      </w:pPr>
      <w:r w:rsidRPr="00EB04ED">
        <w:rPr>
          <w:rFonts w:asciiTheme="minorHAnsi" w:hAnsiTheme="minorHAnsi" w:cstheme="minorHAnsi"/>
          <w:szCs w:val="20"/>
        </w:rPr>
        <w:t xml:space="preserve">Table 1.5: Average (±σ) Water Quality Impact of the Mayer Ranch Passive Treatment System </w:t>
      </w:r>
      <w:r w:rsidR="00EE471A" w:rsidRPr="00EB04ED">
        <w:rPr>
          <w:rFonts w:asciiTheme="minorHAnsi" w:hAnsiTheme="minorHAnsi" w:cstheme="minorHAnsi"/>
          <w:szCs w:val="20"/>
        </w:rPr>
        <w:t xml:space="preserve">on the </w:t>
      </w:r>
      <w:r w:rsidRPr="00EB04ED">
        <w:rPr>
          <w:rFonts w:asciiTheme="minorHAnsi" w:hAnsiTheme="minorHAnsi" w:cstheme="minorHAnsi"/>
          <w:szCs w:val="20"/>
        </w:rPr>
        <w:t>Unnamed Tributary 2009-2015……………………………………………………</w:t>
      </w:r>
      <w:r w:rsidR="00EE471A" w:rsidRPr="00EB04ED">
        <w:rPr>
          <w:rFonts w:asciiTheme="minorHAnsi" w:hAnsiTheme="minorHAnsi" w:cstheme="minorHAnsi"/>
          <w:szCs w:val="20"/>
        </w:rPr>
        <w:t>…………</w:t>
      </w:r>
      <w:r w:rsidRPr="00EB04ED">
        <w:rPr>
          <w:rFonts w:asciiTheme="minorHAnsi" w:hAnsiTheme="minorHAnsi" w:cstheme="minorHAnsi"/>
          <w:szCs w:val="20"/>
        </w:rPr>
        <w:t>…………………………………………</w:t>
      </w:r>
      <w:r w:rsidR="00EE471A" w:rsidRPr="00EB04ED">
        <w:rPr>
          <w:rFonts w:asciiTheme="minorHAnsi" w:hAnsiTheme="minorHAnsi" w:cstheme="minorHAnsi"/>
          <w:szCs w:val="20"/>
        </w:rPr>
        <w:t>.</w:t>
      </w:r>
      <w:r w:rsidR="000A2DA4" w:rsidRPr="00EB04ED">
        <w:rPr>
          <w:rFonts w:asciiTheme="minorHAnsi" w:hAnsiTheme="minorHAnsi" w:cstheme="minorHAnsi"/>
          <w:szCs w:val="20"/>
        </w:rPr>
        <w:t>….</w:t>
      </w:r>
      <w:r w:rsidR="005E61AF" w:rsidRPr="00EB04ED">
        <w:rPr>
          <w:rFonts w:asciiTheme="minorHAnsi" w:hAnsiTheme="minorHAnsi" w:cstheme="minorHAnsi"/>
          <w:szCs w:val="20"/>
        </w:rPr>
        <w:t>17</w:t>
      </w:r>
    </w:p>
    <w:p w14:paraId="6A8AB1E5" w14:textId="77777777" w:rsidR="000B088B" w:rsidRPr="00EB04ED" w:rsidRDefault="000B088B" w:rsidP="00AB32B8">
      <w:pPr>
        <w:spacing w:after="0" w:line="240" w:lineRule="auto"/>
        <w:rPr>
          <w:rFonts w:cstheme="minorHAnsi"/>
          <w:sz w:val="20"/>
          <w:szCs w:val="20"/>
        </w:rPr>
      </w:pPr>
    </w:p>
    <w:p w14:paraId="51A67144" w14:textId="709C2174" w:rsidR="004E3BDC" w:rsidRPr="00EB04ED" w:rsidRDefault="004E3BDC" w:rsidP="00AB32B8">
      <w:pPr>
        <w:pStyle w:val="Heading3"/>
        <w:spacing w:before="0" w:line="240" w:lineRule="auto"/>
        <w:rPr>
          <w:rFonts w:asciiTheme="minorHAnsi" w:hAnsiTheme="minorHAnsi" w:cstheme="minorHAnsi"/>
          <w:szCs w:val="20"/>
        </w:rPr>
      </w:pPr>
      <w:r w:rsidRPr="00EB04ED">
        <w:rPr>
          <w:rFonts w:asciiTheme="minorHAnsi" w:hAnsiTheme="minorHAnsi" w:cstheme="minorHAnsi"/>
          <w:szCs w:val="20"/>
        </w:rPr>
        <w:t xml:space="preserve">Table 2.1: Distance from Influent AMD Discharges to progressive profile locations and the </w:t>
      </w:r>
      <w:r w:rsidR="00EE471A" w:rsidRPr="00EB04ED">
        <w:rPr>
          <w:rFonts w:asciiTheme="minorHAnsi" w:hAnsiTheme="minorHAnsi" w:cstheme="minorHAnsi"/>
          <w:szCs w:val="20"/>
        </w:rPr>
        <w:t xml:space="preserve">corresponding </w:t>
      </w:r>
      <w:r w:rsidRPr="00EB04ED">
        <w:rPr>
          <w:rFonts w:asciiTheme="minorHAnsi" w:hAnsiTheme="minorHAnsi" w:cstheme="minorHAnsi"/>
          <w:szCs w:val="20"/>
        </w:rPr>
        <w:t>HRT as derived from the design time of 7.7 days for Cell 1………</w:t>
      </w:r>
      <w:r w:rsidR="00EE471A" w:rsidRPr="00EB04ED">
        <w:rPr>
          <w:rFonts w:asciiTheme="minorHAnsi" w:hAnsiTheme="minorHAnsi" w:cstheme="minorHAnsi"/>
          <w:szCs w:val="20"/>
        </w:rPr>
        <w:t>………………………</w:t>
      </w:r>
      <w:r w:rsidRPr="00EB04ED">
        <w:rPr>
          <w:rFonts w:asciiTheme="minorHAnsi" w:hAnsiTheme="minorHAnsi" w:cstheme="minorHAnsi"/>
          <w:szCs w:val="20"/>
        </w:rPr>
        <w:t>…………………………</w:t>
      </w:r>
      <w:proofErr w:type="gramStart"/>
      <w:r w:rsidR="000A2DA4" w:rsidRPr="00EB04ED">
        <w:rPr>
          <w:rFonts w:asciiTheme="minorHAnsi" w:hAnsiTheme="minorHAnsi" w:cstheme="minorHAnsi"/>
          <w:szCs w:val="20"/>
        </w:rPr>
        <w:t>…</w:t>
      </w:r>
      <w:r w:rsidR="00EE471A" w:rsidRPr="00EB04ED">
        <w:rPr>
          <w:rFonts w:asciiTheme="minorHAnsi" w:hAnsiTheme="minorHAnsi" w:cstheme="minorHAnsi"/>
          <w:szCs w:val="20"/>
        </w:rPr>
        <w:t>.</w:t>
      </w:r>
      <w:r w:rsidR="000A2DA4" w:rsidRPr="00EB04ED">
        <w:rPr>
          <w:rFonts w:asciiTheme="minorHAnsi" w:hAnsiTheme="minorHAnsi" w:cstheme="minorHAnsi"/>
          <w:szCs w:val="20"/>
        </w:rPr>
        <w:t>.</w:t>
      </w:r>
      <w:proofErr w:type="gramEnd"/>
      <w:r w:rsidR="000A2DA4" w:rsidRPr="00EB04ED">
        <w:rPr>
          <w:rFonts w:asciiTheme="minorHAnsi" w:hAnsiTheme="minorHAnsi" w:cstheme="minorHAnsi"/>
          <w:szCs w:val="20"/>
        </w:rPr>
        <w:t>….</w:t>
      </w:r>
      <w:r w:rsidRPr="00EB04ED">
        <w:rPr>
          <w:rFonts w:asciiTheme="minorHAnsi" w:hAnsiTheme="minorHAnsi" w:cstheme="minorHAnsi"/>
          <w:szCs w:val="20"/>
        </w:rPr>
        <w:t>…</w:t>
      </w:r>
      <w:r w:rsidR="000B088B" w:rsidRPr="00EB04ED">
        <w:rPr>
          <w:rFonts w:asciiTheme="minorHAnsi" w:hAnsiTheme="minorHAnsi" w:cstheme="minorHAnsi"/>
          <w:szCs w:val="20"/>
        </w:rPr>
        <w:t>28</w:t>
      </w:r>
    </w:p>
    <w:p w14:paraId="31B4570E" w14:textId="77777777" w:rsidR="00AA7A3D" w:rsidRPr="00EB04ED" w:rsidRDefault="00AA7A3D" w:rsidP="00AB32B8">
      <w:pPr>
        <w:spacing w:after="0" w:line="240" w:lineRule="auto"/>
        <w:rPr>
          <w:rFonts w:cstheme="minorHAnsi"/>
          <w:sz w:val="20"/>
          <w:szCs w:val="20"/>
        </w:rPr>
      </w:pPr>
    </w:p>
    <w:p w14:paraId="6F4520A6" w14:textId="07D4A348" w:rsidR="00AA7A3D" w:rsidRPr="00EB04ED" w:rsidRDefault="004E3BDC" w:rsidP="00AB32B8">
      <w:pPr>
        <w:pStyle w:val="Heading3"/>
        <w:spacing w:before="0" w:line="240" w:lineRule="auto"/>
        <w:rPr>
          <w:rFonts w:asciiTheme="minorHAnsi" w:hAnsiTheme="minorHAnsi" w:cstheme="minorHAnsi"/>
          <w:szCs w:val="20"/>
        </w:rPr>
      </w:pPr>
      <w:r w:rsidRPr="00EB04ED">
        <w:rPr>
          <w:rFonts w:asciiTheme="minorHAnsi" w:hAnsiTheme="minorHAnsi" w:cstheme="minorHAnsi"/>
          <w:szCs w:val="20"/>
        </w:rPr>
        <w:t>Table 2.2: Total Metals Removal by the MRPTS Preliminary Oxidation Cell (Cell 1) 2009-2013…………</w:t>
      </w:r>
      <w:proofErr w:type="gramStart"/>
      <w:r w:rsidR="000A2DA4" w:rsidRPr="00EB04ED">
        <w:rPr>
          <w:rFonts w:asciiTheme="minorHAnsi" w:hAnsiTheme="minorHAnsi" w:cstheme="minorHAnsi"/>
          <w:szCs w:val="20"/>
        </w:rPr>
        <w:t>…</w:t>
      </w:r>
      <w:r w:rsidR="00EE471A" w:rsidRPr="00EB04ED">
        <w:rPr>
          <w:rFonts w:asciiTheme="minorHAnsi" w:hAnsiTheme="minorHAnsi" w:cstheme="minorHAnsi"/>
          <w:szCs w:val="20"/>
        </w:rPr>
        <w:t>.</w:t>
      </w:r>
      <w:r w:rsidR="000A2DA4" w:rsidRPr="00EB04ED">
        <w:rPr>
          <w:rFonts w:asciiTheme="minorHAnsi" w:hAnsiTheme="minorHAnsi" w:cstheme="minorHAnsi"/>
          <w:szCs w:val="20"/>
        </w:rPr>
        <w:t>.</w:t>
      </w:r>
      <w:proofErr w:type="gramEnd"/>
      <w:r w:rsidR="000B088B" w:rsidRPr="00EB04ED">
        <w:rPr>
          <w:rFonts w:asciiTheme="minorHAnsi" w:hAnsiTheme="minorHAnsi" w:cstheme="minorHAnsi"/>
          <w:szCs w:val="20"/>
        </w:rPr>
        <w:t>30</w:t>
      </w:r>
    </w:p>
    <w:p w14:paraId="373E70A4" w14:textId="77777777" w:rsidR="00AA7A3D" w:rsidRPr="00EB04ED" w:rsidRDefault="00AA7A3D" w:rsidP="00AB32B8">
      <w:pPr>
        <w:spacing w:after="0" w:line="240" w:lineRule="auto"/>
        <w:rPr>
          <w:rFonts w:cstheme="minorHAnsi"/>
          <w:sz w:val="20"/>
          <w:szCs w:val="20"/>
        </w:rPr>
      </w:pPr>
    </w:p>
    <w:p w14:paraId="0973053B" w14:textId="65C8457F" w:rsidR="004E3BDC" w:rsidRPr="00EB04ED" w:rsidRDefault="004E3BDC" w:rsidP="00AB32B8">
      <w:pPr>
        <w:pStyle w:val="Heading3"/>
        <w:spacing w:before="0" w:line="240" w:lineRule="auto"/>
        <w:rPr>
          <w:rFonts w:asciiTheme="minorHAnsi" w:hAnsiTheme="minorHAnsi" w:cstheme="minorHAnsi"/>
          <w:noProof/>
          <w:szCs w:val="20"/>
        </w:rPr>
      </w:pPr>
      <w:r w:rsidRPr="00EB04ED">
        <w:rPr>
          <w:rFonts w:asciiTheme="minorHAnsi" w:hAnsiTheme="minorHAnsi" w:cstheme="minorHAnsi"/>
          <w:noProof/>
          <w:szCs w:val="20"/>
        </w:rPr>
        <w:t xml:space="preserve">Table 2.3 : Total and Dissolved Iron Concentrations with </w:t>
      </w:r>
      <w:r w:rsidRPr="00EB04ED">
        <w:rPr>
          <w:rFonts w:asciiTheme="minorHAnsi" w:hAnsiTheme="minorHAnsi" w:cstheme="minorHAnsi"/>
          <w:i/>
          <w:noProof/>
          <w:szCs w:val="20"/>
        </w:rPr>
        <w:t xml:space="preserve">in situ </w:t>
      </w:r>
      <w:r w:rsidRPr="00EB04ED">
        <w:rPr>
          <w:rFonts w:asciiTheme="minorHAnsi" w:hAnsiTheme="minorHAnsi" w:cstheme="minorHAnsi"/>
          <w:noProof/>
          <w:szCs w:val="20"/>
        </w:rPr>
        <w:t>Parameters for Cell 1 (2009-2013)…</w:t>
      </w:r>
      <w:r w:rsidR="00EE471A" w:rsidRPr="00EB04ED">
        <w:rPr>
          <w:rFonts w:asciiTheme="minorHAnsi" w:hAnsiTheme="minorHAnsi" w:cstheme="minorHAnsi"/>
          <w:noProof/>
          <w:szCs w:val="20"/>
        </w:rPr>
        <w:t>…..</w:t>
      </w:r>
      <w:r w:rsidRPr="00EB04ED">
        <w:rPr>
          <w:rFonts w:asciiTheme="minorHAnsi" w:hAnsiTheme="minorHAnsi" w:cstheme="minorHAnsi"/>
          <w:noProof/>
          <w:szCs w:val="20"/>
        </w:rPr>
        <w:t>.</w:t>
      </w:r>
      <w:r w:rsidR="000B088B" w:rsidRPr="00EB04ED">
        <w:rPr>
          <w:rFonts w:asciiTheme="minorHAnsi" w:hAnsiTheme="minorHAnsi" w:cstheme="minorHAnsi"/>
          <w:noProof/>
          <w:szCs w:val="20"/>
        </w:rPr>
        <w:t>32</w:t>
      </w:r>
    </w:p>
    <w:p w14:paraId="3937911E" w14:textId="77777777" w:rsidR="00AA7A3D" w:rsidRPr="00EB04ED" w:rsidRDefault="00AA7A3D" w:rsidP="00AB32B8">
      <w:pPr>
        <w:spacing w:after="0" w:line="240" w:lineRule="auto"/>
        <w:rPr>
          <w:rFonts w:cstheme="minorHAnsi"/>
          <w:sz w:val="20"/>
          <w:szCs w:val="20"/>
        </w:rPr>
      </w:pPr>
    </w:p>
    <w:p w14:paraId="1C9C5D56" w14:textId="74E77329" w:rsidR="004E3BDC" w:rsidRPr="00EB04ED" w:rsidRDefault="004E3BDC" w:rsidP="00AB32B8">
      <w:pPr>
        <w:spacing w:after="0" w:line="240" w:lineRule="auto"/>
        <w:rPr>
          <w:rFonts w:cstheme="minorHAnsi"/>
          <w:noProof/>
          <w:sz w:val="20"/>
          <w:szCs w:val="20"/>
        </w:rPr>
      </w:pPr>
      <w:r w:rsidRPr="00EB04ED">
        <w:rPr>
          <w:rFonts w:cstheme="minorHAnsi"/>
          <w:noProof/>
          <w:sz w:val="20"/>
          <w:szCs w:val="20"/>
        </w:rPr>
        <w:t>Table 2.4: Statistical analysis (Two Tailed t-Test) of Oxidative Unit Flow Rate with Respect to the Average Flow Rate (2009-2013)…………………</w:t>
      </w:r>
      <w:r w:rsidR="00EE471A" w:rsidRPr="00EB04ED">
        <w:rPr>
          <w:rFonts w:cstheme="minorHAnsi"/>
          <w:noProof/>
          <w:sz w:val="20"/>
          <w:szCs w:val="20"/>
        </w:rPr>
        <w:t>………………………</w:t>
      </w:r>
      <w:r w:rsidRPr="00EB04ED">
        <w:rPr>
          <w:rFonts w:cstheme="minorHAnsi"/>
          <w:noProof/>
          <w:sz w:val="20"/>
          <w:szCs w:val="20"/>
        </w:rPr>
        <w:t>……………………………………………………………………..……</w:t>
      </w:r>
      <w:r w:rsidR="000B088B" w:rsidRPr="00EB04ED">
        <w:rPr>
          <w:rFonts w:cstheme="minorHAnsi"/>
          <w:noProof/>
          <w:sz w:val="20"/>
          <w:szCs w:val="20"/>
        </w:rPr>
        <w:t>.</w:t>
      </w:r>
      <w:r w:rsidRPr="00EB04ED">
        <w:rPr>
          <w:rFonts w:cstheme="minorHAnsi"/>
          <w:noProof/>
          <w:sz w:val="20"/>
          <w:szCs w:val="20"/>
        </w:rPr>
        <w:t>….</w:t>
      </w:r>
      <w:r w:rsidR="000B088B" w:rsidRPr="00EB04ED">
        <w:rPr>
          <w:rFonts w:cstheme="minorHAnsi"/>
          <w:noProof/>
          <w:sz w:val="20"/>
          <w:szCs w:val="20"/>
        </w:rPr>
        <w:t>32</w:t>
      </w:r>
    </w:p>
    <w:p w14:paraId="50361397" w14:textId="77777777" w:rsidR="000B088B" w:rsidRPr="00EB04ED" w:rsidRDefault="000B088B" w:rsidP="00AB32B8">
      <w:pPr>
        <w:spacing w:after="0" w:line="240" w:lineRule="auto"/>
        <w:rPr>
          <w:rFonts w:cstheme="minorHAnsi"/>
          <w:noProof/>
          <w:sz w:val="20"/>
          <w:szCs w:val="20"/>
        </w:rPr>
      </w:pPr>
    </w:p>
    <w:p w14:paraId="3A837E52" w14:textId="030C1D91" w:rsidR="00EB04ED" w:rsidRPr="00EB04ED" w:rsidRDefault="00EB04ED" w:rsidP="00EB04ED">
      <w:pPr>
        <w:spacing w:after="200" w:line="240" w:lineRule="auto"/>
        <w:jc w:val="both"/>
        <w:rPr>
          <w:rFonts w:cstheme="minorHAnsi"/>
          <w:sz w:val="20"/>
          <w:szCs w:val="20"/>
        </w:rPr>
      </w:pPr>
      <w:r w:rsidRPr="00EB04ED">
        <w:rPr>
          <w:rFonts w:cstheme="minorHAnsi"/>
          <w:sz w:val="20"/>
          <w:szCs w:val="20"/>
        </w:rPr>
        <w:t>Table 3.1: Comparison of MRPTS iron removal and transport (2011-</w:t>
      </w:r>
      <w:proofErr w:type="gramStart"/>
      <w:r w:rsidRPr="00EB04ED">
        <w:rPr>
          <w:rFonts w:cstheme="minorHAnsi"/>
          <w:sz w:val="20"/>
          <w:szCs w:val="20"/>
        </w:rPr>
        <w:t>2013)…</w:t>
      </w:r>
      <w:proofErr w:type="gramEnd"/>
      <w:r w:rsidRPr="00EB04ED">
        <w:rPr>
          <w:rFonts w:cstheme="minorHAnsi"/>
          <w:sz w:val="20"/>
          <w:szCs w:val="20"/>
        </w:rPr>
        <w:t>……………</w:t>
      </w:r>
      <w:r>
        <w:rPr>
          <w:rFonts w:cstheme="minorHAnsi"/>
          <w:sz w:val="20"/>
          <w:szCs w:val="20"/>
        </w:rPr>
        <w:t>……………………….</w:t>
      </w:r>
      <w:r w:rsidRPr="00EB04ED">
        <w:rPr>
          <w:rFonts w:cstheme="minorHAnsi"/>
          <w:sz w:val="20"/>
          <w:szCs w:val="20"/>
        </w:rPr>
        <w:t>…..58</w:t>
      </w:r>
    </w:p>
    <w:p w14:paraId="6191F132" w14:textId="273F99BA" w:rsidR="00EB04ED" w:rsidRPr="00EB04ED" w:rsidRDefault="00EB04ED" w:rsidP="00EB04ED">
      <w:pPr>
        <w:spacing w:line="240" w:lineRule="auto"/>
        <w:jc w:val="both"/>
        <w:rPr>
          <w:rFonts w:cstheme="minorHAnsi"/>
          <w:sz w:val="20"/>
          <w:szCs w:val="20"/>
        </w:rPr>
      </w:pPr>
      <w:r w:rsidRPr="00EB04ED">
        <w:rPr>
          <w:rFonts w:cstheme="minorHAnsi"/>
          <w:sz w:val="20"/>
          <w:szCs w:val="20"/>
        </w:rPr>
        <w:t>Table 3.2: Statistical Analysis of the Influent System Flow Rate for the Oxidative Unit of the MRPTS…</w:t>
      </w:r>
      <w:proofErr w:type="gramStart"/>
      <w:r>
        <w:rPr>
          <w:rFonts w:cstheme="minorHAnsi"/>
          <w:sz w:val="20"/>
          <w:szCs w:val="20"/>
        </w:rPr>
        <w:t>….</w:t>
      </w:r>
      <w:r w:rsidRPr="00EB04ED">
        <w:rPr>
          <w:rFonts w:cstheme="minorHAnsi"/>
          <w:sz w:val="20"/>
          <w:szCs w:val="20"/>
        </w:rPr>
        <w:t>.</w:t>
      </w:r>
      <w:proofErr w:type="gramEnd"/>
      <w:r w:rsidRPr="00EB04ED">
        <w:rPr>
          <w:rFonts w:cstheme="minorHAnsi"/>
          <w:sz w:val="20"/>
          <w:szCs w:val="20"/>
        </w:rPr>
        <w:t>62</w:t>
      </w:r>
    </w:p>
    <w:p w14:paraId="36DEEA19" w14:textId="5F3649A4" w:rsidR="00EB04ED" w:rsidRPr="00EB04ED" w:rsidRDefault="00EB04ED" w:rsidP="00EB04ED">
      <w:pPr>
        <w:spacing w:line="240" w:lineRule="auto"/>
        <w:jc w:val="both"/>
        <w:rPr>
          <w:rFonts w:cstheme="minorHAnsi"/>
          <w:sz w:val="20"/>
          <w:szCs w:val="20"/>
        </w:rPr>
      </w:pPr>
      <w:r w:rsidRPr="00EB04ED">
        <w:rPr>
          <w:rFonts w:cstheme="minorHAnsi"/>
          <w:sz w:val="20"/>
          <w:szCs w:val="20"/>
        </w:rPr>
        <w:t>Table 3.3: Statistical Analysis of the MRPTS Effluent Flow Rate Applied to Cell 6 Mass Transport …</w:t>
      </w:r>
      <w:r>
        <w:rPr>
          <w:rFonts w:cstheme="minorHAnsi"/>
          <w:sz w:val="20"/>
          <w:szCs w:val="20"/>
        </w:rPr>
        <w:t>…….</w:t>
      </w:r>
      <w:r w:rsidRPr="00EB04ED">
        <w:rPr>
          <w:rFonts w:cstheme="minorHAnsi"/>
          <w:sz w:val="20"/>
          <w:szCs w:val="20"/>
        </w:rPr>
        <w:t>…64</w:t>
      </w:r>
    </w:p>
    <w:p w14:paraId="20C7A03E" w14:textId="4FE24814" w:rsidR="00EB04ED" w:rsidRPr="00EB04ED" w:rsidRDefault="00EB04ED" w:rsidP="00EB04ED">
      <w:pPr>
        <w:spacing w:line="240" w:lineRule="auto"/>
        <w:jc w:val="both"/>
        <w:rPr>
          <w:rFonts w:cstheme="minorHAnsi"/>
          <w:sz w:val="20"/>
          <w:szCs w:val="20"/>
        </w:rPr>
      </w:pPr>
      <w:r w:rsidRPr="00EB04ED">
        <w:rPr>
          <w:rFonts w:cstheme="minorHAnsi"/>
          <w:sz w:val="20"/>
          <w:szCs w:val="20"/>
        </w:rPr>
        <w:t>Table 3.4: Average Iron Mass Transport Based on Storm Intensity Classifications for Cell 1…</w:t>
      </w:r>
      <w:r>
        <w:rPr>
          <w:rFonts w:cstheme="minorHAnsi"/>
          <w:sz w:val="20"/>
          <w:szCs w:val="20"/>
        </w:rPr>
        <w:t>………………..</w:t>
      </w:r>
      <w:r w:rsidRPr="00EB04ED">
        <w:rPr>
          <w:rFonts w:cstheme="minorHAnsi"/>
          <w:sz w:val="20"/>
          <w:szCs w:val="20"/>
        </w:rPr>
        <w:t>.68</w:t>
      </w:r>
    </w:p>
    <w:p w14:paraId="255B383A" w14:textId="70D73CA1" w:rsidR="00EB04ED" w:rsidRPr="00EB04ED" w:rsidRDefault="00EB04ED" w:rsidP="00EB04ED">
      <w:pPr>
        <w:spacing w:line="240" w:lineRule="auto"/>
        <w:jc w:val="both"/>
        <w:rPr>
          <w:rFonts w:cstheme="minorHAnsi"/>
          <w:sz w:val="20"/>
          <w:szCs w:val="20"/>
        </w:rPr>
      </w:pPr>
      <w:r w:rsidRPr="00EB04ED">
        <w:rPr>
          <w:rFonts w:cstheme="minorHAnsi"/>
          <w:sz w:val="20"/>
          <w:szCs w:val="20"/>
        </w:rPr>
        <w:t>Table 3.5: Summary of Annual Iron Mass Loading and Transport for Cell 1 from 2011-2013…</w:t>
      </w:r>
      <w:r>
        <w:rPr>
          <w:rFonts w:cstheme="minorHAnsi"/>
          <w:sz w:val="20"/>
          <w:szCs w:val="20"/>
        </w:rPr>
        <w:t>………………</w:t>
      </w:r>
      <w:r w:rsidRPr="00EB04ED">
        <w:rPr>
          <w:rFonts w:cstheme="minorHAnsi"/>
          <w:sz w:val="20"/>
          <w:szCs w:val="20"/>
        </w:rPr>
        <w:t>….70</w:t>
      </w:r>
    </w:p>
    <w:p w14:paraId="3788CA69" w14:textId="63EDD07F" w:rsidR="00EB04ED" w:rsidRPr="00EB04ED" w:rsidRDefault="00EB04ED" w:rsidP="00EB04ED">
      <w:pPr>
        <w:spacing w:line="240" w:lineRule="auto"/>
        <w:jc w:val="both"/>
        <w:rPr>
          <w:rFonts w:cstheme="minorHAnsi"/>
          <w:sz w:val="20"/>
          <w:szCs w:val="20"/>
        </w:rPr>
      </w:pPr>
      <w:r w:rsidRPr="00EB04ED">
        <w:rPr>
          <w:rFonts w:cstheme="minorHAnsi"/>
          <w:sz w:val="20"/>
          <w:szCs w:val="20"/>
        </w:rPr>
        <w:t>Table 3.6: Cell 2N Storm Induced Iron Transport Summary (2011-</w:t>
      </w:r>
      <w:proofErr w:type="gramStart"/>
      <w:r w:rsidRPr="00EB04ED">
        <w:rPr>
          <w:rFonts w:cstheme="minorHAnsi"/>
          <w:sz w:val="20"/>
          <w:szCs w:val="20"/>
        </w:rPr>
        <w:t>2013)…</w:t>
      </w:r>
      <w:proofErr w:type="gramEnd"/>
      <w:r>
        <w:rPr>
          <w:rFonts w:cstheme="minorHAnsi"/>
          <w:sz w:val="20"/>
          <w:szCs w:val="20"/>
        </w:rPr>
        <w:t>…………………………………………….</w:t>
      </w:r>
      <w:r w:rsidRPr="00EB04ED">
        <w:rPr>
          <w:rFonts w:cstheme="minorHAnsi"/>
          <w:sz w:val="20"/>
          <w:szCs w:val="20"/>
        </w:rPr>
        <w:t>.71</w:t>
      </w:r>
    </w:p>
    <w:p w14:paraId="15C9E09C" w14:textId="4D6CA662" w:rsidR="00EB04ED" w:rsidRPr="00EB04ED" w:rsidRDefault="00EB04ED" w:rsidP="00EB04ED">
      <w:pPr>
        <w:spacing w:line="240" w:lineRule="auto"/>
        <w:jc w:val="both"/>
        <w:rPr>
          <w:rFonts w:cstheme="minorHAnsi"/>
          <w:sz w:val="20"/>
          <w:szCs w:val="20"/>
        </w:rPr>
      </w:pPr>
      <w:r w:rsidRPr="00EB04ED">
        <w:rPr>
          <w:rFonts w:cstheme="minorHAnsi"/>
          <w:sz w:val="20"/>
          <w:szCs w:val="20"/>
        </w:rPr>
        <w:t>Table 3.7: Cell 2S Storm Induced Iron Transport Summary (2011-</w:t>
      </w:r>
      <w:proofErr w:type="gramStart"/>
      <w:r w:rsidRPr="00EB04ED">
        <w:rPr>
          <w:rFonts w:cstheme="minorHAnsi"/>
          <w:sz w:val="20"/>
          <w:szCs w:val="20"/>
        </w:rPr>
        <w:t>2013)…</w:t>
      </w:r>
      <w:proofErr w:type="gramEnd"/>
      <w:r>
        <w:rPr>
          <w:rFonts w:cstheme="minorHAnsi"/>
          <w:sz w:val="20"/>
          <w:szCs w:val="20"/>
        </w:rPr>
        <w:t>………………………………………………</w:t>
      </w:r>
      <w:r w:rsidRPr="00EB04ED">
        <w:rPr>
          <w:rFonts w:cstheme="minorHAnsi"/>
          <w:sz w:val="20"/>
          <w:szCs w:val="20"/>
        </w:rPr>
        <w:t>.71</w:t>
      </w:r>
    </w:p>
    <w:p w14:paraId="7CBA7891" w14:textId="4B257B5F" w:rsidR="00EB04ED" w:rsidRPr="00EB04ED" w:rsidRDefault="00EB04ED" w:rsidP="00EB04ED">
      <w:pPr>
        <w:spacing w:line="240" w:lineRule="auto"/>
        <w:jc w:val="both"/>
        <w:rPr>
          <w:rFonts w:cstheme="minorHAnsi"/>
          <w:sz w:val="20"/>
          <w:szCs w:val="20"/>
        </w:rPr>
      </w:pPr>
      <w:r w:rsidRPr="00EB04ED">
        <w:rPr>
          <w:rFonts w:cstheme="minorHAnsi"/>
          <w:sz w:val="20"/>
          <w:szCs w:val="20"/>
        </w:rPr>
        <w:t>Table 3.8: Average Iron Mass Transport Based on Storm Intensity Classifications for Cell2N…</w:t>
      </w:r>
      <w:r>
        <w:rPr>
          <w:rFonts w:cstheme="minorHAnsi"/>
          <w:sz w:val="20"/>
          <w:szCs w:val="20"/>
        </w:rPr>
        <w:t>……………….</w:t>
      </w:r>
      <w:r w:rsidRPr="00EB04ED">
        <w:rPr>
          <w:rFonts w:cstheme="minorHAnsi"/>
          <w:sz w:val="20"/>
          <w:szCs w:val="20"/>
        </w:rPr>
        <w:t>75</w:t>
      </w:r>
    </w:p>
    <w:p w14:paraId="18B03FD9" w14:textId="34897038" w:rsidR="00EB04ED" w:rsidRPr="00EB04ED" w:rsidRDefault="00EB04ED" w:rsidP="00EB04ED">
      <w:pPr>
        <w:spacing w:line="240" w:lineRule="auto"/>
        <w:rPr>
          <w:rFonts w:cstheme="minorHAnsi"/>
          <w:sz w:val="20"/>
          <w:szCs w:val="20"/>
        </w:rPr>
      </w:pPr>
      <w:r w:rsidRPr="00EB04ED">
        <w:rPr>
          <w:rFonts w:cstheme="minorHAnsi"/>
          <w:sz w:val="20"/>
          <w:szCs w:val="20"/>
        </w:rPr>
        <w:t>Table 3.9: Summary of Annual Iron Mass Loading and Transport for Cell 2N from 2011-2013…</w:t>
      </w:r>
      <w:r>
        <w:rPr>
          <w:rFonts w:cstheme="minorHAnsi"/>
          <w:sz w:val="20"/>
          <w:szCs w:val="20"/>
        </w:rPr>
        <w:t>……………</w:t>
      </w:r>
      <w:r w:rsidRPr="00EB04ED">
        <w:rPr>
          <w:rFonts w:cstheme="minorHAnsi"/>
          <w:sz w:val="20"/>
          <w:szCs w:val="20"/>
        </w:rPr>
        <w:t>77</w:t>
      </w:r>
    </w:p>
    <w:p w14:paraId="3C8E3456" w14:textId="0CD9CDC0" w:rsidR="00EB04ED" w:rsidRPr="00EB04ED" w:rsidRDefault="00EB04ED" w:rsidP="00EB04ED">
      <w:pPr>
        <w:spacing w:line="240" w:lineRule="auto"/>
        <w:jc w:val="both"/>
        <w:rPr>
          <w:rFonts w:cstheme="minorHAnsi"/>
          <w:sz w:val="20"/>
          <w:szCs w:val="20"/>
        </w:rPr>
      </w:pPr>
      <w:r w:rsidRPr="00EB04ED">
        <w:rPr>
          <w:rFonts w:cstheme="minorHAnsi"/>
          <w:sz w:val="20"/>
          <w:szCs w:val="20"/>
        </w:rPr>
        <w:t>Table 3.10: Average Iron Mass Transport Based on Storm Intensity Classifications for Cell 2S…</w:t>
      </w:r>
      <w:r>
        <w:rPr>
          <w:rFonts w:cstheme="minorHAnsi"/>
          <w:sz w:val="20"/>
          <w:szCs w:val="20"/>
        </w:rPr>
        <w:t>…………….</w:t>
      </w:r>
      <w:r w:rsidRPr="00EB04ED">
        <w:rPr>
          <w:rFonts w:cstheme="minorHAnsi"/>
          <w:sz w:val="20"/>
          <w:szCs w:val="20"/>
        </w:rPr>
        <w:t>78</w:t>
      </w:r>
    </w:p>
    <w:p w14:paraId="367A8C2D" w14:textId="73C98B19" w:rsidR="00EB04ED" w:rsidRPr="00EB04ED" w:rsidRDefault="00EB04ED" w:rsidP="00EB04ED">
      <w:pPr>
        <w:jc w:val="both"/>
        <w:rPr>
          <w:rFonts w:cstheme="minorHAnsi"/>
          <w:sz w:val="20"/>
          <w:szCs w:val="20"/>
        </w:rPr>
      </w:pPr>
      <w:r w:rsidRPr="00EB04ED">
        <w:rPr>
          <w:rFonts w:cstheme="minorHAnsi"/>
          <w:sz w:val="20"/>
          <w:szCs w:val="20"/>
        </w:rPr>
        <w:t>Table 3.11: Summary of Annual Iron Mass Loading and Transport for Cell 2S from 2011-2013…</w:t>
      </w:r>
      <w:r>
        <w:rPr>
          <w:rFonts w:cstheme="minorHAnsi"/>
          <w:sz w:val="20"/>
          <w:szCs w:val="20"/>
        </w:rPr>
        <w:t>…………….</w:t>
      </w:r>
      <w:r w:rsidRPr="00EB04ED">
        <w:rPr>
          <w:rFonts w:cstheme="minorHAnsi"/>
          <w:sz w:val="20"/>
          <w:szCs w:val="20"/>
        </w:rPr>
        <w:t>80</w:t>
      </w:r>
    </w:p>
    <w:p w14:paraId="16607863" w14:textId="1AADD163" w:rsidR="00EB04ED" w:rsidRPr="00EB04ED" w:rsidRDefault="00EB04ED" w:rsidP="00EB04ED">
      <w:pPr>
        <w:spacing w:line="240" w:lineRule="auto"/>
        <w:ind w:right="36"/>
        <w:jc w:val="both"/>
        <w:rPr>
          <w:rFonts w:cstheme="minorHAnsi"/>
          <w:sz w:val="20"/>
          <w:szCs w:val="20"/>
        </w:rPr>
      </w:pPr>
      <w:r w:rsidRPr="00EB04ED">
        <w:rPr>
          <w:rFonts w:cstheme="minorHAnsi"/>
          <w:sz w:val="20"/>
          <w:szCs w:val="20"/>
        </w:rPr>
        <w:t>Table 3.12: Storm Induced Iron Transport for Cell6 (System Effluent) Based on</w:t>
      </w:r>
      <w:r>
        <w:rPr>
          <w:rFonts w:cstheme="minorHAnsi"/>
          <w:sz w:val="20"/>
          <w:szCs w:val="20"/>
        </w:rPr>
        <w:t xml:space="preserve"> Storm Intensity </w:t>
      </w:r>
      <w:r w:rsidRPr="00EB04ED">
        <w:rPr>
          <w:rFonts w:cstheme="minorHAnsi"/>
          <w:sz w:val="20"/>
          <w:szCs w:val="20"/>
        </w:rPr>
        <w:t>Classification</w:t>
      </w:r>
      <w:r>
        <w:rPr>
          <w:rFonts w:cstheme="minorHAnsi"/>
          <w:sz w:val="20"/>
          <w:szCs w:val="20"/>
        </w:rPr>
        <w:t>………………………………………...……………………………………………………………………………….............</w:t>
      </w:r>
      <w:r w:rsidRPr="00EB04ED">
        <w:rPr>
          <w:rFonts w:cstheme="minorHAnsi"/>
          <w:sz w:val="20"/>
          <w:szCs w:val="20"/>
        </w:rPr>
        <w:t>…82</w:t>
      </w:r>
    </w:p>
    <w:p w14:paraId="0DF71FDF" w14:textId="66BED232" w:rsidR="00EB04ED" w:rsidRPr="00EB04ED" w:rsidRDefault="00EB04ED" w:rsidP="00EB04ED">
      <w:pPr>
        <w:spacing w:line="240" w:lineRule="auto"/>
        <w:ind w:right="36"/>
        <w:jc w:val="both"/>
        <w:rPr>
          <w:rFonts w:cstheme="minorHAnsi"/>
          <w:sz w:val="20"/>
          <w:szCs w:val="20"/>
        </w:rPr>
      </w:pPr>
      <w:r w:rsidRPr="00EB04ED">
        <w:rPr>
          <w:rFonts w:cstheme="minorHAnsi"/>
          <w:sz w:val="20"/>
          <w:szCs w:val="20"/>
        </w:rPr>
        <w:t>Table 3.13: Average Iron Mass Transport Based on Storm Intensity Classifications for Cell6</w:t>
      </w:r>
      <w:r>
        <w:rPr>
          <w:rFonts w:cstheme="minorHAnsi"/>
          <w:sz w:val="20"/>
          <w:szCs w:val="20"/>
        </w:rPr>
        <w:t>…………</w:t>
      </w:r>
      <w:proofErr w:type="gramStart"/>
      <w:r>
        <w:rPr>
          <w:rFonts w:cstheme="minorHAnsi"/>
          <w:sz w:val="20"/>
          <w:szCs w:val="20"/>
        </w:rPr>
        <w:t>…..</w:t>
      </w:r>
      <w:proofErr w:type="gramEnd"/>
      <w:r w:rsidRPr="00EB04ED">
        <w:rPr>
          <w:rFonts w:cstheme="minorHAnsi"/>
          <w:sz w:val="20"/>
          <w:szCs w:val="20"/>
        </w:rPr>
        <w:t>….84</w:t>
      </w:r>
    </w:p>
    <w:p w14:paraId="5C8E6070" w14:textId="7EF9C3E7" w:rsidR="00EB04ED" w:rsidRPr="00EB04ED" w:rsidRDefault="00EB04ED" w:rsidP="00EB04ED">
      <w:pPr>
        <w:spacing w:line="240" w:lineRule="auto"/>
        <w:jc w:val="both"/>
        <w:rPr>
          <w:rFonts w:cstheme="minorHAnsi"/>
          <w:sz w:val="20"/>
          <w:szCs w:val="20"/>
        </w:rPr>
      </w:pPr>
      <w:r w:rsidRPr="00EB04ED">
        <w:rPr>
          <w:rFonts w:cstheme="minorHAnsi"/>
          <w:sz w:val="20"/>
          <w:szCs w:val="20"/>
        </w:rPr>
        <w:t>Table 3.14: Summary of Annual Iron Mass Loading and Transport for Cell6 from 2011-2013…</w:t>
      </w:r>
      <w:r>
        <w:rPr>
          <w:rFonts w:cstheme="minorHAnsi"/>
          <w:sz w:val="20"/>
          <w:szCs w:val="20"/>
        </w:rPr>
        <w:t>………</w:t>
      </w:r>
      <w:proofErr w:type="gramStart"/>
      <w:r>
        <w:rPr>
          <w:rFonts w:cstheme="minorHAnsi"/>
          <w:sz w:val="20"/>
          <w:szCs w:val="20"/>
        </w:rPr>
        <w:t>…..</w:t>
      </w:r>
      <w:proofErr w:type="gramEnd"/>
      <w:r w:rsidRPr="00EB04ED">
        <w:rPr>
          <w:rFonts w:cstheme="minorHAnsi"/>
          <w:sz w:val="20"/>
          <w:szCs w:val="20"/>
        </w:rPr>
        <w:t>…86</w:t>
      </w:r>
    </w:p>
    <w:p w14:paraId="5D168BE4" w14:textId="2E70FDCC" w:rsidR="00EB04ED" w:rsidRPr="00EB04ED" w:rsidRDefault="00EB04ED" w:rsidP="00EB04ED">
      <w:pPr>
        <w:spacing w:line="240" w:lineRule="auto"/>
        <w:rPr>
          <w:rFonts w:cstheme="minorHAnsi"/>
          <w:sz w:val="20"/>
          <w:szCs w:val="20"/>
        </w:rPr>
      </w:pPr>
      <w:r w:rsidRPr="00EB04ED">
        <w:rPr>
          <w:rFonts w:cstheme="minorHAnsi"/>
          <w:sz w:val="20"/>
          <w:szCs w:val="20"/>
        </w:rPr>
        <w:t>Table 3.15: t test results (α = 0.05, 1 tailed, unpaired) for storm transport by location …</w:t>
      </w:r>
      <w:r>
        <w:rPr>
          <w:rFonts w:cstheme="minorHAnsi"/>
          <w:sz w:val="20"/>
          <w:szCs w:val="20"/>
        </w:rPr>
        <w:t>…………………</w:t>
      </w:r>
      <w:proofErr w:type="gramStart"/>
      <w:r>
        <w:rPr>
          <w:rFonts w:cstheme="minorHAnsi"/>
          <w:sz w:val="20"/>
          <w:szCs w:val="20"/>
        </w:rPr>
        <w:t>….</w:t>
      </w:r>
      <w:r w:rsidRPr="00EB04ED">
        <w:rPr>
          <w:rFonts w:cstheme="minorHAnsi"/>
          <w:sz w:val="20"/>
          <w:szCs w:val="20"/>
        </w:rPr>
        <w:t>.</w:t>
      </w:r>
      <w:proofErr w:type="gramEnd"/>
      <w:r w:rsidRPr="00EB04ED">
        <w:rPr>
          <w:rFonts w:cstheme="minorHAnsi"/>
          <w:sz w:val="20"/>
          <w:szCs w:val="20"/>
        </w:rPr>
        <w:t>89</w:t>
      </w:r>
    </w:p>
    <w:p w14:paraId="6CCA06E6" w14:textId="511E346F" w:rsidR="007A01D6" w:rsidRPr="00EB04ED" w:rsidRDefault="007A01D6" w:rsidP="00AB32B8">
      <w:pPr>
        <w:spacing w:after="0" w:line="240" w:lineRule="auto"/>
        <w:rPr>
          <w:rFonts w:cstheme="minorHAnsi"/>
          <w:noProof/>
          <w:sz w:val="20"/>
          <w:szCs w:val="20"/>
        </w:rPr>
      </w:pPr>
      <w:r w:rsidRPr="00EB04ED">
        <w:rPr>
          <w:rFonts w:cstheme="minorHAnsi"/>
          <w:noProof/>
          <w:sz w:val="20"/>
          <w:szCs w:val="20"/>
        </w:rPr>
        <w:lastRenderedPageBreak/>
        <w:t xml:space="preserve">Table </w:t>
      </w:r>
      <w:r w:rsidR="00EB04ED">
        <w:rPr>
          <w:rFonts w:cstheme="minorHAnsi"/>
          <w:noProof/>
          <w:sz w:val="20"/>
          <w:szCs w:val="20"/>
        </w:rPr>
        <w:t>4</w:t>
      </w:r>
      <w:r w:rsidRPr="00EB04ED">
        <w:rPr>
          <w:rFonts w:cstheme="minorHAnsi"/>
          <w:noProof/>
          <w:sz w:val="20"/>
          <w:szCs w:val="20"/>
        </w:rPr>
        <w:t>.1: Summary of iron oxide characterization methodologies for core samples………………</w:t>
      </w:r>
      <w:r w:rsidR="00C2288F" w:rsidRPr="00EB04ED">
        <w:rPr>
          <w:rFonts w:cstheme="minorHAnsi"/>
          <w:noProof/>
          <w:sz w:val="20"/>
          <w:szCs w:val="20"/>
        </w:rPr>
        <w:t>.</w:t>
      </w:r>
      <w:r w:rsidRPr="00EB04ED">
        <w:rPr>
          <w:rFonts w:cstheme="minorHAnsi"/>
          <w:noProof/>
          <w:sz w:val="20"/>
          <w:szCs w:val="20"/>
        </w:rPr>
        <w:t>.………..</w:t>
      </w:r>
      <w:r w:rsidR="00C02A42">
        <w:rPr>
          <w:rFonts w:cstheme="minorHAnsi"/>
          <w:noProof/>
          <w:sz w:val="20"/>
          <w:szCs w:val="20"/>
        </w:rPr>
        <w:t>110</w:t>
      </w:r>
    </w:p>
    <w:p w14:paraId="7F83829C" w14:textId="77777777" w:rsidR="00AA7A3D" w:rsidRPr="00EB04ED" w:rsidRDefault="00AA7A3D" w:rsidP="00AB32B8">
      <w:pPr>
        <w:spacing w:after="0" w:line="240" w:lineRule="auto"/>
        <w:rPr>
          <w:rFonts w:cstheme="minorHAnsi"/>
          <w:noProof/>
          <w:sz w:val="20"/>
          <w:szCs w:val="20"/>
        </w:rPr>
      </w:pPr>
    </w:p>
    <w:p w14:paraId="2E5E2A38" w14:textId="79AB7DFE" w:rsidR="007A01D6" w:rsidRPr="00EB04ED" w:rsidRDefault="00EB04ED" w:rsidP="00AB32B8">
      <w:pPr>
        <w:spacing w:after="0" w:line="240" w:lineRule="auto"/>
        <w:rPr>
          <w:rFonts w:cstheme="minorHAnsi"/>
          <w:noProof/>
          <w:sz w:val="20"/>
          <w:szCs w:val="20"/>
        </w:rPr>
      </w:pPr>
      <w:r>
        <w:rPr>
          <w:rFonts w:cstheme="minorHAnsi"/>
          <w:noProof/>
          <w:sz w:val="20"/>
          <w:szCs w:val="20"/>
        </w:rPr>
        <w:t>Table 4</w:t>
      </w:r>
      <w:r w:rsidR="007A01D6" w:rsidRPr="00EB04ED">
        <w:rPr>
          <w:rFonts w:cstheme="minorHAnsi"/>
          <w:noProof/>
          <w:sz w:val="20"/>
          <w:szCs w:val="20"/>
        </w:rPr>
        <w:t xml:space="preserve">.2: Average particle size, distribution, and surface area for the oxidative unit based </w:t>
      </w:r>
      <w:r w:rsidR="007A01D6" w:rsidRPr="00EB04ED">
        <w:rPr>
          <w:rFonts w:cstheme="minorHAnsi"/>
          <w:noProof/>
          <w:sz w:val="20"/>
          <w:szCs w:val="20"/>
        </w:rPr>
        <w:br/>
        <w:t>on age of accumulated iron oxyhydroxides………………………………………………………………………………………</w:t>
      </w:r>
      <w:r w:rsidR="00D274D2" w:rsidRPr="00EB04ED">
        <w:rPr>
          <w:rFonts w:cstheme="minorHAnsi"/>
          <w:noProof/>
          <w:sz w:val="20"/>
          <w:szCs w:val="20"/>
        </w:rPr>
        <w:t>.</w:t>
      </w:r>
      <w:r w:rsidR="0047178E" w:rsidRPr="00EB04ED">
        <w:rPr>
          <w:rFonts w:cstheme="minorHAnsi"/>
          <w:noProof/>
          <w:sz w:val="20"/>
          <w:szCs w:val="20"/>
        </w:rPr>
        <w:t>..</w:t>
      </w:r>
      <w:r w:rsidR="00C02A42">
        <w:rPr>
          <w:rFonts w:cstheme="minorHAnsi"/>
          <w:noProof/>
          <w:sz w:val="20"/>
          <w:szCs w:val="20"/>
        </w:rPr>
        <w:t>111</w:t>
      </w:r>
    </w:p>
    <w:p w14:paraId="1CDF42ED" w14:textId="77777777" w:rsidR="00AA7A3D" w:rsidRPr="00EB04ED" w:rsidRDefault="00AA7A3D" w:rsidP="00AB32B8">
      <w:pPr>
        <w:spacing w:after="0" w:line="240" w:lineRule="auto"/>
        <w:rPr>
          <w:rFonts w:cstheme="minorHAnsi"/>
          <w:noProof/>
          <w:sz w:val="20"/>
          <w:szCs w:val="20"/>
        </w:rPr>
      </w:pPr>
    </w:p>
    <w:p w14:paraId="49028462" w14:textId="541920D6" w:rsidR="007A01D6" w:rsidRPr="00EB04ED" w:rsidRDefault="00EB04ED" w:rsidP="00AB32B8">
      <w:pPr>
        <w:spacing w:after="0" w:line="240" w:lineRule="auto"/>
        <w:rPr>
          <w:rFonts w:cstheme="minorHAnsi"/>
          <w:noProof/>
          <w:sz w:val="20"/>
          <w:szCs w:val="20"/>
        </w:rPr>
      </w:pPr>
      <w:r>
        <w:rPr>
          <w:rFonts w:cstheme="minorHAnsi"/>
          <w:noProof/>
          <w:sz w:val="20"/>
          <w:szCs w:val="20"/>
        </w:rPr>
        <w:t>Table 4</w:t>
      </w:r>
      <w:r w:rsidR="007A01D6" w:rsidRPr="00EB04ED">
        <w:rPr>
          <w:rFonts w:cstheme="minorHAnsi"/>
          <w:noProof/>
          <w:sz w:val="20"/>
          <w:szCs w:val="20"/>
        </w:rPr>
        <w:t>.3: Average residual moisture, organic matter, and crysta</w:t>
      </w:r>
      <w:r w:rsidR="00AB32B8" w:rsidRPr="00EB04ED">
        <w:rPr>
          <w:rFonts w:cstheme="minorHAnsi"/>
          <w:noProof/>
          <w:sz w:val="20"/>
          <w:szCs w:val="20"/>
        </w:rPr>
        <w:t xml:space="preserve">llinity for the oxidative unit  </w:t>
      </w:r>
      <w:r w:rsidR="007A01D6" w:rsidRPr="00EB04ED">
        <w:rPr>
          <w:rFonts w:cstheme="minorHAnsi"/>
          <w:noProof/>
          <w:sz w:val="20"/>
          <w:szCs w:val="20"/>
        </w:rPr>
        <w:t>based on the age of the accumulated iron oxyhydroxides........................................</w:t>
      </w:r>
      <w:r w:rsidR="00D274D2" w:rsidRPr="00EB04ED">
        <w:rPr>
          <w:rFonts w:cstheme="minorHAnsi"/>
          <w:noProof/>
          <w:sz w:val="20"/>
          <w:szCs w:val="20"/>
        </w:rPr>
        <w:t>........................</w:t>
      </w:r>
      <w:r w:rsidR="00AB32B8" w:rsidRPr="00EB04ED">
        <w:rPr>
          <w:rFonts w:cstheme="minorHAnsi"/>
          <w:noProof/>
          <w:sz w:val="20"/>
          <w:szCs w:val="20"/>
        </w:rPr>
        <w:t>................</w:t>
      </w:r>
      <w:r w:rsidR="00D274D2" w:rsidRPr="00EB04ED">
        <w:rPr>
          <w:rFonts w:cstheme="minorHAnsi"/>
          <w:noProof/>
          <w:sz w:val="20"/>
          <w:szCs w:val="20"/>
        </w:rPr>
        <w:t>......</w:t>
      </w:r>
      <w:r w:rsidR="00C02A42">
        <w:rPr>
          <w:rFonts w:cstheme="minorHAnsi"/>
          <w:noProof/>
          <w:sz w:val="20"/>
          <w:szCs w:val="20"/>
        </w:rPr>
        <w:t>112</w:t>
      </w:r>
    </w:p>
    <w:p w14:paraId="46B515F3" w14:textId="77777777" w:rsidR="00AA7A3D" w:rsidRPr="00EB04ED" w:rsidRDefault="00AA7A3D" w:rsidP="00AB32B8">
      <w:pPr>
        <w:spacing w:after="0" w:line="240" w:lineRule="auto"/>
        <w:rPr>
          <w:rFonts w:cstheme="minorHAnsi"/>
          <w:noProof/>
          <w:sz w:val="20"/>
          <w:szCs w:val="20"/>
        </w:rPr>
      </w:pPr>
    </w:p>
    <w:p w14:paraId="5256474A" w14:textId="7FE01277" w:rsidR="007A01D6" w:rsidRPr="00EB04ED" w:rsidRDefault="00EB04ED" w:rsidP="00AB32B8">
      <w:pPr>
        <w:spacing w:after="0" w:line="240" w:lineRule="auto"/>
        <w:rPr>
          <w:rFonts w:cstheme="minorHAnsi"/>
          <w:noProof/>
          <w:sz w:val="20"/>
          <w:szCs w:val="20"/>
        </w:rPr>
      </w:pPr>
      <w:r>
        <w:rPr>
          <w:rFonts w:cstheme="minorHAnsi"/>
          <w:noProof/>
          <w:sz w:val="20"/>
          <w:szCs w:val="20"/>
        </w:rPr>
        <w:t>Table 4</w:t>
      </w:r>
      <w:r w:rsidR="007A01D6" w:rsidRPr="00EB04ED">
        <w:rPr>
          <w:rFonts w:cstheme="minorHAnsi"/>
          <w:noProof/>
          <w:sz w:val="20"/>
          <w:szCs w:val="20"/>
        </w:rPr>
        <w:t>.4: Comparison of physical properties of iron oxide sample</w:t>
      </w:r>
      <w:r w:rsidR="00AA7A3D" w:rsidRPr="00EB04ED">
        <w:rPr>
          <w:rFonts w:cstheme="minorHAnsi"/>
          <w:noProof/>
          <w:sz w:val="20"/>
          <w:szCs w:val="20"/>
        </w:rPr>
        <w:t>s collected from MRPTS………………..</w:t>
      </w:r>
      <w:r w:rsidR="00C02A42">
        <w:rPr>
          <w:rFonts w:cstheme="minorHAnsi"/>
          <w:noProof/>
          <w:sz w:val="20"/>
          <w:szCs w:val="20"/>
        </w:rPr>
        <w:t>115</w:t>
      </w:r>
    </w:p>
    <w:p w14:paraId="55E23D8B" w14:textId="77777777" w:rsidR="00AA7A3D" w:rsidRPr="00EB04ED" w:rsidRDefault="00AA7A3D" w:rsidP="00AB32B8">
      <w:pPr>
        <w:spacing w:after="0" w:line="240" w:lineRule="auto"/>
        <w:rPr>
          <w:rFonts w:cstheme="minorHAnsi"/>
          <w:noProof/>
          <w:sz w:val="20"/>
          <w:szCs w:val="20"/>
        </w:rPr>
      </w:pPr>
    </w:p>
    <w:p w14:paraId="4FA83267" w14:textId="26B605AE" w:rsidR="00AA7A3D" w:rsidRPr="00EB04ED" w:rsidRDefault="00EB04ED" w:rsidP="00AB32B8">
      <w:pPr>
        <w:spacing w:after="0" w:line="240" w:lineRule="auto"/>
        <w:rPr>
          <w:rFonts w:cstheme="minorHAnsi"/>
          <w:noProof/>
          <w:sz w:val="20"/>
          <w:szCs w:val="20"/>
        </w:rPr>
      </w:pPr>
      <w:r>
        <w:rPr>
          <w:rFonts w:cstheme="minorHAnsi"/>
          <w:noProof/>
          <w:sz w:val="20"/>
          <w:szCs w:val="20"/>
        </w:rPr>
        <w:t>Table 4</w:t>
      </w:r>
      <w:r w:rsidR="00BC0AC1" w:rsidRPr="00EB04ED">
        <w:rPr>
          <w:rFonts w:cstheme="minorHAnsi"/>
          <w:noProof/>
          <w:sz w:val="20"/>
          <w:szCs w:val="20"/>
        </w:rPr>
        <w:t>.5: Summary of rhodamine tracer dye characteris</w:t>
      </w:r>
      <w:r w:rsidR="00AA7A3D" w:rsidRPr="00EB04ED">
        <w:rPr>
          <w:rFonts w:cstheme="minorHAnsi"/>
          <w:noProof/>
          <w:sz w:val="20"/>
          <w:szCs w:val="20"/>
        </w:rPr>
        <w:t>tics………………………………………………………………</w:t>
      </w:r>
      <w:r w:rsidR="00C02A42">
        <w:rPr>
          <w:rFonts w:cstheme="minorHAnsi"/>
          <w:noProof/>
          <w:sz w:val="20"/>
          <w:szCs w:val="20"/>
        </w:rPr>
        <w:t>116</w:t>
      </w:r>
    </w:p>
    <w:p w14:paraId="0A4CC342" w14:textId="19178176" w:rsidR="00BC0AC1" w:rsidRPr="00EB04ED" w:rsidRDefault="00BC0AC1" w:rsidP="00AB32B8">
      <w:pPr>
        <w:spacing w:after="0" w:line="240" w:lineRule="auto"/>
        <w:rPr>
          <w:rFonts w:cstheme="minorHAnsi"/>
          <w:noProof/>
          <w:sz w:val="20"/>
          <w:szCs w:val="20"/>
        </w:rPr>
      </w:pPr>
      <w:r w:rsidRPr="00EB04ED">
        <w:rPr>
          <w:rFonts w:cstheme="minorHAnsi"/>
          <w:noProof/>
          <w:sz w:val="20"/>
          <w:szCs w:val="20"/>
        </w:rPr>
        <w:br/>
      </w:r>
      <w:r w:rsidR="00EB04ED">
        <w:rPr>
          <w:rFonts w:cstheme="minorHAnsi"/>
          <w:noProof/>
          <w:sz w:val="20"/>
          <w:szCs w:val="20"/>
        </w:rPr>
        <w:t>Table 4</w:t>
      </w:r>
      <w:r w:rsidR="00AA7A3D" w:rsidRPr="00EB04ED">
        <w:rPr>
          <w:rFonts w:cstheme="minorHAnsi"/>
          <w:noProof/>
          <w:sz w:val="20"/>
          <w:szCs w:val="20"/>
        </w:rPr>
        <w:t>.6</w:t>
      </w:r>
      <w:r w:rsidRPr="00EB04ED">
        <w:rPr>
          <w:rFonts w:cstheme="minorHAnsi"/>
          <w:noProof/>
          <w:sz w:val="20"/>
          <w:szCs w:val="20"/>
        </w:rPr>
        <w:t>: Comparison of performance summary for the tracer study of the oxidative unit………………</w:t>
      </w:r>
      <w:r w:rsidR="00AA7A3D" w:rsidRPr="00EB04ED">
        <w:rPr>
          <w:rFonts w:cstheme="minorHAnsi"/>
          <w:noProof/>
          <w:sz w:val="20"/>
          <w:szCs w:val="20"/>
        </w:rPr>
        <w:t>.</w:t>
      </w:r>
      <w:r w:rsidRPr="00EB04ED">
        <w:rPr>
          <w:rFonts w:cstheme="minorHAnsi"/>
          <w:noProof/>
          <w:sz w:val="20"/>
          <w:szCs w:val="20"/>
        </w:rPr>
        <w:t>.</w:t>
      </w:r>
      <w:r w:rsidR="00C02A42">
        <w:rPr>
          <w:rFonts w:cstheme="minorHAnsi"/>
          <w:noProof/>
          <w:sz w:val="20"/>
          <w:szCs w:val="20"/>
        </w:rPr>
        <w:t>122</w:t>
      </w:r>
    </w:p>
    <w:p w14:paraId="1D055517" w14:textId="77777777" w:rsidR="00AA7A3D" w:rsidRPr="00EB04ED" w:rsidRDefault="00AA7A3D" w:rsidP="00AB32B8">
      <w:pPr>
        <w:spacing w:after="0" w:line="240" w:lineRule="auto"/>
        <w:rPr>
          <w:rFonts w:cstheme="minorHAnsi"/>
          <w:noProof/>
          <w:sz w:val="20"/>
          <w:szCs w:val="20"/>
        </w:rPr>
      </w:pPr>
    </w:p>
    <w:p w14:paraId="0385250D" w14:textId="7EE0D365" w:rsidR="00AA7A3D" w:rsidRPr="00EB04ED" w:rsidRDefault="00AA7A3D" w:rsidP="00AB32B8">
      <w:pPr>
        <w:spacing w:after="0" w:line="240" w:lineRule="auto"/>
        <w:rPr>
          <w:rFonts w:cstheme="minorHAnsi"/>
          <w:noProof/>
          <w:sz w:val="20"/>
          <w:szCs w:val="20"/>
        </w:rPr>
      </w:pPr>
      <w:r w:rsidRPr="00EB04ED">
        <w:rPr>
          <w:rFonts w:cstheme="minorHAnsi"/>
          <w:noProof/>
          <w:sz w:val="20"/>
          <w:szCs w:val="20"/>
        </w:rPr>
        <w:t>Tabl</w:t>
      </w:r>
      <w:r w:rsidR="00EB04ED">
        <w:rPr>
          <w:rFonts w:cstheme="minorHAnsi"/>
          <w:noProof/>
          <w:sz w:val="20"/>
          <w:szCs w:val="20"/>
        </w:rPr>
        <w:t>e 4</w:t>
      </w:r>
      <w:r w:rsidRPr="00EB04ED">
        <w:rPr>
          <w:rFonts w:cstheme="minorHAnsi"/>
          <w:noProof/>
          <w:sz w:val="20"/>
          <w:szCs w:val="20"/>
        </w:rPr>
        <w:t>.7: Daily Summary of Storm Activity for the Miami, OK Mesonet Station………………………….……..</w:t>
      </w:r>
      <w:r w:rsidR="00C02A42">
        <w:rPr>
          <w:rFonts w:cstheme="minorHAnsi"/>
          <w:noProof/>
          <w:sz w:val="20"/>
          <w:szCs w:val="20"/>
        </w:rPr>
        <w:t>122</w:t>
      </w:r>
    </w:p>
    <w:p w14:paraId="27359B4A" w14:textId="77777777" w:rsidR="00AA7A3D" w:rsidRPr="00EB04ED" w:rsidRDefault="00AA7A3D" w:rsidP="007771A0">
      <w:pPr>
        <w:spacing w:after="0" w:line="240" w:lineRule="auto"/>
        <w:rPr>
          <w:rFonts w:cstheme="minorHAnsi"/>
          <w:noProof/>
          <w:sz w:val="20"/>
          <w:szCs w:val="20"/>
        </w:rPr>
      </w:pPr>
    </w:p>
    <w:p w14:paraId="5C123EE3" w14:textId="77777777" w:rsidR="00BC0AC1" w:rsidRPr="00EB04ED" w:rsidRDefault="00BC0AC1" w:rsidP="00005FC3">
      <w:pPr>
        <w:rPr>
          <w:rFonts w:cstheme="minorHAnsi"/>
          <w:noProof/>
          <w:sz w:val="20"/>
          <w:szCs w:val="20"/>
        </w:rPr>
      </w:pPr>
    </w:p>
    <w:p w14:paraId="0A0A061D" w14:textId="77777777" w:rsidR="00005FC3" w:rsidRPr="00EB04ED" w:rsidRDefault="00005FC3" w:rsidP="00B74494">
      <w:pPr>
        <w:rPr>
          <w:rFonts w:cstheme="minorHAnsi"/>
          <w:noProof/>
          <w:sz w:val="20"/>
          <w:szCs w:val="20"/>
        </w:rPr>
      </w:pPr>
    </w:p>
    <w:p w14:paraId="204D1A2E" w14:textId="77777777" w:rsidR="007B109C" w:rsidRPr="00EB04ED" w:rsidRDefault="007B109C" w:rsidP="00F72370">
      <w:pPr>
        <w:spacing w:after="0" w:line="240" w:lineRule="auto"/>
        <w:rPr>
          <w:rFonts w:cstheme="minorHAnsi"/>
          <w:sz w:val="20"/>
          <w:szCs w:val="20"/>
        </w:rPr>
      </w:pPr>
    </w:p>
    <w:p w14:paraId="48F223BD" w14:textId="77777777" w:rsidR="007B109C" w:rsidRPr="00EB04ED" w:rsidRDefault="007B109C" w:rsidP="00F72370">
      <w:pPr>
        <w:spacing w:after="0" w:line="240" w:lineRule="auto"/>
        <w:rPr>
          <w:rFonts w:cstheme="minorHAnsi"/>
          <w:sz w:val="20"/>
          <w:szCs w:val="20"/>
        </w:rPr>
      </w:pPr>
    </w:p>
    <w:p w14:paraId="0C51D903" w14:textId="77777777" w:rsidR="007B109C" w:rsidRPr="00EB04ED" w:rsidRDefault="007B109C" w:rsidP="00F72370">
      <w:pPr>
        <w:spacing w:after="0" w:line="240" w:lineRule="auto"/>
        <w:rPr>
          <w:rFonts w:cstheme="minorHAnsi"/>
          <w:sz w:val="20"/>
          <w:szCs w:val="20"/>
        </w:rPr>
      </w:pPr>
    </w:p>
    <w:p w14:paraId="3AFF0947" w14:textId="77777777" w:rsidR="007B109C" w:rsidRPr="00EB04ED" w:rsidRDefault="007B109C" w:rsidP="00F72370">
      <w:pPr>
        <w:spacing w:after="0" w:line="240" w:lineRule="auto"/>
        <w:rPr>
          <w:rFonts w:cstheme="minorHAnsi"/>
          <w:sz w:val="20"/>
          <w:szCs w:val="20"/>
        </w:rPr>
      </w:pPr>
    </w:p>
    <w:p w14:paraId="6513C3AE" w14:textId="77777777" w:rsidR="007B109C" w:rsidRPr="00EB04ED" w:rsidRDefault="007B109C" w:rsidP="00F72370">
      <w:pPr>
        <w:spacing w:after="0" w:line="240" w:lineRule="auto"/>
        <w:rPr>
          <w:rFonts w:cstheme="minorHAnsi"/>
          <w:sz w:val="20"/>
          <w:szCs w:val="20"/>
        </w:rPr>
      </w:pPr>
    </w:p>
    <w:p w14:paraId="4246D0B7" w14:textId="77777777" w:rsidR="007B109C" w:rsidRPr="00EB04ED" w:rsidRDefault="007B109C" w:rsidP="00F72370">
      <w:pPr>
        <w:spacing w:after="0" w:line="240" w:lineRule="auto"/>
        <w:rPr>
          <w:rFonts w:cstheme="minorHAnsi"/>
          <w:sz w:val="20"/>
          <w:szCs w:val="20"/>
        </w:rPr>
      </w:pPr>
    </w:p>
    <w:p w14:paraId="31C1C28A" w14:textId="77777777" w:rsidR="007B109C" w:rsidRPr="00EB04ED" w:rsidRDefault="007B109C" w:rsidP="00F72370">
      <w:pPr>
        <w:spacing w:after="0" w:line="240" w:lineRule="auto"/>
        <w:rPr>
          <w:rFonts w:cstheme="minorHAnsi"/>
          <w:sz w:val="20"/>
          <w:szCs w:val="20"/>
        </w:rPr>
      </w:pPr>
    </w:p>
    <w:p w14:paraId="7150FB9A" w14:textId="77777777" w:rsidR="007B109C" w:rsidRPr="00EB04ED" w:rsidRDefault="007B109C" w:rsidP="00F72370">
      <w:pPr>
        <w:spacing w:after="0" w:line="240" w:lineRule="auto"/>
        <w:rPr>
          <w:rFonts w:cstheme="minorHAnsi"/>
          <w:sz w:val="20"/>
          <w:szCs w:val="20"/>
        </w:rPr>
      </w:pPr>
    </w:p>
    <w:p w14:paraId="4AD12A1F" w14:textId="77777777" w:rsidR="007B109C" w:rsidRPr="00EB04ED" w:rsidRDefault="007B109C" w:rsidP="00F72370">
      <w:pPr>
        <w:spacing w:after="0" w:line="240" w:lineRule="auto"/>
        <w:rPr>
          <w:rFonts w:cstheme="minorHAnsi"/>
          <w:sz w:val="20"/>
          <w:szCs w:val="20"/>
        </w:rPr>
      </w:pPr>
    </w:p>
    <w:p w14:paraId="5549C5BF" w14:textId="77777777" w:rsidR="007B109C" w:rsidRPr="00EB04ED" w:rsidRDefault="007B109C" w:rsidP="00F72370">
      <w:pPr>
        <w:spacing w:after="0" w:line="240" w:lineRule="auto"/>
        <w:rPr>
          <w:rFonts w:cstheme="minorHAnsi"/>
          <w:sz w:val="20"/>
          <w:szCs w:val="20"/>
        </w:rPr>
      </w:pPr>
    </w:p>
    <w:p w14:paraId="0A340C1A" w14:textId="77777777" w:rsidR="007B109C" w:rsidRPr="00EB04ED" w:rsidRDefault="007B109C" w:rsidP="00F72370">
      <w:pPr>
        <w:spacing w:after="0" w:line="240" w:lineRule="auto"/>
        <w:rPr>
          <w:rFonts w:cstheme="minorHAnsi"/>
          <w:sz w:val="20"/>
          <w:szCs w:val="20"/>
        </w:rPr>
      </w:pPr>
    </w:p>
    <w:p w14:paraId="09C10183" w14:textId="77777777" w:rsidR="007B109C" w:rsidRPr="00EB04ED" w:rsidRDefault="007B109C" w:rsidP="00F72370">
      <w:pPr>
        <w:spacing w:after="0" w:line="240" w:lineRule="auto"/>
        <w:rPr>
          <w:rFonts w:cstheme="minorHAnsi"/>
          <w:sz w:val="20"/>
          <w:szCs w:val="20"/>
        </w:rPr>
      </w:pPr>
    </w:p>
    <w:p w14:paraId="4C63BDAE" w14:textId="77777777" w:rsidR="007B109C" w:rsidRPr="00EB04ED" w:rsidRDefault="007B109C" w:rsidP="00F72370">
      <w:pPr>
        <w:spacing w:after="0" w:line="240" w:lineRule="auto"/>
        <w:rPr>
          <w:rFonts w:cstheme="minorHAnsi"/>
          <w:sz w:val="20"/>
          <w:szCs w:val="20"/>
        </w:rPr>
      </w:pPr>
    </w:p>
    <w:p w14:paraId="7F84E134" w14:textId="77777777" w:rsidR="00AB32B8" w:rsidRDefault="00AB32B8">
      <w:pPr>
        <w:rPr>
          <w:rFonts w:asciiTheme="majorHAnsi" w:eastAsiaTheme="majorEastAsia" w:hAnsiTheme="majorHAnsi" w:cstheme="majorBidi"/>
          <w:b/>
          <w:sz w:val="24"/>
          <w:szCs w:val="32"/>
        </w:rPr>
      </w:pPr>
      <w:r>
        <w:br w:type="page"/>
      </w:r>
    </w:p>
    <w:p w14:paraId="293E8D4D" w14:textId="49A95093" w:rsidR="007B109C" w:rsidRPr="002653B6" w:rsidRDefault="007B109C" w:rsidP="005F74E7">
      <w:pPr>
        <w:pStyle w:val="Heading1"/>
        <w:jc w:val="both"/>
      </w:pPr>
      <w:r>
        <w:lastRenderedPageBreak/>
        <w:t>List of Figures</w:t>
      </w:r>
    </w:p>
    <w:p w14:paraId="76966127" w14:textId="2A7556FA" w:rsidR="0010766D" w:rsidRDefault="0010766D" w:rsidP="005F74E7">
      <w:pPr>
        <w:spacing w:after="0" w:line="240" w:lineRule="auto"/>
        <w:jc w:val="both"/>
      </w:pPr>
    </w:p>
    <w:p w14:paraId="64BCE021" w14:textId="13EC7C77" w:rsidR="002653B6" w:rsidRPr="00003BB7" w:rsidRDefault="0010766D" w:rsidP="005F74E7">
      <w:pPr>
        <w:pStyle w:val="Heading3"/>
        <w:spacing w:before="0" w:line="240" w:lineRule="auto"/>
        <w:jc w:val="both"/>
        <w:rPr>
          <w:rFonts w:asciiTheme="minorHAnsi" w:hAnsiTheme="minorHAnsi" w:cstheme="minorHAnsi"/>
          <w:szCs w:val="20"/>
        </w:rPr>
      </w:pPr>
      <w:r w:rsidRPr="00003BB7">
        <w:rPr>
          <w:rFonts w:asciiTheme="minorHAnsi" w:hAnsiTheme="minorHAnsi" w:cstheme="minorHAnsi"/>
          <w:szCs w:val="20"/>
        </w:rPr>
        <w:t>Figure 1.1:</w:t>
      </w:r>
      <w:r w:rsidRPr="00003BB7">
        <w:rPr>
          <w:rFonts w:asciiTheme="minorHAnsi" w:hAnsiTheme="minorHAnsi" w:cstheme="minorHAnsi"/>
          <w:noProof/>
          <w:szCs w:val="20"/>
        </w:rPr>
        <w:t xml:space="preserve"> Mayer Ranch Passive Treatment System (MRPTS) Cell Configuration</w:t>
      </w:r>
      <w:r w:rsidRPr="00003BB7">
        <w:rPr>
          <w:rFonts w:asciiTheme="minorHAnsi" w:hAnsiTheme="minorHAnsi" w:cstheme="minorHAnsi"/>
          <w:szCs w:val="20"/>
        </w:rPr>
        <w:t>…………</w:t>
      </w:r>
      <w:r w:rsidR="004E3BDC" w:rsidRPr="00003BB7">
        <w:rPr>
          <w:rFonts w:asciiTheme="minorHAnsi" w:hAnsiTheme="minorHAnsi" w:cstheme="minorHAnsi"/>
          <w:szCs w:val="20"/>
        </w:rPr>
        <w:t>…….</w:t>
      </w:r>
      <w:r w:rsidRPr="00003BB7">
        <w:rPr>
          <w:rFonts w:asciiTheme="minorHAnsi" w:hAnsiTheme="minorHAnsi" w:cstheme="minorHAnsi"/>
          <w:szCs w:val="20"/>
        </w:rPr>
        <w:t>……………………</w:t>
      </w:r>
      <w:r w:rsidR="005E61AF" w:rsidRPr="00003BB7">
        <w:rPr>
          <w:rFonts w:asciiTheme="minorHAnsi" w:hAnsiTheme="minorHAnsi" w:cstheme="minorHAnsi"/>
          <w:szCs w:val="20"/>
        </w:rPr>
        <w:t>11</w:t>
      </w:r>
    </w:p>
    <w:p w14:paraId="6442D94E" w14:textId="77777777" w:rsidR="00C83CB2" w:rsidRPr="00003BB7" w:rsidRDefault="00C83CB2" w:rsidP="005F74E7">
      <w:pPr>
        <w:spacing w:after="0" w:line="240" w:lineRule="auto"/>
        <w:jc w:val="both"/>
        <w:rPr>
          <w:rFonts w:cstheme="minorHAnsi"/>
          <w:sz w:val="20"/>
          <w:szCs w:val="20"/>
        </w:rPr>
      </w:pPr>
    </w:p>
    <w:p w14:paraId="5FBF8715" w14:textId="7B55A83B" w:rsidR="007B109C" w:rsidRPr="00003BB7" w:rsidRDefault="0010766D" w:rsidP="005F74E7">
      <w:pPr>
        <w:pStyle w:val="Heading3"/>
        <w:spacing w:before="0" w:line="240" w:lineRule="auto"/>
        <w:jc w:val="both"/>
        <w:rPr>
          <w:rFonts w:asciiTheme="minorHAnsi" w:hAnsiTheme="minorHAnsi" w:cstheme="minorHAnsi"/>
          <w:szCs w:val="20"/>
        </w:rPr>
      </w:pPr>
      <w:r w:rsidRPr="00003BB7">
        <w:rPr>
          <w:rFonts w:asciiTheme="minorHAnsi" w:hAnsiTheme="minorHAnsi" w:cstheme="minorHAnsi"/>
          <w:szCs w:val="20"/>
        </w:rPr>
        <w:t>Figure 1.2: Total and Dissolved iron removal in the MRPTS with respect to treatment cell…</w:t>
      </w:r>
      <w:r w:rsidR="004E3BDC" w:rsidRPr="00003BB7">
        <w:rPr>
          <w:rFonts w:asciiTheme="minorHAnsi" w:hAnsiTheme="minorHAnsi" w:cstheme="minorHAnsi"/>
          <w:szCs w:val="20"/>
        </w:rPr>
        <w:t>.........</w:t>
      </w:r>
      <w:r w:rsidR="005F74E7" w:rsidRPr="00003BB7">
        <w:rPr>
          <w:rFonts w:asciiTheme="minorHAnsi" w:hAnsiTheme="minorHAnsi" w:cstheme="minorHAnsi"/>
          <w:szCs w:val="20"/>
        </w:rPr>
        <w:t>...</w:t>
      </w:r>
      <w:r w:rsidR="004E3BDC" w:rsidRPr="00003BB7">
        <w:rPr>
          <w:rFonts w:asciiTheme="minorHAnsi" w:hAnsiTheme="minorHAnsi" w:cstheme="minorHAnsi"/>
          <w:szCs w:val="20"/>
        </w:rPr>
        <w:t>...</w:t>
      </w:r>
      <w:r w:rsidRPr="00003BB7">
        <w:rPr>
          <w:rFonts w:asciiTheme="minorHAnsi" w:hAnsiTheme="minorHAnsi" w:cstheme="minorHAnsi"/>
          <w:szCs w:val="20"/>
        </w:rPr>
        <w:t>.......1</w:t>
      </w:r>
      <w:r w:rsidR="005E61AF" w:rsidRPr="00003BB7">
        <w:rPr>
          <w:rFonts w:asciiTheme="minorHAnsi" w:hAnsiTheme="minorHAnsi" w:cstheme="minorHAnsi"/>
          <w:szCs w:val="20"/>
        </w:rPr>
        <w:t>6</w:t>
      </w:r>
    </w:p>
    <w:p w14:paraId="10208186" w14:textId="77777777" w:rsidR="00C83CB2" w:rsidRPr="00003BB7" w:rsidRDefault="00C83CB2" w:rsidP="005F74E7">
      <w:pPr>
        <w:spacing w:after="0" w:line="240" w:lineRule="auto"/>
        <w:jc w:val="both"/>
        <w:rPr>
          <w:rFonts w:cstheme="minorHAnsi"/>
          <w:sz w:val="20"/>
          <w:szCs w:val="20"/>
        </w:rPr>
      </w:pPr>
    </w:p>
    <w:p w14:paraId="4B09B97D" w14:textId="00BC8BDC" w:rsidR="004E3BDC" w:rsidRPr="00003BB7" w:rsidRDefault="004E3BDC" w:rsidP="005F74E7">
      <w:pPr>
        <w:spacing w:after="0" w:line="240" w:lineRule="auto"/>
        <w:jc w:val="both"/>
        <w:rPr>
          <w:rFonts w:cstheme="minorHAnsi"/>
          <w:sz w:val="20"/>
          <w:szCs w:val="20"/>
        </w:rPr>
      </w:pPr>
      <w:r w:rsidRPr="00003BB7">
        <w:rPr>
          <w:rFonts w:cstheme="minorHAnsi"/>
          <w:sz w:val="20"/>
          <w:szCs w:val="20"/>
        </w:rPr>
        <w:t>Figure 2.1: Cell 1 progressive iron profile sample locations with corresponding sample types collected at each location…………………………………………………………………………………………………</w:t>
      </w:r>
      <w:r w:rsidR="00AB32B8" w:rsidRPr="00003BB7">
        <w:rPr>
          <w:rFonts w:cstheme="minorHAnsi"/>
          <w:sz w:val="20"/>
          <w:szCs w:val="20"/>
        </w:rPr>
        <w:t>………………</w:t>
      </w:r>
      <w:proofErr w:type="gramStart"/>
      <w:r w:rsidR="00AB32B8" w:rsidRPr="00003BB7">
        <w:rPr>
          <w:rFonts w:cstheme="minorHAnsi"/>
          <w:sz w:val="20"/>
          <w:szCs w:val="20"/>
        </w:rPr>
        <w:t>…..</w:t>
      </w:r>
      <w:proofErr w:type="gramEnd"/>
      <w:r w:rsidRPr="00003BB7">
        <w:rPr>
          <w:rFonts w:cstheme="minorHAnsi"/>
          <w:sz w:val="20"/>
          <w:szCs w:val="20"/>
        </w:rPr>
        <w:t>………………</w:t>
      </w:r>
      <w:r w:rsidR="000A2DA4" w:rsidRPr="00003BB7">
        <w:rPr>
          <w:rFonts w:cstheme="minorHAnsi"/>
          <w:sz w:val="20"/>
          <w:szCs w:val="20"/>
        </w:rPr>
        <w:t>….</w:t>
      </w:r>
      <w:r w:rsidR="000B088B" w:rsidRPr="00003BB7">
        <w:rPr>
          <w:rFonts w:cstheme="minorHAnsi"/>
          <w:sz w:val="20"/>
          <w:szCs w:val="20"/>
        </w:rPr>
        <w:t>27</w:t>
      </w:r>
    </w:p>
    <w:p w14:paraId="5BC896EB" w14:textId="77777777" w:rsidR="00C83CB2" w:rsidRPr="00003BB7" w:rsidRDefault="00C83CB2" w:rsidP="005F74E7">
      <w:pPr>
        <w:spacing w:after="0" w:line="240" w:lineRule="auto"/>
        <w:jc w:val="both"/>
        <w:rPr>
          <w:rFonts w:cstheme="minorHAnsi"/>
          <w:sz w:val="20"/>
          <w:szCs w:val="20"/>
        </w:rPr>
      </w:pPr>
    </w:p>
    <w:p w14:paraId="79ECB524" w14:textId="7184ABDF" w:rsidR="00C83CB2" w:rsidRPr="00003BB7" w:rsidRDefault="004E3BDC" w:rsidP="005F74E7">
      <w:pPr>
        <w:spacing w:after="0" w:line="240" w:lineRule="auto"/>
        <w:jc w:val="both"/>
        <w:rPr>
          <w:rFonts w:eastAsiaTheme="majorEastAsia" w:cstheme="minorHAnsi"/>
          <w:sz w:val="20"/>
          <w:szCs w:val="20"/>
        </w:rPr>
      </w:pPr>
      <w:r w:rsidRPr="00003BB7">
        <w:rPr>
          <w:rFonts w:cstheme="minorHAnsi"/>
          <w:sz w:val="20"/>
          <w:szCs w:val="20"/>
        </w:rPr>
        <w:t xml:space="preserve">Figure 2.2: Average progressive iron removal profile for Cell 1 of the Mayer Ranch Passive </w:t>
      </w:r>
      <w:r w:rsidR="00FD73F6" w:rsidRPr="00003BB7">
        <w:rPr>
          <w:rFonts w:cstheme="minorHAnsi"/>
          <w:sz w:val="20"/>
          <w:szCs w:val="20"/>
        </w:rPr>
        <w:br/>
      </w:r>
      <w:r w:rsidRPr="00003BB7">
        <w:rPr>
          <w:rFonts w:cstheme="minorHAnsi"/>
          <w:sz w:val="20"/>
          <w:szCs w:val="20"/>
        </w:rPr>
        <w:t>Treatment System based on sample location for 2009-2012…</w:t>
      </w:r>
      <w:r w:rsidR="00FD73F6" w:rsidRPr="00003BB7">
        <w:rPr>
          <w:rFonts w:cstheme="minorHAnsi"/>
          <w:sz w:val="20"/>
          <w:szCs w:val="20"/>
        </w:rPr>
        <w:t>…………………………………</w:t>
      </w:r>
      <w:r w:rsidR="00AB32B8" w:rsidRPr="00003BB7">
        <w:rPr>
          <w:rFonts w:cstheme="minorHAnsi"/>
          <w:sz w:val="20"/>
          <w:szCs w:val="20"/>
        </w:rPr>
        <w:t>.</w:t>
      </w:r>
      <w:r w:rsidR="00FD73F6" w:rsidRPr="00003BB7">
        <w:rPr>
          <w:rFonts w:cstheme="minorHAnsi"/>
          <w:sz w:val="20"/>
          <w:szCs w:val="20"/>
        </w:rPr>
        <w:t>……………………</w:t>
      </w:r>
      <w:r w:rsidR="005F74E7" w:rsidRPr="00003BB7">
        <w:rPr>
          <w:rFonts w:cstheme="minorHAnsi"/>
          <w:sz w:val="20"/>
          <w:szCs w:val="20"/>
        </w:rPr>
        <w:t>.</w:t>
      </w:r>
      <w:r w:rsidR="00FD73F6" w:rsidRPr="00003BB7">
        <w:rPr>
          <w:rFonts w:cstheme="minorHAnsi"/>
          <w:sz w:val="20"/>
          <w:szCs w:val="20"/>
        </w:rPr>
        <w:t>….….</w:t>
      </w:r>
      <w:r w:rsidR="000B088B" w:rsidRPr="00003BB7">
        <w:rPr>
          <w:rFonts w:cstheme="minorHAnsi"/>
          <w:sz w:val="20"/>
          <w:szCs w:val="20"/>
        </w:rPr>
        <w:t>33</w:t>
      </w:r>
    </w:p>
    <w:p w14:paraId="6428519E" w14:textId="178E66CF" w:rsidR="00FD73F6" w:rsidRPr="00003BB7" w:rsidRDefault="00FD73F6" w:rsidP="005F74E7">
      <w:pPr>
        <w:spacing w:after="0" w:line="240" w:lineRule="auto"/>
        <w:jc w:val="both"/>
        <w:rPr>
          <w:rFonts w:cstheme="minorHAnsi"/>
          <w:sz w:val="20"/>
          <w:szCs w:val="20"/>
        </w:rPr>
      </w:pPr>
      <w:r w:rsidRPr="00003BB7">
        <w:rPr>
          <w:rFonts w:cstheme="minorHAnsi"/>
          <w:sz w:val="20"/>
          <w:szCs w:val="20"/>
        </w:rPr>
        <w:br/>
      </w:r>
      <w:r w:rsidR="005F74E7" w:rsidRPr="00003BB7">
        <w:rPr>
          <w:rFonts w:cstheme="minorHAnsi"/>
          <w:sz w:val="20"/>
          <w:szCs w:val="20"/>
        </w:rPr>
        <w:t xml:space="preserve">Figure 2.3: </w:t>
      </w:r>
      <w:r w:rsidR="004E3BDC" w:rsidRPr="00003BB7">
        <w:rPr>
          <w:rFonts w:cstheme="minorHAnsi"/>
          <w:sz w:val="20"/>
          <w:szCs w:val="20"/>
        </w:rPr>
        <w:t>retention time for the unit process (Cell 1 = 7 days) scale</w:t>
      </w:r>
      <w:r w:rsidR="005F74E7" w:rsidRPr="00003BB7">
        <w:rPr>
          <w:rFonts w:cstheme="minorHAnsi"/>
          <w:sz w:val="20"/>
          <w:szCs w:val="20"/>
        </w:rPr>
        <w:t xml:space="preserve">d to sample collection position </w:t>
      </w:r>
      <w:r w:rsidR="004E3BDC" w:rsidRPr="00003BB7">
        <w:rPr>
          <w:rFonts w:cstheme="minorHAnsi"/>
          <w:sz w:val="20"/>
          <w:szCs w:val="20"/>
        </w:rPr>
        <w:t>(distance from AMD source (meters). ………………</w:t>
      </w:r>
      <w:r w:rsidR="00C83CB2" w:rsidRPr="00003BB7">
        <w:rPr>
          <w:rFonts w:cstheme="minorHAnsi"/>
          <w:sz w:val="20"/>
          <w:szCs w:val="20"/>
        </w:rPr>
        <w:t>…</w:t>
      </w:r>
      <w:r w:rsidR="005F74E7" w:rsidRPr="00003BB7">
        <w:rPr>
          <w:rFonts w:cstheme="minorHAnsi"/>
          <w:sz w:val="20"/>
          <w:szCs w:val="20"/>
        </w:rPr>
        <w:t>………………</w:t>
      </w:r>
      <w:r w:rsidR="00C83CB2" w:rsidRPr="00003BB7">
        <w:rPr>
          <w:rFonts w:cstheme="minorHAnsi"/>
          <w:sz w:val="20"/>
          <w:szCs w:val="20"/>
        </w:rPr>
        <w:t>………………………………………………….</w:t>
      </w:r>
      <w:r w:rsidRPr="00003BB7">
        <w:rPr>
          <w:rFonts w:cstheme="minorHAnsi"/>
          <w:sz w:val="20"/>
          <w:szCs w:val="20"/>
        </w:rPr>
        <w:t>…</w:t>
      </w:r>
      <w:r w:rsidR="005F74E7" w:rsidRPr="00003BB7">
        <w:rPr>
          <w:rFonts w:cstheme="minorHAnsi"/>
          <w:sz w:val="20"/>
          <w:szCs w:val="20"/>
        </w:rPr>
        <w:t>.</w:t>
      </w:r>
      <w:r w:rsidRPr="00003BB7">
        <w:rPr>
          <w:rFonts w:cstheme="minorHAnsi"/>
          <w:sz w:val="20"/>
          <w:szCs w:val="20"/>
        </w:rPr>
        <w:t>……</w:t>
      </w:r>
      <w:r w:rsidR="000B088B" w:rsidRPr="00003BB7">
        <w:rPr>
          <w:rFonts w:cstheme="minorHAnsi"/>
          <w:sz w:val="20"/>
          <w:szCs w:val="20"/>
        </w:rPr>
        <w:t>…</w:t>
      </w:r>
      <w:r w:rsidR="000A2DA4" w:rsidRPr="00003BB7">
        <w:rPr>
          <w:rFonts w:cstheme="minorHAnsi"/>
          <w:sz w:val="20"/>
          <w:szCs w:val="20"/>
        </w:rPr>
        <w:t>….</w:t>
      </w:r>
      <w:r w:rsidR="000B088B" w:rsidRPr="00003BB7">
        <w:rPr>
          <w:rFonts w:cstheme="minorHAnsi"/>
          <w:sz w:val="20"/>
          <w:szCs w:val="20"/>
        </w:rPr>
        <w:t>34</w:t>
      </w:r>
    </w:p>
    <w:p w14:paraId="2E38157B" w14:textId="77777777" w:rsidR="00C83CB2" w:rsidRPr="00003BB7" w:rsidRDefault="00C83CB2" w:rsidP="005F74E7">
      <w:pPr>
        <w:spacing w:after="0" w:line="240" w:lineRule="auto"/>
        <w:jc w:val="both"/>
        <w:rPr>
          <w:rFonts w:cstheme="minorHAnsi"/>
          <w:sz w:val="20"/>
          <w:szCs w:val="20"/>
        </w:rPr>
      </w:pPr>
    </w:p>
    <w:p w14:paraId="7508C0FE" w14:textId="1733545F" w:rsidR="00FD73F6" w:rsidRPr="00003BB7" w:rsidRDefault="004E3BDC" w:rsidP="005F74E7">
      <w:pPr>
        <w:spacing w:after="0" w:line="240" w:lineRule="auto"/>
        <w:jc w:val="both"/>
        <w:rPr>
          <w:rFonts w:cstheme="minorHAnsi"/>
          <w:sz w:val="20"/>
          <w:szCs w:val="20"/>
        </w:rPr>
      </w:pPr>
      <w:r w:rsidRPr="00003BB7">
        <w:rPr>
          <w:rFonts w:cstheme="minorHAnsi"/>
          <w:sz w:val="20"/>
          <w:szCs w:val="20"/>
        </w:rPr>
        <w:t>Figure 2.4: Iron removal rates for residual total and dissolved iron species within sections 2 and 3 of Cell 1 of the MRTPS preliminary iron oxidation cell…</w:t>
      </w:r>
      <w:r w:rsidR="00FD73F6" w:rsidRPr="00003BB7">
        <w:rPr>
          <w:rFonts w:cstheme="minorHAnsi"/>
          <w:sz w:val="20"/>
          <w:szCs w:val="20"/>
        </w:rPr>
        <w:t>………………</w:t>
      </w:r>
      <w:r w:rsidR="005F74E7" w:rsidRPr="00003BB7">
        <w:rPr>
          <w:rFonts w:cstheme="minorHAnsi"/>
          <w:sz w:val="20"/>
          <w:szCs w:val="20"/>
        </w:rPr>
        <w:t>…………………….</w:t>
      </w:r>
      <w:r w:rsidR="00FD73F6" w:rsidRPr="00003BB7">
        <w:rPr>
          <w:rFonts w:cstheme="minorHAnsi"/>
          <w:sz w:val="20"/>
          <w:szCs w:val="20"/>
        </w:rPr>
        <w:t>……………………………………</w:t>
      </w:r>
      <w:proofErr w:type="gramStart"/>
      <w:r w:rsidR="00FD73F6" w:rsidRPr="00003BB7">
        <w:rPr>
          <w:rFonts w:cstheme="minorHAnsi"/>
          <w:sz w:val="20"/>
          <w:szCs w:val="20"/>
        </w:rPr>
        <w:t>…</w:t>
      </w:r>
      <w:r w:rsidR="005F74E7" w:rsidRPr="00003BB7">
        <w:rPr>
          <w:rFonts w:cstheme="minorHAnsi"/>
          <w:sz w:val="20"/>
          <w:szCs w:val="20"/>
        </w:rPr>
        <w:t>..</w:t>
      </w:r>
      <w:proofErr w:type="gramEnd"/>
      <w:r w:rsidR="000B088B" w:rsidRPr="00003BB7">
        <w:rPr>
          <w:rFonts w:cstheme="minorHAnsi"/>
          <w:sz w:val="20"/>
          <w:szCs w:val="20"/>
        </w:rPr>
        <w:t>…….36</w:t>
      </w:r>
    </w:p>
    <w:p w14:paraId="06679D66" w14:textId="77777777" w:rsidR="00C83CB2" w:rsidRPr="00003BB7" w:rsidRDefault="00C83CB2" w:rsidP="005F74E7">
      <w:pPr>
        <w:spacing w:after="0" w:line="240" w:lineRule="auto"/>
        <w:jc w:val="both"/>
        <w:rPr>
          <w:rFonts w:cstheme="minorHAnsi"/>
          <w:sz w:val="20"/>
          <w:szCs w:val="20"/>
        </w:rPr>
      </w:pPr>
    </w:p>
    <w:p w14:paraId="28A69A6C" w14:textId="40734BD8" w:rsidR="004E3BDC" w:rsidRPr="00003BB7" w:rsidRDefault="004E3BDC" w:rsidP="005F74E7">
      <w:pPr>
        <w:spacing w:after="0" w:line="240" w:lineRule="auto"/>
        <w:jc w:val="both"/>
        <w:rPr>
          <w:rFonts w:cstheme="minorHAnsi"/>
          <w:sz w:val="20"/>
          <w:szCs w:val="20"/>
        </w:rPr>
      </w:pPr>
      <w:r w:rsidRPr="00003BB7">
        <w:rPr>
          <w:rFonts w:cstheme="minorHAnsi"/>
          <w:sz w:val="20"/>
          <w:szCs w:val="20"/>
        </w:rPr>
        <w:t xml:space="preserve">Figure 2.5: Average progressive iron removal profile with increasing depth from the surface of Section 1 of Cell 1 MRPTS (Cat1 sampling location; &lt;1.0 days of retention </w:t>
      </w:r>
      <w:r w:rsidR="000A2DA4" w:rsidRPr="00003BB7">
        <w:rPr>
          <w:rFonts w:cstheme="minorHAnsi"/>
          <w:sz w:val="20"/>
          <w:szCs w:val="20"/>
        </w:rPr>
        <w:t>time) ………....………………</w:t>
      </w:r>
      <w:r w:rsidR="005F74E7" w:rsidRPr="00003BB7">
        <w:rPr>
          <w:rFonts w:cstheme="minorHAnsi"/>
          <w:sz w:val="20"/>
          <w:szCs w:val="20"/>
        </w:rPr>
        <w:t>…………………….</w:t>
      </w:r>
      <w:r w:rsidR="000A2DA4" w:rsidRPr="00003BB7">
        <w:rPr>
          <w:rFonts w:cstheme="minorHAnsi"/>
          <w:sz w:val="20"/>
          <w:szCs w:val="20"/>
        </w:rPr>
        <w:t>..</w:t>
      </w:r>
      <w:r w:rsidR="000B088B" w:rsidRPr="00003BB7">
        <w:rPr>
          <w:rFonts w:cstheme="minorHAnsi"/>
          <w:sz w:val="20"/>
          <w:szCs w:val="20"/>
        </w:rPr>
        <w:t>.36</w:t>
      </w:r>
    </w:p>
    <w:p w14:paraId="39C7568C" w14:textId="77777777" w:rsidR="00C83CB2" w:rsidRPr="00003BB7" w:rsidRDefault="00C83CB2" w:rsidP="005F74E7">
      <w:pPr>
        <w:spacing w:after="0" w:line="240" w:lineRule="auto"/>
        <w:jc w:val="both"/>
        <w:rPr>
          <w:rFonts w:cstheme="minorHAnsi"/>
          <w:sz w:val="20"/>
          <w:szCs w:val="20"/>
        </w:rPr>
      </w:pPr>
    </w:p>
    <w:p w14:paraId="11C6B85B" w14:textId="4C6329C1" w:rsidR="004E3BDC" w:rsidRPr="00003BB7" w:rsidRDefault="004E3BDC" w:rsidP="005F74E7">
      <w:pPr>
        <w:pStyle w:val="Heading3"/>
        <w:spacing w:before="0" w:line="240" w:lineRule="auto"/>
        <w:jc w:val="both"/>
        <w:rPr>
          <w:rFonts w:asciiTheme="minorHAnsi" w:hAnsiTheme="minorHAnsi" w:cstheme="minorHAnsi"/>
          <w:szCs w:val="20"/>
        </w:rPr>
      </w:pPr>
      <w:r w:rsidRPr="00003BB7">
        <w:rPr>
          <w:rFonts w:asciiTheme="minorHAnsi" w:hAnsiTheme="minorHAnsi" w:cstheme="minorHAnsi"/>
          <w:szCs w:val="20"/>
        </w:rPr>
        <w:t xml:space="preserve">Figure 2.6: Average progressive iron removal profile with increasing depth from the surface of Section 2 of Cell 1 MRPTS (Cat2 sampling location; 4.5 days of retention </w:t>
      </w:r>
      <w:r w:rsidR="000A2DA4" w:rsidRPr="00003BB7">
        <w:rPr>
          <w:rFonts w:asciiTheme="minorHAnsi" w:hAnsiTheme="minorHAnsi" w:cstheme="minorHAnsi"/>
          <w:szCs w:val="20"/>
        </w:rPr>
        <w:t>time) …………………</w:t>
      </w:r>
      <w:r w:rsidR="00FD73F6" w:rsidRPr="00003BB7">
        <w:rPr>
          <w:rFonts w:asciiTheme="minorHAnsi" w:hAnsiTheme="minorHAnsi" w:cstheme="minorHAnsi"/>
          <w:szCs w:val="20"/>
        </w:rPr>
        <w:t>……</w:t>
      </w:r>
      <w:r w:rsidR="005F74E7" w:rsidRPr="00003BB7">
        <w:rPr>
          <w:rFonts w:asciiTheme="minorHAnsi" w:hAnsiTheme="minorHAnsi" w:cstheme="minorHAnsi"/>
          <w:szCs w:val="20"/>
        </w:rPr>
        <w:t>………………………</w:t>
      </w:r>
      <w:r w:rsidR="00FD73F6" w:rsidRPr="00003BB7">
        <w:rPr>
          <w:rFonts w:asciiTheme="minorHAnsi" w:hAnsiTheme="minorHAnsi" w:cstheme="minorHAnsi"/>
          <w:szCs w:val="20"/>
        </w:rPr>
        <w:t>…</w:t>
      </w:r>
      <w:proofErr w:type="gramStart"/>
      <w:r w:rsidR="00FD73F6" w:rsidRPr="00003BB7">
        <w:rPr>
          <w:rFonts w:asciiTheme="minorHAnsi" w:hAnsiTheme="minorHAnsi" w:cstheme="minorHAnsi"/>
          <w:szCs w:val="20"/>
        </w:rPr>
        <w:t>…</w:t>
      </w:r>
      <w:r w:rsidR="000B088B" w:rsidRPr="00003BB7">
        <w:rPr>
          <w:rFonts w:asciiTheme="minorHAnsi" w:hAnsiTheme="minorHAnsi" w:cstheme="minorHAnsi"/>
          <w:szCs w:val="20"/>
        </w:rPr>
        <w:t>..</w:t>
      </w:r>
      <w:proofErr w:type="gramEnd"/>
      <w:r w:rsidR="000B088B" w:rsidRPr="00003BB7">
        <w:rPr>
          <w:rFonts w:asciiTheme="minorHAnsi" w:hAnsiTheme="minorHAnsi" w:cstheme="minorHAnsi"/>
          <w:szCs w:val="20"/>
        </w:rPr>
        <w:t>37</w:t>
      </w:r>
    </w:p>
    <w:p w14:paraId="386CC135" w14:textId="77777777" w:rsidR="00C83CB2" w:rsidRPr="00003BB7" w:rsidRDefault="00C83CB2" w:rsidP="005F74E7">
      <w:pPr>
        <w:spacing w:after="0" w:line="240" w:lineRule="auto"/>
        <w:jc w:val="both"/>
        <w:rPr>
          <w:rFonts w:cstheme="minorHAnsi"/>
          <w:sz w:val="20"/>
          <w:szCs w:val="20"/>
        </w:rPr>
      </w:pPr>
    </w:p>
    <w:p w14:paraId="0CC6A143" w14:textId="7A5837E7" w:rsidR="00C83CB2" w:rsidRPr="00003BB7" w:rsidRDefault="004E3BDC" w:rsidP="005F74E7">
      <w:pPr>
        <w:pStyle w:val="Heading3"/>
        <w:spacing w:before="0" w:line="240" w:lineRule="auto"/>
        <w:jc w:val="both"/>
        <w:rPr>
          <w:rFonts w:asciiTheme="minorHAnsi" w:hAnsiTheme="minorHAnsi" w:cstheme="minorHAnsi"/>
          <w:szCs w:val="20"/>
        </w:rPr>
      </w:pPr>
      <w:r w:rsidRPr="00003BB7">
        <w:rPr>
          <w:rFonts w:asciiTheme="minorHAnsi" w:hAnsiTheme="minorHAnsi" w:cstheme="minorHAnsi"/>
          <w:szCs w:val="20"/>
        </w:rPr>
        <w:t>Figure 2.7: Average progressive iron removal profile with increasing depth from the surface</w:t>
      </w:r>
      <w:r w:rsidR="005F74E7" w:rsidRPr="00003BB7">
        <w:rPr>
          <w:rFonts w:asciiTheme="minorHAnsi" w:hAnsiTheme="minorHAnsi" w:cstheme="minorHAnsi"/>
          <w:szCs w:val="20"/>
        </w:rPr>
        <w:t xml:space="preserve"> </w:t>
      </w:r>
      <w:r w:rsidRPr="00003BB7">
        <w:rPr>
          <w:rFonts w:asciiTheme="minorHAnsi" w:hAnsiTheme="minorHAnsi" w:cstheme="minorHAnsi"/>
          <w:szCs w:val="20"/>
        </w:rPr>
        <w:t xml:space="preserve">of Section 3 of Cell 1 MRPTS (Cat3 sampling location; 6.5 days of retention </w:t>
      </w:r>
      <w:r w:rsidR="000A2DA4" w:rsidRPr="00003BB7">
        <w:rPr>
          <w:rFonts w:asciiTheme="minorHAnsi" w:hAnsiTheme="minorHAnsi" w:cstheme="minorHAnsi"/>
          <w:szCs w:val="20"/>
        </w:rPr>
        <w:t>time) …</w:t>
      </w:r>
      <w:r w:rsidR="005F74E7" w:rsidRPr="00003BB7">
        <w:rPr>
          <w:rFonts w:asciiTheme="minorHAnsi" w:hAnsiTheme="minorHAnsi" w:cstheme="minorHAnsi"/>
          <w:szCs w:val="20"/>
        </w:rPr>
        <w:t>……………………</w:t>
      </w:r>
      <w:r w:rsidR="000A2DA4" w:rsidRPr="00003BB7">
        <w:rPr>
          <w:rFonts w:asciiTheme="minorHAnsi" w:hAnsiTheme="minorHAnsi" w:cstheme="minorHAnsi"/>
          <w:szCs w:val="20"/>
        </w:rPr>
        <w:t>………………</w:t>
      </w:r>
      <w:r w:rsidR="00FD73F6" w:rsidRPr="00003BB7">
        <w:rPr>
          <w:rFonts w:asciiTheme="minorHAnsi" w:hAnsiTheme="minorHAnsi" w:cstheme="minorHAnsi"/>
          <w:szCs w:val="20"/>
        </w:rPr>
        <w:t>………</w:t>
      </w:r>
      <w:r w:rsidR="005F74E7" w:rsidRPr="00003BB7">
        <w:rPr>
          <w:rFonts w:asciiTheme="minorHAnsi" w:hAnsiTheme="minorHAnsi" w:cstheme="minorHAnsi"/>
          <w:szCs w:val="20"/>
        </w:rPr>
        <w:t>…</w:t>
      </w:r>
      <w:proofErr w:type="gramStart"/>
      <w:r w:rsidR="005F74E7" w:rsidRPr="00003BB7">
        <w:rPr>
          <w:rFonts w:asciiTheme="minorHAnsi" w:hAnsiTheme="minorHAnsi" w:cstheme="minorHAnsi"/>
          <w:szCs w:val="20"/>
        </w:rPr>
        <w:t>.</w:t>
      </w:r>
      <w:r w:rsidR="00FD73F6" w:rsidRPr="00003BB7">
        <w:rPr>
          <w:rFonts w:asciiTheme="minorHAnsi" w:hAnsiTheme="minorHAnsi" w:cstheme="minorHAnsi"/>
          <w:szCs w:val="20"/>
        </w:rPr>
        <w:t>..</w:t>
      </w:r>
      <w:r w:rsidRPr="00003BB7">
        <w:rPr>
          <w:rFonts w:asciiTheme="minorHAnsi" w:hAnsiTheme="minorHAnsi" w:cstheme="minorHAnsi"/>
          <w:szCs w:val="20"/>
        </w:rPr>
        <w:t>..</w:t>
      </w:r>
      <w:proofErr w:type="gramEnd"/>
      <w:r w:rsidR="000B088B" w:rsidRPr="00003BB7">
        <w:rPr>
          <w:rFonts w:asciiTheme="minorHAnsi" w:hAnsiTheme="minorHAnsi" w:cstheme="minorHAnsi"/>
          <w:szCs w:val="20"/>
        </w:rPr>
        <w:t>37</w:t>
      </w:r>
    </w:p>
    <w:p w14:paraId="3150103C" w14:textId="2562FC73" w:rsidR="00FD73F6" w:rsidRPr="00003BB7" w:rsidRDefault="004E3BDC" w:rsidP="005F74E7">
      <w:pPr>
        <w:pStyle w:val="Heading3"/>
        <w:spacing w:before="0" w:line="240" w:lineRule="auto"/>
        <w:jc w:val="both"/>
        <w:rPr>
          <w:rFonts w:asciiTheme="minorHAnsi" w:hAnsiTheme="minorHAnsi" w:cstheme="minorHAnsi"/>
          <w:noProof/>
          <w:szCs w:val="20"/>
        </w:rPr>
      </w:pPr>
      <w:r w:rsidRPr="00003BB7">
        <w:rPr>
          <w:rFonts w:asciiTheme="minorHAnsi" w:hAnsiTheme="minorHAnsi" w:cstheme="minorHAnsi"/>
          <w:szCs w:val="20"/>
        </w:rPr>
        <w:br/>
        <w:t>Figure 2.8: Average Spring Iron Removal Profile (April 2010-2012; n=3)</w:t>
      </w:r>
      <w:r w:rsidRPr="00003BB7">
        <w:rPr>
          <w:rFonts w:asciiTheme="minorHAnsi" w:hAnsiTheme="minorHAnsi" w:cstheme="minorHAnsi"/>
          <w:noProof/>
          <w:szCs w:val="20"/>
        </w:rPr>
        <w:t xml:space="preserve"> with ± standard</w:t>
      </w:r>
      <w:r w:rsidR="005F74E7" w:rsidRPr="00003BB7">
        <w:rPr>
          <w:rFonts w:asciiTheme="minorHAnsi" w:hAnsiTheme="minorHAnsi" w:cstheme="minorHAnsi"/>
          <w:noProof/>
          <w:szCs w:val="20"/>
        </w:rPr>
        <w:t xml:space="preserve"> </w:t>
      </w:r>
      <w:r w:rsidRPr="00003BB7">
        <w:rPr>
          <w:rFonts w:asciiTheme="minorHAnsi" w:hAnsiTheme="minorHAnsi" w:cstheme="minorHAnsi"/>
          <w:noProof/>
          <w:szCs w:val="20"/>
        </w:rPr>
        <w:t>deviation error barss for each measurement average……</w:t>
      </w:r>
      <w:r w:rsidR="00FD73F6" w:rsidRPr="00003BB7">
        <w:rPr>
          <w:rFonts w:asciiTheme="minorHAnsi" w:hAnsiTheme="minorHAnsi" w:cstheme="minorHAnsi"/>
          <w:noProof/>
          <w:szCs w:val="20"/>
        </w:rPr>
        <w:t>……………………………………………</w:t>
      </w:r>
      <w:r w:rsidR="005F74E7" w:rsidRPr="00003BB7">
        <w:rPr>
          <w:rFonts w:asciiTheme="minorHAnsi" w:hAnsiTheme="minorHAnsi" w:cstheme="minorHAnsi"/>
          <w:noProof/>
          <w:szCs w:val="20"/>
        </w:rPr>
        <w:t>……………………….</w:t>
      </w:r>
      <w:r w:rsidR="00FD73F6" w:rsidRPr="00003BB7">
        <w:rPr>
          <w:rFonts w:asciiTheme="minorHAnsi" w:hAnsiTheme="minorHAnsi" w:cstheme="minorHAnsi"/>
          <w:noProof/>
          <w:szCs w:val="20"/>
        </w:rPr>
        <w:t>……………………</w:t>
      </w:r>
      <w:r w:rsidR="005F74E7" w:rsidRPr="00003BB7">
        <w:rPr>
          <w:rFonts w:asciiTheme="minorHAnsi" w:hAnsiTheme="minorHAnsi" w:cstheme="minorHAnsi"/>
          <w:noProof/>
          <w:szCs w:val="20"/>
        </w:rPr>
        <w:t>.</w:t>
      </w:r>
      <w:r w:rsidR="00FD73F6" w:rsidRPr="00003BB7">
        <w:rPr>
          <w:rFonts w:asciiTheme="minorHAnsi" w:hAnsiTheme="minorHAnsi" w:cstheme="minorHAnsi"/>
          <w:noProof/>
          <w:szCs w:val="20"/>
        </w:rPr>
        <w:t>…</w:t>
      </w:r>
      <w:r w:rsidR="000B088B" w:rsidRPr="00003BB7">
        <w:rPr>
          <w:rFonts w:asciiTheme="minorHAnsi" w:hAnsiTheme="minorHAnsi" w:cstheme="minorHAnsi"/>
          <w:noProof/>
          <w:szCs w:val="20"/>
        </w:rPr>
        <w:t>..38</w:t>
      </w:r>
    </w:p>
    <w:p w14:paraId="638B94CA" w14:textId="77777777" w:rsidR="000A2DA4" w:rsidRPr="00003BB7" w:rsidRDefault="000A2DA4" w:rsidP="005F74E7">
      <w:pPr>
        <w:spacing w:after="0" w:line="240" w:lineRule="auto"/>
        <w:jc w:val="both"/>
        <w:rPr>
          <w:rFonts w:cstheme="minorHAnsi"/>
          <w:sz w:val="20"/>
          <w:szCs w:val="20"/>
        </w:rPr>
      </w:pPr>
    </w:p>
    <w:p w14:paraId="39A07163" w14:textId="51F9FC71" w:rsidR="00FD73F6" w:rsidRPr="00003BB7" w:rsidRDefault="004E3BDC" w:rsidP="005F74E7">
      <w:pPr>
        <w:pStyle w:val="Heading3"/>
        <w:spacing w:before="0" w:line="240" w:lineRule="auto"/>
        <w:jc w:val="both"/>
        <w:rPr>
          <w:rFonts w:asciiTheme="minorHAnsi" w:hAnsiTheme="minorHAnsi" w:cstheme="minorHAnsi"/>
          <w:szCs w:val="20"/>
        </w:rPr>
      </w:pPr>
      <w:r w:rsidRPr="00003BB7">
        <w:rPr>
          <w:rFonts w:asciiTheme="minorHAnsi" w:hAnsiTheme="minorHAnsi" w:cstheme="minorHAnsi"/>
          <w:szCs w:val="20"/>
        </w:rPr>
        <w:t>Figure 2.9: Average Summer Iron Removal Profile (July 2009-2011; n=3)</w:t>
      </w:r>
      <w:r w:rsidRPr="00003BB7">
        <w:rPr>
          <w:rFonts w:asciiTheme="minorHAnsi" w:hAnsiTheme="minorHAnsi" w:cstheme="minorHAnsi"/>
          <w:noProof/>
          <w:szCs w:val="20"/>
        </w:rPr>
        <w:t xml:space="preserve"> with ± standard</w:t>
      </w:r>
      <w:r w:rsidR="005F74E7" w:rsidRPr="00003BB7">
        <w:rPr>
          <w:rFonts w:asciiTheme="minorHAnsi" w:hAnsiTheme="minorHAnsi" w:cstheme="minorHAnsi"/>
          <w:noProof/>
          <w:szCs w:val="20"/>
        </w:rPr>
        <w:t xml:space="preserve"> </w:t>
      </w:r>
      <w:r w:rsidRPr="00003BB7">
        <w:rPr>
          <w:rFonts w:asciiTheme="minorHAnsi" w:hAnsiTheme="minorHAnsi" w:cstheme="minorHAnsi"/>
          <w:noProof/>
          <w:szCs w:val="20"/>
        </w:rPr>
        <w:t>deviation error barss for each measurement average…</w:t>
      </w:r>
      <w:r w:rsidR="00FD73F6" w:rsidRPr="00003BB7">
        <w:rPr>
          <w:rFonts w:asciiTheme="minorHAnsi" w:hAnsiTheme="minorHAnsi" w:cstheme="minorHAnsi"/>
          <w:noProof/>
          <w:szCs w:val="20"/>
        </w:rPr>
        <w:t>…………………………</w:t>
      </w:r>
      <w:r w:rsidR="005F74E7" w:rsidRPr="00003BB7">
        <w:rPr>
          <w:rFonts w:asciiTheme="minorHAnsi" w:hAnsiTheme="minorHAnsi" w:cstheme="minorHAnsi"/>
          <w:noProof/>
          <w:szCs w:val="20"/>
        </w:rPr>
        <w:t>……………………….</w:t>
      </w:r>
      <w:r w:rsidR="00FD73F6" w:rsidRPr="00003BB7">
        <w:rPr>
          <w:rFonts w:asciiTheme="minorHAnsi" w:hAnsiTheme="minorHAnsi" w:cstheme="minorHAnsi"/>
          <w:noProof/>
          <w:szCs w:val="20"/>
        </w:rPr>
        <w:t>…………………………………………</w:t>
      </w:r>
      <w:r w:rsidR="005F74E7" w:rsidRPr="00003BB7">
        <w:rPr>
          <w:rFonts w:asciiTheme="minorHAnsi" w:hAnsiTheme="minorHAnsi" w:cstheme="minorHAnsi"/>
          <w:noProof/>
          <w:szCs w:val="20"/>
        </w:rPr>
        <w:t>.</w:t>
      </w:r>
      <w:r w:rsidR="00FD73F6" w:rsidRPr="00003BB7">
        <w:rPr>
          <w:rFonts w:asciiTheme="minorHAnsi" w:hAnsiTheme="minorHAnsi" w:cstheme="minorHAnsi"/>
          <w:noProof/>
          <w:szCs w:val="20"/>
        </w:rPr>
        <w:t>..</w:t>
      </w:r>
      <w:r w:rsidR="000B088B" w:rsidRPr="00003BB7">
        <w:rPr>
          <w:rFonts w:asciiTheme="minorHAnsi" w:hAnsiTheme="minorHAnsi" w:cstheme="minorHAnsi"/>
          <w:noProof/>
          <w:szCs w:val="20"/>
        </w:rPr>
        <w:t>…39</w:t>
      </w:r>
      <w:r w:rsidRPr="00003BB7">
        <w:rPr>
          <w:rFonts w:asciiTheme="minorHAnsi" w:hAnsiTheme="minorHAnsi" w:cstheme="minorHAnsi"/>
          <w:szCs w:val="20"/>
        </w:rPr>
        <w:t xml:space="preserve"> </w:t>
      </w:r>
    </w:p>
    <w:p w14:paraId="5FB25FBE" w14:textId="7E21AE62" w:rsidR="00C83CB2" w:rsidRPr="00003BB7" w:rsidRDefault="005F74E7" w:rsidP="005F74E7">
      <w:pPr>
        <w:spacing w:after="0" w:line="240" w:lineRule="auto"/>
        <w:jc w:val="both"/>
        <w:rPr>
          <w:rFonts w:cstheme="minorHAnsi"/>
          <w:sz w:val="20"/>
          <w:szCs w:val="20"/>
        </w:rPr>
      </w:pPr>
      <w:r w:rsidRPr="00003BB7">
        <w:rPr>
          <w:rFonts w:cstheme="minorHAnsi"/>
          <w:sz w:val="20"/>
          <w:szCs w:val="20"/>
        </w:rPr>
        <w:t>.</w:t>
      </w:r>
    </w:p>
    <w:p w14:paraId="01C2DF45" w14:textId="7756FA03" w:rsidR="004E3BDC" w:rsidRPr="00003BB7" w:rsidRDefault="004E3BDC" w:rsidP="005F74E7">
      <w:pPr>
        <w:pStyle w:val="Heading3"/>
        <w:spacing w:before="0" w:line="240" w:lineRule="auto"/>
        <w:jc w:val="both"/>
        <w:rPr>
          <w:rFonts w:asciiTheme="minorHAnsi" w:hAnsiTheme="minorHAnsi" w:cstheme="minorHAnsi"/>
          <w:szCs w:val="20"/>
        </w:rPr>
      </w:pPr>
      <w:r w:rsidRPr="00003BB7">
        <w:rPr>
          <w:rFonts w:asciiTheme="minorHAnsi" w:hAnsiTheme="minorHAnsi" w:cstheme="minorHAnsi"/>
          <w:szCs w:val="20"/>
        </w:rPr>
        <w:t>Figure 2.10: Average Fall Iron Removal Profile (October 2009-2011; n=3)</w:t>
      </w:r>
      <w:r w:rsidRPr="00003BB7">
        <w:rPr>
          <w:rFonts w:asciiTheme="minorHAnsi" w:hAnsiTheme="minorHAnsi" w:cstheme="minorHAnsi"/>
          <w:noProof/>
          <w:szCs w:val="20"/>
        </w:rPr>
        <w:t xml:space="preserve"> with ± standard deviation error barss for each measurement average</w:t>
      </w:r>
      <w:r w:rsidR="00FD73F6" w:rsidRPr="00003BB7">
        <w:rPr>
          <w:rFonts w:asciiTheme="minorHAnsi" w:hAnsiTheme="minorHAnsi" w:cstheme="minorHAnsi"/>
          <w:noProof/>
          <w:szCs w:val="20"/>
        </w:rPr>
        <w:t>………………</w:t>
      </w:r>
      <w:r w:rsidR="005F74E7" w:rsidRPr="00003BB7">
        <w:rPr>
          <w:rFonts w:asciiTheme="minorHAnsi" w:hAnsiTheme="minorHAnsi" w:cstheme="minorHAnsi"/>
          <w:noProof/>
          <w:szCs w:val="20"/>
        </w:rPr>
        <w:t>………………………..</w:t>
      </w:r>
      <w:r w:rsidR="00FD73F6" w:rsidRPr="00003BB7">
        <w:rPr>
          <w:rFonts w:asciiTheme="minorHAnsi" w:hAnsiTheme="minorHAnsi" w:cstheme="minorHAnsi"/>
          <w:noProof/>
          <w:szCs w:val="20"/>
        </w:rPr>
        <w:t>………………………………………………………</w:t>
      </w:r>
      <w:r w:rsidR="005F74E7" w:rsidRPr="00003BB7">
        <w:rPr>
          <w:rFonts w:asciiTheme="minorHAnsi" w:hAnsiTheme="minorHAnsi" w:cstheme="minorHAnsi"/>
          <w:noProof/>
          <w:szCs w:val="20"/>
        </w:rPr>
        <w:t>.</w:t>
      </w:r>
      <w:r w:rsidR="000A2DA4" w:rsidRPr="00003BB7">
        <w:rPr>
          <w:rFonts w:asciiTheme="minorHAnsi" w:hAnsiTheme="minorHAnsi" w:cstheme="minorHAnsi"/>
          <w:noProof/>
          <w:szCs w:val="20"/>
        </w:rPr>
        <w:t>…</w:t>
      </w:r>
      <w:r w:rsidR="000A2DA4" w:rsidRPr="00003BB7">
        <w:rPr>
          <w:rFonts w:asciiTheme="minorHAnsi" w:hAnsiTheme="minorHAnsi" w:cstheme="minorHAnsi"/>
          <w:szCs w:val="20"/>
        </w:rPr>
        <w:t>.</w:t>
      </w:r>
      <w:r w:rsidR="000B088B" w:rsidRPr="00003BB7">
        <w:rPr>
          <w:rFonts w:asciiTheme="minorHAnsi" w:hAnsiTheme="minorHAnsi" w:cstheme="minorHAnsi"/>
          <w:szCs w:val="20"/>
        </w:rPr>
        <w:t>39</w:t>
      </w:r>
    </w:p>
    <w:p w14:paraId="7953E815" w14:textId="77777777" w:rsidR="00C83CB2" w:rsidRPr="00003BB7" w:rsidRDefault="00C83CB2" w:rsidP="005F74E7">
      <w:pPr>
        <w:spacing w:after="0" w:line="240" w:lineRule="auto"/>
        <w:jc w:val="both"/>
        <w:rPr>
          <w:rFonts w:cstheme="minorHAnsi"/>
          <w:sz w:val="20"/>
          <w:szCs w:val="20"/>
        </w:rPr>
      </w:pPr>
    </w:p>
    <w:p w14:paraId="2BFC0F7E" w14:textId="633A114B" w:rsidR="004E3BDC" w:rsidRPr="00003BB7" w:rsidRDefault="004E3BDC" w:rsidP="005F74E7">
      <w:pPr>
        <w:spacing w:after="0" w:line="240" w:lineRule="auto"/>
        <w:jc w:val="both"/>
        <w:rPr>
          <w:rFonts w:cstheme="minorHAnsi"/>
          <w:noProof/>
          <w:sz w:val="20"/>
          <w:szCs w:val="20"/>
        </w:rPr>
      </w:pPr>
      <w:r w:rsidRPr="00003BB7">
        <w:rPr>
          <w:rFonts w:cstheme="minorHAnsi"/>
          <w:sz w:val="20"/>
          <w:szCs w:val="20"/>
        </w:rPr>
        <w:t>Figure 2.11: Average Winter Iron Removal Profile (January 2010-2012; n=3)</w:t>
      </w:r>
      <w:r w:rsidRPr="00003BB7">
        <w:rPr>
          <w:rFonts w:cstheme="minorHAnsi"/>
          <w:noProof/>
          <w:sz w:val="20"/>
          <w:szCs w:val="20"/>
        </w:rPr>
        <w:t xml:space="preserve"> with ± standard deviation error barss for each measurement average</w:t>
      </w:r>
      <w:r w:rsidR="00FD73F6" w:rsidRPr="00003BB7">
        <w:rPr>
          <w:rFonts w:cstheme="minorHAnsi"/>
          <w:noProof/>
          <w:sz w:val="20"/>
          <w:szCs w:val="20"/>
        </w:rPr>
        <w:t>………………………………………………………</w:t>
      </w:r>
      <w:r w:rsidR="005F74E7" w:rsidRPr="00003BB7">
        <w:rPr>
          <w:rFonts w:cstheme="minorHAnsi"/>
          <w:noProof/>
          <w:sz w:val="20"/>
          <w:szCs w:val="20"/>
        </w:rPr>
        <w:t>………………</w:t>
      </w:r>
      <w:r w:rsidR="00FD73F6" w:rsidRPr="00003BB7">
        <w:rPr>
          <w:rFonts w:cstheme="minorHAnsi"/>
          <w:noProof/>
          <w:sz w:val="20"/>
          <w:szCs w:val="20"/>
        </w:rPr>
        <w:t>…………</w:t>
      </w:r>
      <w:r w:rsidR="005F74E7" w:rsidRPr="00003BB7">
        <w:rPr>
          <w:rFonts w:cstheme="minorHAnsi"/>
          <w:noProof/>
          <w:sz w:val="20"/>
          <w:szCs w:val="20"/>
        </w:rPr>
        <w:t>.</w:t>
      </w:r>
      <w:r w:rsidR="00FD73F6" w:rsidRPr="00003BB7">
        <w:rPr>
          <w:rFonts w:cstheme="minorHAnsi"/>
          <w:noProof/>
          <w:sz w:val="20"/>
          <w:szCs w:val="20"/>
        </w:rPr>
        <w:t>……</w:t>
      </w:r>
      <w:r w:rsidRPr="00003BB7">
        <w:rPr>
          <w:rFonts w:cstheme="minorHAnsi"/>
          <w:noProof/>
          <w:sz w:val="20"/>
          <w:szCs w:val="20"/>
        </w:rPr>
        <w:t>…..</w:t>
      </w:r>
      <w:r w:rsidR="000B088B" w:rsidRPr="00003BB7">
        <w:rPr>
          <w:rFonts w:cstheme="minorHAnsi"/>
          <w:noProof/>
          <w:sz w:val="20"/>
          <w:szCs w:val="20"/>
        </w:rPr>
        <w:t>40</w:t>
      </w:r>
    </w:p>
    <w:p w14:paraId="058193EB" w14:textId="77777777" w:rsidR="00C83CB2" w:rsidRPr="00003BB7" w:rsidRDefault="00C83CB2" w:rsidP="005F74E7">
      <w:pPr>
        <w:spacing w:after="0" w:line="240" w:lineRule="auto"/>
        <w:jc w:val="both"/>
        <w:rPr>
          <w:rFonts w:cstheme="minorHAnsi"/>
          <w:noProof/>
          <w:sz w:val="20"/>
          <w:szCs w:val="20"/>
        </w:rPr>
      </w:pPr>
    </w:p>
    <w:p w14:paraId="7996A62B" w14:textId="08197B95" w:rsidR="004E3BDC" w:rsidRPr="00003BB7" w:rsidRDefault="004E3BDC" w:rsidP="005F74E7">
      <w:pPr>
        <w:pStyle w:val="Heading3"/>
        <w:spacing w:before="0" w:line="240" w:lineRule="auto"/>
        <w:jc w:val="both"/>
        <w:rPr>
          <w:rFonts w:asciiTheme="minorHAnsi" w:hAnsiTheme="minorHAnsi" w:cstheme="minorHAnsi"/>
          <w:szCs w:val="20"/>
        </w:rPr>
      </w:pPr>
      <w:r w:rsidRPr="00003BB7">
        <w:rPr>
          <w:rFonts w:asciiTheme="minorHAnsi" w:hAnsiTheme="minorHAnsi" w:cstheme="minorHAnsi"/>
          <w:szCs w:val="20"/>
        </w:rPr>
        <w:t>Figure 2.12: Comparison of total iron concentration (mg/L) for seasonal average progressive iron removal profiles based on season. Note the consistency in performance for spring, summer,</w:t>
      </w:r>
      <w:r w:rsidR="00FD73F6" w:rsidRPr="00003BB7">
        <w:rPr>
          <w:rFonts w:asciiTheme="minorHAnsi" w:hAnsiTheme="minorHAnsi" w:cstheme="minorHAnsi"/>
          <w:szCs w:val="20"/>
        </w:rPr>
        <w:t xml:space="preserve"> and fall profiles………………………………………………………</w:t>
      </w:r>
      <w:r w:rsidR="005F74E7" w:rsidRPr="00003BB7">
        <w:rPr>
          <w:rFonts w:asciiTheme="minorHAnsi" w:hAnsiTheme="minorHAnsi" w:cstheme="minorHAnsi"/>
          <w:szCs w:val="20"/>
        </w:rPr>
        <w:t>……………</w:t>
      </w:r>
      <w:r w:rsidR="00FD73F6" w:rsidRPr="00003BB7">
        <w:rPr>
          <w:rFonts w:asciiTheme="minorHAnsi" w:hAnsiTheme="minorHAnsi" w:cstheme="minorHAnsi"/>
          <w:szCs w:val="20"/>
        </w:rPr>
        <w:t>…………………………………………………………………………….</w:t>
      </w:r>
      <w:r w:rsidR="000B088B" w:rsidRPr="00003BB7">
        <w:rPr>
          <w:rFonts w:asciiTheme="minorHAnsi" w:hAnsiTheme="minorHAnsi" w:cstheme="minorHAnsi"/>
          <w:szCs w:val="20"/>
        </w:rPr>
        <w:t>40</w:t>
      </w:r>
    </w:p>
    <w:p w14:paraId="06D0E25C" w14:textId="77777777" w:rsidR="00C83CB2" w:rsidRPr="00003BB7" w:rsidRDefault="00C83CB2" w:rsidP="005F74E7">
      <w:pPr>
        <w:spacing w:after="0" w:line="240" w:lineRule="auto"/>
        <w:jc w:val="both"/>
        <w:rPr>
          <w:rFonts w:cstheme="minorHAnsi"/>
          <w:sz w:val="20"/>
          <w:szCs w:val="20"/>
        </w:rPr>
      </w:pPr>
    </w:p>
    <w:p w14:paraId="2371B509" w14:textId="4530A84A" w:rsidR="004E3BDC" w:rsidRPr="00003BB7" w:rsidRDefault="004E3BDC" w:rsidP="005F74E7">
      <w:pPr>
        <w:spacing w:after="0" w:line="240" w:lineRule="auto"/>
        <w:jc w:val="both"/>
        <w:rPr>
          <w:rFonts w:cstheme="minorHAnsi"/>
          <w:sz w:val="20"/>
          <w:szCs w:val="20"/>
        </w:rPr>
      </w:pPr>
      <w:r w:rsidRPr="00003BB7">
        <w:rPr>
          <w:rFonts w:cstheme="minorHAnsi"/>
          <w:sz w:val="20"/>
          <w:szCs w:val="20"/>
        </w:rPr>
        <w:t xml:space="preserve">Figure 2.13: Correlation between C1Out water temperature and the total iron concentration change due to iron removal within Cell 1 measured as the difference between the average </w:t>
      </w:r>
      <w:r w:rsidR="005F74E7" w:rsidRPr="00003BB7">
        <w:rPr>
          <w:rFonts w:cstheme="minorHAnsi"/>
          <w:sz w:val="20"/>
          <w:szCs w:val="20"/>
        </w:rPr>
        <w:t xml:space="preserve">seep influent </w:t>
      </w:r>
      <w:r w:rsidRPr="00003BB7">
        <w:rPr>
          <w:rFonts w:cstheme="minorHAnsi"/>
          <w:sz w:val="20"/>
          <w:szCs w:val="20"/>
        </w:rPr>
        <w:t>concent</w:t>
      </w:r>
      <w:r w:rsidR="00FD73F6" w:rsidRPr="00003BB7">
        <w:rPr>
          <w:rFonts w:cstheme="minorHAnsi"/>
          <w:sz w:val="20"/>
          <w:szCs w:val="20"/>
        </w:rPr>
        <w:t>ration and C1Out concentration.</w:t>
      </w:r>
      <w:r w:rsidRPr="00003BB7">
        <w:rPr>
          <w:rFonts w:cstheme="minorHAnsi"/>
          <w:sz w:val="20"/>
          <w:szCs w:val="20"/>
        </w:rPr>
        <w:t>…</w:t>
      </w:r>
      <w:r w:rsidR="00FD73F6" w:rsidRPr="00003BB7">
        <w:rPr>
          <w:rFonts w:cstheme="minorHAnsi"/>
          <w:sz w:val="20"/>
          <w:szCs w:val="20"/>
        </w:rPr>
        <w:t>……………………………………………………………….…</w:t>
      </w:r>
      <w:r w:rsidR="005F74E7" w:rsidRPr="00003BB7">
        <w:rPr>
          <w:rFonts w:cstheme="minorHAnsi"/>
          <w:sz w:val="20"/>
          <w:szCs w:val="20"/>
        </w:rPr>
        <w:t>……………………………</w:t>
      </w:r>
      <w:proofErr w:type="gramStart"/>
      <w:r w:rsidR="005F74E7" w:rsidRPr="00003BB7">
        <w:rPr>
          <w:rFonts w:cstheme="minorHAnsi"/>
          <w:sz w:val="20"/>
          <w:szCs w:val="20"/>
        </w:rPr>
        <w:t>…..</w:t>
      </w:r>
      <w:proofErr w:type="gramEnd"/>
      <w:r w:rsidR="005F74E7" w:rsidRPr="00003BB7">
        <w:rPr>
          <w:rFonts w:cstheme="minorHAnsi"/>
          <w:sz w:val="20"/>
          <w:szCs w:val="20"/>
        </w:rPr>
        <w:t>………….</w:t>
      </w:r>
      <w:r w:rsidR="00FD73F6" w:rsidRPr="00003BB7">
        <w:rPr>
          <w:rFonts w:cstheme="minorHAnsi"/>
          <w:sz w:val="20"/>
          <w:szCs w:val="20"/>
        </w:rPr>
        <w:t>..</w:t>
      </w:r>
      <w:r w:rsidRPr="00003BB7">
        <w:rPr>
          <w:rFonts w:cstheme="minorHAnsi"/>
          <w:sz w:val="20"/>
          <w:szCs w:val="20"/>
        </w:rPr>
        <w:t>..</w:t>
      </w:r>
      <w:r w:rsidR="000B088B" w:rsidRPr="00003BB7">
        <w:rPr>
          <w:rFonts w:cstheme="minorHAnsi"/>
          <w:sz w:val="20"/>
          <w:szCs w:val="20"/>
        </w:rPr>
        <w:t>42</w:t>
      </w:r>
    </w:p>
    <w:p w14:paraId="404877EE" w14:textId="77777777" w:rsidR="000A2DA4" w:rsidRPr="00003BB7" w:rsidRDefault="000A2DA4" w:rsidP="005F74E7">
      <w:pPr>
        <w:spacing w:after="0" w:line="240" w:lineRule="auto"/>
        <w:jc w:val="both"/>
        <w:rPr>
          <w:rFonts w:cstheme="minorHAnsi"/>
          <w:sz w:val="20"/>
          <w:szCs w:val="20"/>
        </w:rPr>
      </w:pPr>
    </w:p>
    <w:p w14:paraId="5C3AE605" w14:textId="4F8B4464" w:rsidR="004E3BDC" w:rsidRPr="00003BB7" w:rsidRDefault="004E3BDC" w:rsidP="005F74E7">
      <w:pPr>
        <w:spacing w:after="0" w:line="240" w:lineRule="auto"/>
        <w:jc w:val="both"/>
        <w:rPr>
          <w:rFonts w:cstheme="minorHAnsi"/>
          <w:sz w:val="20"/>
          <w:szCs w:val="20"/>
        </w:rPr>
      </w:pPr>
      <w:r w:rsidRPr="00003BB7">
        <w:rPr>
          <w:rFonts w:cstheme="minorHAnsi"/>
          <w:sz w:val="20"/>
          <w:szCs w:val="20"/>
        </w:rPr>
        <w:t xml:space="preserve">Figure 2.14: Comparison of the average Dissolved: Particulate iron ratios based on </w:t>
      </w:r>
      <w:r w:rsidR="005F74E7" w:rsidRPr="00003BB7">
        <w:rPr>
          <w:rFonts w:cstheme="minorHAnsi"/>
          <w:sz w:val="20"/>
          <w:szCs w:val="20"/>
        </w:rPr>
        <w:t>seasonal</w:t>
      </w:r>
      <w:r w:rsidR="00FD73F6" w:rsidRPr="00003BB7">
        <w:rPr>
          <w:rFonts w:cstheme="minorHAnsi"/>
          <w:sz w:val="20"/>
          <w:szCs w:val="20"/>
        </w:rPr>
        <w:t xml:space="preserve"> iron removal profiles.</w:t>
      </w:r>
      <w:r w:rsidRPr="00003BB7">
        <w:rPr>
          <w:rFonts w:cstheme="minorHAnsi"/>
          <w:sz w:val="20"/>
          <w:szCs w:val="20"/>
        </w:rPr>
        <w:t>…</w:t>
      </w:r>
      <w:r w:rsidR="00FD73F6" w:rsidRPr="00003BB7">
        <w:rPr>
          <w:rFonts w:cstheme="minorHAnsi"/>
          <w:sz w:val="20"/>
          <w:szCs w:val="20"/>
        </w:rPr>
        <w:t>…………</w:t>
      </w:r>
      <w:proofErr w:type="gramStart"/>
      <w:r w:rsidR="00FD73F6" w:rsidRPr="00003BB7">
        <w:rPr>
          <w:rFonts w:cstheme="minorHAnsi"/>
          <w:sz w:val="20"/>
          <w:szCs w:val="20"/>
        </w:rPr>
        <w:t>…</w:t>
      </w:r>
      <w:r w:rsidR="005F74E7" w:rsidRPr="00003BB7">
        <w:rPr>
          <w:rFonts w:cstheme="minorHAnsi"/>
          <w:sz w:val="20"/>
          <w:szCs w:val="20"/>
        </w:rPr>
        <w:t>..</w:t>
      </w:r>
      <w:proofErr w:type="gramEnd"/>
      <w:r w:rsidR="00FD73F6" w:rsidRPr="00003BB7">
        <w:rPr>
          <w:rFonts w:cstheme="minorHAnsi"/>
          <w:sz w:val="20"/>
          <w:szCs w:val="20"/>
        </w:rPr>
        <w:t>……………………</w:t>
      </w:r>
      <w:r w:rsidR="005F74E7" w:rsidRPr="00003BB7">
        <w:rPr>
          <w:rFonts w:cstheme="minorHAnsi"/>
          <w:sz w:val="20"/>
          <w:szCs w:val="20"/>
        </w:rPr>
        <w:t>……………………</w:t>
      </w:r>
      <w:r w:rsidR="00FD73F6" w:rsidRPr="00003BB7">
        <w:rPr>
          <w:rFonts w:cstheme="minorHAnsi"/>
          <w:sz w:val="20"/>
          <w:szCs w:val="20"/>
        </w:rPr>
        <w:t>………………………………………………………………………………</w:t>
      </w:r>
      <w:r w:rsidR="000A2DA4" w:rsidRPr="00003BB7">
        <w:rPr>
          <w:rFonts w:cstheme="minorHAnsi"/>
          <w:sz w:val="20"/>
          <w:szCs w:val="20"/>
        </w:rPr>
        <w:t>….</w:t>
      </w:r>
      <w:r w:rsidRPr="00003BB7">
        <w:rPr>
          <w:rFonts w:cstheme="minorHAnsi"/>
          <w:sz w:val="20"/>
          <w:szCs w:val="20"/>
        </w:rPr>
        <w:t>…</w:t>
      </w:r>
      <w:r w:rsidR="000B088B" w:rsidRPr="00003BB7">
        <w:rPr>
          <w:rFonts w:cstheme="minorHAnsi"/>
          <w:sz w:val="20"/>
          <w:szCs w:val="20"/>
        </w:rPr>
        <w:t>42</w:t>
      </w:r>
    </w:p>
    <w:p w14:paraId="0F107C50" w14:textId="77777777" w:rsidR="00C83CB2" w:rsidRPr="00003BB7" w:rsidRDefault="00C83CB2" w:rsidP="005F74E7">
      <w:pPr>
        <w:spacing w:after="0" w:line="240" w:lineRule="auto"/>
        <w:jc w:val="both"/>
        <w:rPr>
          <w:rFonts w:cstheme="minorHAnsi"/>
          <w:sz w:val="20"/>
          <w:szCs w:val="20"/>
        </w:rPr>
      </w:pPr>
    </w:p>
    <w:p w14:paraId="77851F69" w14:textId="5492F414" w:rsidR="004E3BDC" w:rsidRPr="00003BB7" w:rsidRDefault="004E3BDC" w:rsidP="005F74E7">
      <w:pPr>
        <w:spacing w:after="0" w:line="240" w:lineRule="auto"/>
        <w:jc w:val="both"/>
        <w:rPr>
          <w:rFonts w:cstheme="minorHAnsi"/>
          <w:sz w:val="20"/>
          <w:szCs w:val="20"/>
        </w:rPr>
      </w:pPr>
      <w:r w:rsidRPr="00003BB7">
        <w:rPr>
          <w:rFonts w:cstheme="minorHAnsi"/>
          <w:sz w:val="20"/>
          <w:szCs w:val="20"/>
        </w:rPr>
        <w:t>Figure 2.15: Average progressive iron removal profile with increasing depth from the surface</w:t>
      </w:r>
      <w:r w:rsidR="005F74E7" w:rsidRPr="00003BB7">
        <w:rPr>
          <w:rFonts w:cstheme="minorHAnsi"/>
          <w:sz w:val="20"/>
          <w:szCs w:val="20"/>
        </w:rPr>
        <w:t xml:space="preserve"> </w:t>
      </w:r>
      <w:r w:rsidRPr="00003BB7">
        <w:rPr>
          <w:rFonts w:cstheme="minorHAnsi"/>
          <w:sz w:val="20"/>
          <w:szCs w:val="20"/>
        </w:rPr>
        <w:t xml:space="preserve">of Section 1 of Cell 1 MRPTS (Cat1 sampling location; &lt;1.0 days of retention </w:t>
      </w:r>
      <w:r w:rsidR="000A2DA4" w:rsidRPr="00003BB7">
        <w:rPr>
          <w:rFonts w:cstheme="minorHAnsi"/>
          <w:sz w:val="20"/>
          <w:szCs w:val="20"/>
        </w:rPr>
        <w:t>time) ………………</w:t>
      </w:r>
      <w:r w:rsidR="005F74E7" w:rsidRPr="00003BB7">
        <w:rPr>
          <w:rFonts w:cstheme="minorHAnsi"/>
          <w:sz w:val="20"/>
          <w:szCs w:val="20"/>
        </w:rPr>
        <w:t>………………</w:t>
      </w:r>
      <w:proofErr w:type="gramStart"/>
      <w:r w:rsidR="005F74E7" w:rsidRPr="00003BB7">
        <w:rPr>
          <w:rFonts w:cstheme="minorHAnsi"/>
          <w:sz w:val="20"/>
          <w:szCs w:val="20"/>
        </w:rPr>
        <w:t>…..</w:t>
      </w:r>
      <w:proofErr w:type="gramEnd"/>
      <w:r w:rsidR="000A2DA4" w:rsidRPr="00003BB7">
        <w:rPr>
          <w:rFonts w:cstheme="minorHAnsi"/>
          <w:sz w:val="20"/>
          <w:szCs w:val="20"/>
        </w:rPr>
        <w:t>…</w:t>
      </w:r>
      <w:r w:rsidR="00FD73F6" w:rsidRPr="00003BB7">
        <w:rPr>
          <w:rFonts w:cstheme="minorHAnsi"/>
          <w:sz w:val="20"/>
          <w:szCs w:val="20"/>
        </w:rPr>
        <w:t>…</w:t>
      </w:r>
      <w:r w:rsidR="000A2DA4" w:rsidRPr="00003BB7">
        <w:rPr>
          <w:rFonts w:cstheme="minorHAnsi"/>
          <w:sz w:val="20"/>
          <w:szCs w:val="20"/>
        </w:rPr>
        <w:t>…</w:t>
      </w:r>
      <w:r w:rsidR="005F74E7" w:rsidRPr="00003BB7">
        <w:rPr>
          <w:rFonts w:cstheme="minorHAnsi"/>
          <w:sz w:val="20"/>
          <w:szCs w:val="20"/>
        </w:rPr>
        <w:t>……</w:t>
      </w:r>
      <w:r w:rsidR="000A2DA4" w:rsidRPr="00003BB7">
        <w:rPr>
          <w:rFonts w:cstheme="minorHAnsi"/>
          <w:sz w:val="20"/>
          <w:szCs w:val="20"/>
        </w:rPr>
        <w:t>.</w:t>
      </w:r>
      <w:r w:rsidRPr="00003BB7">
        <w:rPr>
          <w:rFonts w:cstheme="minorHAnsi"/>
          <w:sz w:val="20"/>
          <w:szCs w:val="20"/>
        </w:rPr>
        <w:t>…</w:t>
      </w:r>
      <w:r w:rsidR="000B088B" w:rsidRPr="00003BB7">
        <w:rPr>
          <w:rFonts w:cstheme="minorHAnsi"/>
          <w:sz w:val="20"/>
          <w:szCs w:val="20"/>
        </w:rPr>
        <w:t>43</w:t>
      </w:r>
    </w:p>
    <w:p w14:paraId="23360C33" w14:textId="77777777" w:rsidR="006B2AB2" w:rsidRPr="00003BB7" w:rsidRDefault="006B2AB2" w:rsidP="005F74E7">
      <w:pPr>
        <w:spacing w:after="0" w:line="240" w:lineRule="auto"/>
        <w:jc w:val="both"/>
        <w:rPr>
          <w:rFonts w:cstheme="minorHAnsi"/>
          <w:sz w:val="20"/>
          <w:szCs w:val="20"/>
        </w:rPr>
      </w:pPr>
    </w:p>
    <w:p w14:paraId="7F442EAA" w14:textId="03C7CDFD" w:rsidR="00C83CB2" w:rsidRPr="00003BB7" w:rsidRDefault="004E3BDC" w:rsidP="005F74E7">
      <w:pPr>
        <w:spacing w:after="0" w:line="240" w:lineRule="auto"/>
        <w:jc w:val="both"/>
        <w:rPr>
          <w:rFonts w:cstheme="minorHAnsi"/>
          <w:sz w:val="20"/>
          <w:szCs w:val="20"/>
        </w:rPr>
      </w:pPr>
      <w:r w:rsidRPr="00003BB7">
        <w:rPr>
          <w:rFonts w:cstheme="minorHAnsi"/>
          <w:sz w:val="20"/>
          <w:szCs w:val="20"/>
        </w:rPr>
        <w:t xml:space="preserve">Figure 2.16: Average progressive iron removal profile with increasing depth from the surface </w:t>
      </w:r>
    </w:p>
    <w:p w14:paraId="780EB42F" w14:textId="7EA5B36E" w:rsidR="004E3BDC" w:rsidRPr="00003BB7" w:rsidRDefault="004E3BDC" w:rsidP="005F74E7">
      <w:pPr>
        <w:spacing w:after="0" w:line="240" w:lineRule="auto"/>
        <w:jc w:val="both"/>
        <w:rPr>
          <w:rFonts w:cstheme="minorHAnsi"/>
          <w:sz w:val="20"/>
          <w:szCs w:val="20"/>
        </w:rPr>
      </w:pPr>
      <w:r w:rsidRPr="00003BB7">
        <w:rPr>
          <w:rFonts w:cstheme="minorHAnsi"/>
          <w:sz w:val="20"/>
          <w:szCs w:val="20"/>
        </w:rPr>
        <w:t xml:space="preserve">of Section 2 of Cell 1 MRPTS (Cat2 sampling location; 4.5 days of retention </w:t>
      </w:r>
      <w:r w:rsidR="000A2DA4" w:rsidRPr="00003BB7">
        <w:rPr>
          <w:rFonts w:cstheme="minorHAnsi"/>
          <w:sz w:val="20"/>
          <w:szCs w:val="20"/>
        </w:rPr>
        <w:t>time) …………………</w:t>
      </w:r>
      <w:r w:rsidR="00FD73F6" w:rsidRPr="00003BB7">
        <w:rPr>
          <w:rFonts w:cstheme="minorHAnsi"/>
          <w:sz w:val="20"/>
          <w:szCs w:val="20"/>
        </w:rPr>
        <w:t>……</w:t>
      </w:r>
      <w:r w:rsidR="000B088B" w:rsidRPr="00003BB7">
        <w:rPr>
          <w:rFonts w:cstheme="minorHAnsi"/>
          <w:sz w:val="20"/>
          <w:szCs w:val="20"/>
        </w:rPr>
        <w:t>.</w:t>
      </w:r>
      <w:r w:rsidR="00FD73F6" w:rsidRPr="00003BB7">
        <w:rPr>
          <w:rFonts w:cstheme="minorHAnsi"/>
          <w:sz w:val="20"/>
          <w:szCs w:val="20"/>
        </w:rPr>
        <w:t>…</w:t>
      </w:r>
      <w:r w:rsidR="005F74E7" w:rsidRPr="00003BB7">
        <w:rPr>
          <w:rFonts w:cstheme="minorHAnsi"/>
          <w:sz w:val="20"/>
          <w:szCs w:val="20"/>
        </w:rPr>
        <w:t>……</w:t>
      </w:r>
      <w:r w:rsidR="00FD73F6" w:rsidRPr="00003BB7">
        <w:rPr>
          <w:rFonts w:cstheme="minorHAnsi"/>
          <w:sz w:val="20"/>
          <w:szCs w:val="20"/>
        </w:rPr>
        <w:t>…</w:t>
      </w:r>
      <w:r w:rsidRPr="00003BB7">
        <w:rPr>
          <w:rFonts w:cstheme="minorHAnsi"/>
          <w:sz w:val="20"/>
          <w:szCs w:val="20"/>
        </w:rPr>
        <w:t>.</w:t>
      </w:r>
      <w:r w:rsidR="000B088B" w:rsidRPr="00003BB7">
        <w:rPr>
          <w:rFonts w:cstheme="minorHAnsi"/>
          <w:sz w:val="20"/>
          <w:szCs w:val="20"/>
        </w:rPr>
        <w:t>43</w:t>
      </w:r>
    </w:p>
    <w:p w14:paraId="01EC962B" w14:textId="77777777" w:rsidR="00C83CB2" w:rsidRPr="00003BB7" w:rsidRDefault="00C83CB2" w:rsidP="005F74E7">
      <w:pPr>
        <w:spacing w:after="0" w:line="240" w:lineRule="auto"/>
        <w:jc w:val="both"/>
        <w:rPr>
          <w:rFonts w:cstheme="minorHAnsi"/>
          <w:sz w:val="20"/>
          <w:szCs w:val="20"/>
        </w:rPr>
      </w:pPr>
    </w:p>
    <w:p w14:paraId="51AE0EBD" w14:textId="0EA020C6" w:rsidR="007B109C" w:rsidRPr="00003BB7" w:rsidRDefault="004E3BDC" w:rsidP="005F74E7">
      <w:pPr>
        <w:spacing w:after="0" w:line="240" w:lineRule="auto"/>
        <w:jc w:val="both"/>
        <w:rPr>
          <w:rFonts w:cstheme="minorHAnsi"/>
          <w:sz w:val="20"/>
          <w:szCs w:val="20"/>
        </w:rPr>
      </w:pPr>
      <w:r w:rsidRPr="00003BB7">
        <w:rPr>
          <w:rFonts w:cstheme="minorHAnsi"/>
          <w:sz w:val="20"/>
          <w:szCs w:val="20"/>
        </w:rPr>
        <w:t xml:space="preserve">Figure 2.17: Average progressive iron removal profile with increasing depth from the surface </w:t>
      </w:r>
      <w:r w:rsidR="00FD73F6" w:rsidRPr="00003BB7">
        <w:rPr>
          <w:rFonts w:cstheme="minorHAnsi"/>
          <w:sz w:val="20"/>
          <w:szCs w:val="20"/>
        </w:rPr>
        <w:br/>
      </w:r>
      <w:r w:rsidRPr="00003BB7">
        <w:rPr>
          <w:rFonts w:cstheme="minorHAnsi"/>
          <w:sz w:val="20"/>
          <w:szCs w:val="20"/>
        </w:rPr>
        <w:t xml:space="preserve">of Section 23 of Cell 1 MRPTS (Cat3 sampling location; 6.5 days of retention </w:t>
      </w:r>
      <w:r w:rsidR="000A2DA4" w:rsidRPr="00003BB7">
        <w:rPr>
          <w:rFonts w:cstheme="minorHAnsi"/>
          <w:sz w:val="20"/>
          <w:szCs w:val="20"/>
        </w:rPr>
        <w:t>time) …</w:t>
      </w:r>
      <w:r w:rsidRPr="00003BB7">
        <w:rPr>
          <w:rFonts w:cstheme="minorHAnsi"/>
          <w:sz w:val="20"/>
          <w:szCs w:val="20"/>
        </w:rPr>
        <w:t>…</w:t>
      </w:r>
      <w:r w:rsidR="000A2DA4" w:rsidRPr="00003BB7">
        <w:rPr>
          <w:rFonts w:cstheme="minorHAnsi"/>
          <w:sz w:val="20"/>
          <w:szCs w:val="20"/>
        </w:rPr>
        <w:t>……………</w:t>
      </w:r>
      <w:r w:rsidR="00FD73F6" w:rsidRPr="00003BB7">
        <w:rPr>
          <w:rFonts w:cstheme="minorHAnsi"/>
          <w:sz w:val="20"/>
          <w:szCs w:val="20"/>
        </w:rPr>
        <w:t>………</w:t>
      </w:r>
      <w:r w:rsidR="005F74E7" w:rsidRPr="00003BB7">
        <w:rPr>
          <w:rFonts w:cstheme="minorHAnsi"/>
          <w:sz w:val="20"/>
          <w:szCs w:val="20"/>
        </w:rPr>
        <w:t>……</w:t>
      </w:r>
      <w:r w:rsidR="00FD73F6" w:rsidRPr="00003BB7">
        <w:rPr>
          <w:rFonts w:cstheme="minorHAnsi"/>
          <w:sz w:val="20"/>
          <w:szCs w:val="20"/>
        </w:rPr>
        <w:t>.</w:t>
      </w:r>
      <w:r w:rsidRPr="00003BB7">
        <w:rPr>
          <w:rFonts w:cstheme="minorHAnsi"/>
          <w:sz w:val="20"/>
          <w:szCs w:val="20"/>
        </w:rPr>
        <w:t>..</w:t>
      </w:r>
      <w:r w:rsidR="000B088B" w:rsidRPr="00003BB7">
        <w:rPr>
          <w:rFonts w:cstheme="minorHAnsi"/>
          <w:sz w:val="20"/>
          <w:szCs w:val="20"/>
        </w:rPr>
        <w:t>44</w:t>
      </w:r>
    </w:p>
    <w:p w14:paraId="2E1DA1B6" w14:textId="77777777" w:rsidR="00C83CB2" w:rsidRPr="00003BB7" w:rsidRDefault="00C83CB2" w:rsidP="005F74E7">
      <w:pPr>
        <w:spacing w:after="0" w:line="240" w:lineRule="auto"/>
        <w:jc w:val="both"/>
        <w:rPr>
          <w:rFonts w:cstheme="minorHAnsi"/>
          <w:sz w:val="20"/>
          <w:szCs w:val="20"/>
        </w:rPr>
      </w:pPr>
    </w:p>
    <w:p w14:paraId="27D9E555" w14:textId="3B6C8C1A" w:rsidR="00871563" w:rsidRPr="00003BB7" w:rsidRDefault="00871563" w:rsidP="00871563">
      <w:pPr>
        <w:spacing w:line="240" w:lineRule="auto"/>
        <w:jc w:val="both"/>
        <w:rPr>
          <w:rFonts w:cstheme="minorHAnsi"/>
          <w:sz w:val="20"/>
          <w:szCs w:val="20"/>
        </w:rPr>
      </w:pPr>
      <w:r w:rsidRPr="00003BB7">
        <w:rPr>
          <w:rFonts w:cstheme="minorHAnsi"/>
          <w:sz w:val="20"/>
          <w:szCs w:val="20"/>
        </w:rPr>
        <w:t xml:space="preserve">Figure 3.1: </w:t>
      </w:r>
      <w:proofErr w:type="spellStart"/>
      <w:r w:rsidRPr="00003BB7">
        <w:rPr>
          <w:rFonts w:cstheme="minorHAnsi"/>
          <w:sz w:val="20"/>
          <w:szCs w:val="20"/>
        </w:rPr>
        <w:t>Autosampler</w:t>
      </w:r>
      <w:proofErr w:type="spellEnd"/>
      <w:r w:rsidRPr="00003BB7">
        <w:rPr>
          <w:rFonts w:cstheme="minorHAnsi"/>
          <w:sz w:val="20"/>
          <w:szCs w:val="20"/>
        </w:rPr>
        <w:t xml:space="preserve"> installation locations at the Mayer Ranch Passive Treatment System (Commerce, OK) including the preliminary oxidative units (dashed box-white) and the system effluent (C6</w:t>
      </w:r>
      <w:proofErr w:type="gramStart"/>
      <w:r w:rsidRPr="00003BB7">
        <w:rPr>
          <w:rFonts w:cstheme="minorHAnsi"/>
          <w:sz w:val="20"/>
          <w:szCs w:val="20"/>
        </w:rPr>
        <w:t>out)…</w:t>
      </w:r>
      <w:proofErr w:type="gramEnd"/>
      <w:r w:rsidRPr="00003BB7">
        <w:rPr>
          <w:rFonts w:cstheme="minorHAnsi"/>
          <w:sz w:val="20"/>
          <w:szCs w:val="20"/>
        </w:rPr>
        <w:t>…..…54</w:t>
      </w:r>
    </w:p>
    <w:p w14:paraId="6D3FC0F9" w14:textId="78C48BDF" w:rsidR="00871563" w:rsidRPr="00003BB7" w:rsidRDefault="00871563" w:rsidP="00871563">
      <w:pPr>
        <w:spacing w:after="200" w:line="240" w:lineRule="auto"/>
        <w:jc w:val="both"/>
        <w:rPr>
          <w:rFonts w:cstheme="minorHAnsi"/>
          <w:sz w:val="20"/>
          <w:szCs w:val="20"/>
        </w:rPr>
      </w:pPr>
      <w:r w:rsidRPr="00003BB7">
        <w:rPr>
          <w:rFonts w:cstheme="minorHAnsi"/>
          <w:sz w:val="20"/>
          <w:szCs w:val="20"/>
        </w:rPr>
        <w:t xml:space="preserve">Figure 3.2: Example of </w:t>
      </w:r>
      <w:proofErr w:type="spellStart"/>
      <w:r w:rsidRPr="00003BB7">
        <w:rPr>
          <w:rFonts w:cstheme="minorHAnsi"/>
          <w:sz w:val="20"/>
          <w:szCs w:val="20"/>
        </w:rPr>
        <w:t>Autosampler</w:t>
      </w:r>
      <w:proofErr w:type="spellEnd"/>
      <w:r w:rsidRPr="00003BB7">
        <w:rPr>
          <w:rFonts w:cstheme="minorHAnsi"/>
          <w:sz w:val="20"/>
          <w:szCs w:val="20"/>
        </w:rPr>
        <w:t xml:space="preserve"> installation featuring accessories: (1) Solar panel, (2) Solar regulator, (3) Sampling tubing, (4) In-line flow control structure (</w:t>
      </w:r>
      <w:proofErr w:type="spellStart"/>
      <w:r w:rsidRPr="00003BB7">
        <w:rPr>
          <w:rFonts w:cstheme="minorHAnsi"/>
          <w:sz w:val="20"/>
          <w:szCs w:val="20"/>
        </w:rPr>
        <w:t>Agri</w:t>
      </w:r>
      <w:proofErr w:type="spellEnd"/>
      <w:r w:rsidRPr="00003BB7">
        <w:rPr>
          <w:rFonts w:cstheme="minorHAnsi"/>
          <w:sz w:val="20"/>
          <w:szCs w:val="20"/>
        </w:rPr>
        <w:t xml:space="preserve"> Drain</w:t>
      </w:r>
      <w:r w:rsidRPr="00003BB7">
        <w:rPr>
          <w:rFonts w:cstheme="minorHAnsi"/>
          <w:sz w:val="20"/>
          <w:szCs w:val="20"/>
          <w:vertAlign w:val="superscript"/>
        </w:rPr>
        <w:t>®</w:t>
      </w:r>
      <w:r w:rsidRPr="00003BB7">
        <w:rPr>
          <w:rFonts w:cstheme="minorHAnsi"/>
          <w:sz w:val="20"/>
          <w:szCs w:val="20"/>
        </w:rPr>
        <w:t xml:space="preserve">), (5) </w:t>
      </w:r>
      <w:proofErr w:type="spellStart"/>
      <w:r w:rsidRPr="00003BB7">
        <w:rPr>
          <w:rFonts w:cstheme="minorHAnsi"/>
          <w:sz w:val="20"/>
          <w:szCs w:val="20"/>
        </w:rPr>
        <w:t>Autosampler</w:t>
      </w:r>
      <w:proofErr w:type="spellEnd"/>
      <w:r w:rsidRPr="00003BB7">
        <w:rPr>
          <w:rFonts w:cstheme="minorHAnsi"/>
          <w:sz w:val="20"/>
          <w:szCs w:val="20"/>
        </w:rPr>
        <w:t xml:space="preserve"> housing, (6) Rain gauge, (7) 900max portable sampler, (8) Solar rechargeable 12V-battery, and (9) 24-bottle collection array. (photos from installation location and The </w:t>
      </w:r>
      <w:proofErr w:type="spellStart"/>
      <w:r w:rsidRPr="00003BB7">
        <w:rPr>
          <w:rFonts w:cstheme="minorHAnsi"/>
          <w:sz w:val="20"/>
          <w:szCs w:val="20"/>
        </w:rPr>
        <w:t>Hach</w:t>
      </w:r>
      <w:proofErr w:type="spellEnd"/>
      <w:r w:rsidRPr="00003BB7">
        <w:rPr>
          <w:rFonts w:cstheme="minorHAnsi"/>
          <w:sz w:val="20"/>
          <w:szCs w:val="20"/>
        </w:rPr>
        <w:t xml:space="preserve"> Company) …………………………………………………</w:t>
      </w:r>
      <w:proofErr w:type="gramStart"/>
      <w:r w:rsidRPr="00003BB7">
        <w:rPr>
          <w:rFonts w:cstheme="minorHAnsi"/>
          <w:sz w:val="20"/>
          <w:szCs w:val="20"/>
        </w:rPr>
        <w:t>…..</w:t>
      </w:r>
      <w:proofErr w:type="gramEnd"/>
      <w:r w:rsidRPr="00003BB7">
        <w:rPr>
          <w:rFonts w:cstheme="minorHAnsi"/>
          <w:sz w:val="20"/>
          <w:szCs w:val="20"/>
        </w:rPr>
        <w:t>…55</w:t>
      </w:r>
    </w:p>
    <w:p w14:paraId="41DAFB28" w14:textId="237D336B" w:rsidR="00871563" w:rsidRPr="00003BB7" w:rsidRDefault="00871563" w:rsidP="00871563">
      <w:pPr>
        <w:spacing w:line="240" w:lineRule="auto"/>
        <w:jc w:val="both"/>
        <w:rPr>
          <w:rFonts w:cstheme="minorHAnsi"/>
          <w:sz w:val="20"/>
          <w:szCs w:val="20"/>
        </w:rPr>
      </w:pPr>
      <w:r w:rsidRPr="00003BB7">
        <w:rPr>
          <w:rFonts w:cstheme="minorHAnsi"/>
          <w:sz w:val="20"/>
          <w:szCs w:val="20"/>
        </w:rPr>
        <w:t>Figure 3.3: Monthly storm frequency distributions for Miami, OK from 2011-2013 indicate that there is an inconsistent distribution of storms from month to month, yet each month has at least two storm events…………………………………………………………………………………………………………………………………………………...59</w:t>
      </w:r>
    </w:p>
    <w:p w14:paraId="08E1FA30" w14:textId="77777777" w:rsidR="00871563" w:rsidRPr="00003BB7" w:rsidRDefault="00871563" w:rsidP="00871563">
      <w:pPr>
        <w:spacing w:line="240" w:lineRule="auto"/>
        <w:jc w:val="both"/>
        <w:rPr>
          <w:rFonts w:cstheme="minorHAnsi"/>
          <w:sz w:val="20"/>
          <w:szCs w:val="20"/>
        </w:rPr>
      </w:pPr>
      <w:r w:rsidRPr="00003BB7">
        <w:rPr>
          <w:rFonts w:cstheme="minorHAnsi"/>
          <w:sz w:val="20"/>
          <w:szCs w:val="20"/>
        </w:rPr>
        <w:t>Figure 3.4: Frequency of storm events classified based on maximum rainfall intensity for Miami, OK (2011-2013). Note that low intensity storms are more frequent than all other storm categories combined. ….60</w:t>
      </w:r>
    </w:p>
    <w:p w14:paraId="6047AFF1" w14:textId="164B49E7" w:rsidR="00871563" w:rsidRPr="00003BB7" w:rsidRDefault="00871563" w:rsidP="00871563">
      <w:pPr>
        <w:spacing w:line="240" w:lineRule="auto"/>
        <w:jc w:val="both"/>
        <w:rPr>
          <w:rFonts w:cstheme="minorHAnsi"/>
          <w:sz w:val="20"/>
          <w:szCs w:val="20"/>
        </w:rPr>
      </w:pPr>
      <w:r w:rsidRPr="00003BB7">
        <w:rPr>
          <w:rFonts w:cstheme="minorHAnsi"/>
          <w:sz w:val="20"/>
          <w:szCs w:val="20"/>
        </w:rPr>
        <w:t>Figure 3.5: Average monthly storm frequency distribution for 2011-2013 based on storm intensity classification………………………………………………………………………………………………………………………………………….60</w:t>
      </w:r>
    </w:p>
    <w:p w14:paraId="0487A252" w14:textId="77777777" w:rsidR="00871563" w:rsidRPr="00003BB7" w:rsidRDefault="00871563" w:rsidP="00871563">
      <w:pPr>
        <w:spacing w:line="240" w:lineRule="auto"/>
        <w:jc w:val="both"/>
        <w:rPr>
          <w:rFonts w:cstheme="minorHAnsi"/>
          <w:sz w:val="20"/>
          <w:szCs w:val="20"/>
        </w:rPr>
      </w:pPr>
      <w:r w:rsidRPr="00003BB7">
        <w:rPr>
          <w:rFonts w:cstheme="minorHAnsi"/>
          <w:sz w:val="20"/>
          <w:szCs w:val="20"/>
        </w:rPr>
        <w:t>Figure 3.6: Monthly distribution of precipitation yield for Miami, OK from 2011-2013………………………</w:t>
      </w:r>
      <w:proofErr w:type="gramStart"/>
      <w:r w:rsidRPr="00003BB7">
        <w:rPr>
          <w:rFonts w:cstheme="minorHAnsi"/>
          <w:sz w:val="20"/>
          <w:szCs w:val="20"/>
        </w:rPr>
        <w:t>…..</w:t>
      </w:r>
      <w:proofErr w:type="gramEnd"/>
      <w:r w:rsidRPr="00003BB7">
        <w:rPr>
          <w:rFonts w:cstheme="minorHAnsi"/>
          <w:sz w:val="20"/>
          <w:szCs w:val="20"/>
        </w:rPr>
        <w:t>61</w:t>
      </w:r>
    </w:p>
    <w:p w14:paraId="5B2F74C4" w14:textId="7768A4CF" w:rsidR="00871563" w:rsidRPr="00003BB7" w:rsidRDefault="00871563" w:rsidP="00871563">
      <w:pPr>
        <w:spacing w:line="240" w:lineRule="auto"/>
        <w:jc w:val="both"/>
        <w:rPr>
          <w:rFonts w:cstheme="minorHAnsi"/>
          <w:sz w:val="20"/>
          <w:szCs w:val="20"/>
        </w:rPr>
      </w:pPr>
      <w:r w:rsidRPr="00003BB7">
        <w:rPr>
          <w:rFonts w:cstheme="minorHAnsi"/>
          <w:sz w:val="20"/>
          <w:szCs w:val="20"/>
        </w:rPr>
        <w:t>Figure 3.7: Average precipitation yield distribution by month from 2011-2013 for Miami, OK………………61</w:t>
      </w:r>
    </w:p>
    <w:p w14:paraId="469F7B50" w14:textId="5151A756" w:rsidR="00871563" w:rsidRPr="00003BB7" w:rsidRDefault="00871563" w:rsidP="00871563">
      <w:pPr>
        <w:spacing w:line="240" w:lineRule="auto"/>
        <w:jc w:val="both"/>
        <w:rPr>
          <w:rFonts w:cstheme="minorHAnsi"/>
          <w:sz w:val="20"/>
          <w:szCs w:val="20"/>
        </w:rPr>
      </w:pPr>
      <w:r w:rsidRPr="00003BB7">
        <w:rPr>
          <w:rFonts w:cstheme="minorHAnsi"/>
          <w:sz w:val="20"/>
          <w:szCs w:val="20"/>
        </w:rPr>
        <w:t>Figure 3.8: Average storm induced iron transport profile for Cell 1……………………………………………………</w:t>
      </w:r>
      <w:proofErr w:type="gramStart"/>
      <w:r w:rsidRPr="00003BB7">
        <w:rPr>
          <w:rFonts w:cstheme="minorHAnsi"/>
          <w:sz w:val="20"/>
          <w:szCs w:val="20"/>
        </w:rPr>
        <w:t>…..</w:t>
      </w:r>
      <w:proofErr w:type="gramEnd"/>
      <w:r w:rsidRPr="00003BB7">
        <w:rPr>
          <w:rFonts w:cstheme="minorHAnsi"/>
          <w:sz w:val="20"/>
          <w:szCs w:val="20"/>
        </w:rPr>
        <w:t xml:space="preserve">67 </w:t>
      </w:r>
    </w:p>
    <w:p w14:paraId="6F4A8C6B" w14:textId="14D34921" w:rsidR="00871563" w:rsidRPr="00003BB7" w:rsidRDefault="00871563" w:rsidP="00871563">
      <w:pPr>
        <w:spacing w:line="240" w:lineRule="auto"/>
        <w:jc w:val="both"/>
        <w:rPr>
          <w:rFonts w:cstheme="minorHAnsi"/>
          <w:sz w:val="20"/>
          <w:szCs w:val="20"/>
        </w:rPr>
      </w:pPr>
      <w:r w:rsidRPr="00003BB7">
        <w:rPr>
          <w:rFonts w:cstheme="minorHAnsi"/>
          <w:sz w:val="20"/>
          <w:szCs w:val="20"/>
        </w:rPr>
        <w:t>Figure 3.9: Monthly storm induced iron transport distribution over the three-year period of the storm transport profile data collection………………………………………………………………………………………….……………</w:t>
      </w:r>
      <w:proofErr w:type="gramStart"/>
      <w:r w:rsidRPr="00003BB7">
        <w:rPr>
          <w:rFonts w:cstheme="minorHAnsi"/>
          <w:sz w:val="20"/>
          <w:szCs w:val="20"/>
        </w:rPr>
        <w:t>.....</w:t>
      </w:r>
      <w:proofErr w:type="gramEnd"/>
      <w:r w:rsidRPr="00003BB7">
        <w:rPr>
          <w:rFonts w:cstheme="minorHAnsi"/>
          <w:sz w:val="20"/>
          <w:szCs w:val="20"/>
        </w:rPr>
        <w:t>69</w:t>
      </w:r>
    </w:p>
    <w:p w14:paraId="19F9D557" w14:textId="42EE7B6D" w:rsidR="00871563" w:rsidRPr="00003BB7" w:rsidRDefault="00871563" w:rsidP="00871563">
      <w:pPr>
        <w:spacing w:line="240" w:lineRule="auto"/>
        <w:jc w:val="both"/>
        <w:rPr>
          <w:rFonts w:cstheme="minorHAnsi"/>
          <w:sz w:val="20"/>
          <w:szCs w:val="20"/>
        </w:rPr>
      </w:pPr>
      <w:r w:rsidRPr="00003BB7">
        <w:rPr>
          <w:rFonts w:cstheme="minorHAnsi"/>
          <w:sz w:val="20"/>
          <w:szCs w:val="20"/>
        </w:rPr>
        <w:t xml:space="preserve">Figure 3.10: Average seasonal iron export from Cell 1 of the MRPTS based on rainfall intensity (2011-2013) with error bars indicating standard deviation (n = </w:t>
      </w:r>
      <w:proofErr w:type="gramStart"/>
      <w:r w:rsidRPr="00003BB7">
        <w:rPr>
          <w:rFonts w:cstheme="minorHAnsi"/>
          <w:sz w:val="20"/>
          <w:szCs w:val="20"/>
        </w:rPr>
        <w:t>3)…</w:t>
      </w:r>
      <w:proofErr w:type="gramEnd"/>
      <w:r w:rsidRPr="00003BB7">
        <w:rPr>
          <w:rFonts w:cstheme="minorHAnsi"/>
          <w:sz w:val="20"/>
          <w:szCs w:val="20"/>
        </w:rPr>
        <w:t>………………………………..………………………………………...69</w:t>
      </w:r>
    </w:p>
    <w:p w14:paraId="207A36CF" w14:textId="0F0853CA" w:rsidR="00871563" w:rsidRPr="00003BB7" w:rsidRDefault="00871563" w:rsidP="00871563">
      <w:pPr>
        <w:spacing w:line="240" w:lineRule="auto"/>
        <w:jc w:val="both"/>
        <w:rPr>
          <w:rFonts w:cstheme="minorHAnsi"/>
          <w:sz w:val="20"/>
          <w:szCs w:val="20"/>
        </w:rPr>
      </w:pPr>
      <w:r w:rsidRPr="00003BB7">
        <w:rPr>
          <w:rFonts w:cstheme="minorHAnsi"/>
          <w:sz w:val="20"/>
          <w:szCs w:val="20"/>
        </w:rPr>
        <w:t xml:space="preserve">Figure 3.11: Average seasonal iron export from Cell 2NOut of the MRPTS based on rainfall intensity (2011-2013) with error bars indicating standard deviation (n = </w:t>
      </w:r>
      <w:proofErr w:type="gramStart"/>
      <w:r w:rsidRPr="00003BB7">
        <w:rPr>
          <w:rFonts w:cstheme="minorHAnsi"/>
          <w:sz w:val="20"/>
          <w:szCs w:val="20"/>
        </w:rPr>
        <w:t>3)…</w:t>
      </w:r>
      <w:proofErr w:type="gramEnd"/>
      <w:r w:rsidRPr="00003BB7">
        <w:rPr>
          <w:rFonts w:cstheme="minorHAnsi"/>
          <w:sz w:val="20"/>
          <w:szCs w:val="20"/>
        </w:rPr>
        <w:t>……………………………………………………………..….73</w:t>
      </w:r>
    </w:p>
    <w:p w14:paraId="0B9572A0" w14:textId="774FC79B" w:rsidR="00871563" w:rsidRPr="00003BB7" w:rsidRDefault="00871563" w:rsidP="00871563">
      <w:pPr>
        <w:spacing w:line="240" w:lineRule="auto"/>
        <w:jc w:val="both"/>
        <w:rPr>
          <w:rFonts w:cstheme="minorHAnsi"/>
          <w:sz w:val="20"/>
          <w:szCs w:val="20"/>
        </w:rPr>
      </w:pPr>
      <w:r w:rsidRPr="00003BB7">
        <w:rPr>
          <w:rFonts w:cstheme="minorHAnsi"/>
          <w:sz w:val="20"/>
          <w:szCs w:val="20"/>
        </w:rPr>
        <w:t xml:space="preserve">Figure 3.12: Average seasonal iron export from Cell 2NOut of the MRPTS based on rainfall intensity (2011-2013) with error bars indicating standard deviation (n = </w:t>
      </w:r>
      <w:proofErr w:type="gramStart"/>
      <w:r w:rsidRPr="00003BB7">
        <w:rPr>
          <w:rFonts w:cstheme="minorHAnsi"/>
          <w:sz w:val="20"/>
          <w:szCs w:val="20"/>
        </w:rPr>
        <w:t>3)…</w:t>
      </w:r>
      <w:proofErr w:type="gramEnd"/>
      <w:r w:rsidRPr="00003BB7">
        <w:rPr>
          <w:rFonts w:cstheme="minorHAnsi"/>
          <w:sz w:val="20"/>
          <w:szCs w:val="20"/>
        </w:rPr>
        <w:t>………………………………………………………………...74</w:t>
      </w:r>
    </w:p>
    <w:p w14:paraId="7F5B2C47" w14:textId="77777777" w:rsidR="00871563" w:rsidRPr="00003BB7" w:rsidRDefault="00871563" w:rsidP="00871563">
      <w:pPr>
        <w:spacing w:line="240" w:lineRule="auto"/>
        <w:jc w:val="both"/>
        <w:rPr>
          <w:rFonts w:cstheme="minorHAnsi"/>
          <w:sz w:val="20"/>
          <w:szCs w:val="20"/>
        </w:rPr>
      </w:pPr>
      <w:r w:rsidRPr="00003BB7">
        <w:rPr>
          <w:rFonts w:cstheme="minorHAnsi"/>
          <w:sz w:val="20"/>
          <w:szCs w:val="20"/>
        </w:rPr>
        <w:t>Figure 3.13: Monthly storm induced iron transport distribution over the three-year period of the storm transport profile data collection for Cell2N …….76</w:t>
      </w:r>
    </w:p>
    <w:p w14:paraId="67BE9CEC" w14:textId="2255FD77" w:rsidR="00871563" w:rsidRPr="00003BB7" w:rsidRDefault="00871563" w:rsidP="00871563">
      <w:pPr>
        <w:spacing w:line="240" w:lineRule="auto"/>
        <w:jc w:val="both"/>
        <w:rPr>
          <w:rFonts w:cstheme="minorHAnsi"/>
          <w:sz w:val="20"/>
          <w:szCs w:val="20"/>
        </w:rPr>
      </w:pPr>
      <w:r w:rsidRPr="00003BB7">
        <w:rPr>
          <w:rFonts w:cstheme="minorHAnsi"/>
          <w:sz w:val="20"/>
          <w:szCs w:val="20"/>
        </w:rPr>
        <w:t>Figure 3.14: Average seasonal iron export from Cell 2N of the MRPTS based on rainfall intensity (2011-2013) with error bars representing the standard deviation of the iron transport between individual events at each intensity…………………………………………………………………………………………………………………………………….77</w:t>
      </w:r>
    </w:p>
    <w:p w14:paraId="1696F0C3" w14:textId="2A19436E" w:rsidR="00871563" w:rsidRPr="00003BB7" w:rsidRDefault="00871563" w:rsidP="00871563">
      <w:pPr>
        <w:spacing w:line="240" w:lineRule="auto"/>
        <w:jc w:val="both"/>
        <w:rPr>
          <w:rFonts w:cstheme="minorHAnsi"/>
          <w:sz w:val="20"/>
          <w:szCs w:val="20"/>
        </w:rPr>
      </w:pPr>
      <w:r w:rsidRPr="00003BB7">
        <w:rPr>
          <w:rFonts w:cstheme="minorHAnsi"/>
          <w:sz w:val="20"/>
          <w:szCs w:val="20"/>
        </w:rPr>
        <w:t>Figure 3.15:  Monthly storm induced iron transport distribution over the three-year period of the storm transport profile data collection for C2SOut. ………………………………………………………………………………………...79</w:t>
      </w:r>
    </w:p>
    <w:p w14:paraId="379F3950" w14:textId="1CA09E02" w:rsidR="00871563" w:rsidRPr="00003BB7" w:rsidRDefault="00871563" w:rsidP="00871563">
      <w:pPr>
        <w:spacing w:line="240" w:lineRule="auto"/>
        <w:jc w:val="both"/>
        <w:rPr>
          <w:rFonts w:cstheme="minorHAnsi"/>
          <w:sz w:val="20"/>
          <w:szCs w:val="20"/>
        </w:rPr>
      </w:pPr>
      <w:r w:rsidRPr="00003BB7">
        <w:rPr>
          <w:rFonts w:cstheme="minorHAnsi"/>
          <w:sz w:val="20"/>
          <w:szCs w:val="20"/>
        </w:rPr>
        <w:t>Figure 3.16: Average seasonal iron export from Cell 2S of the MRPTS based on rainfall intensity (2011-2013) with standard deviation of average iron transport values for each intensity……………………………</w:t>
      </w:r>
      <w:proofErr w:type="gramStart"/>
      <w:r w:rsidRPr="00003BB7">
        <w:rPr>
          <w:rFonts w:cstheme="minorHAnsi"/>
          <w:sz w:val="20"/>
          <w:szCs w:val="20"/>
        </w:rPr>
        <w:t>…..</w:t>
      </w:r>
      <w:proofErr w:type="gramEnd"/>
      <w:r w:rsidRPr="00003BB7">
        <w:rPr>
          <w:rFonts w:cstheme="minorHAnsi"/>
          <w:sz w:val="20"/>
          <w:szCs w:val="20"/>
        </w:rPr>
        <w:t>80</w:t>
      </w:r>
    </w:p>
    <w:p w14:paraId="72668F0C" w14:textId="61031CF3" w:rsidR="00871563" w:rsidRPr="00003BB7" w:rsidRDefault="00871563" w:rsidP="00871563">
      <w:pPr>
        <w:spacing w:line="240" w:lineRule="auto"/>
        <w:jc w:val="both"/>
        <w:rPr>
          <w:rFonts w:cstheme="minorHAnsi"/>
          <w:sz w:val="20"/>
          <w:szCs w:val="20"/>
        </w:rPr>
      </w:pPr>
      <w:r w:rsidRPr="00003BB7">
        <w:rPr>
          <w:rFonts w:cstheme="minorHAnsi"/>
          <w:sz w:val="20"/>
          <w:szCs w:val="20"/>
        </w:rPr>
        <w:t>Figure 3.17: Monthly storm induced iron transport distribution over the three-year period of the storm transport profile data collection for Cell6 …………………………………………………………………………………………</w:t>
      </w:r>
      <w:proofErr w:type="gramStart"/>
      <w:r w:rsidRPr="00003BB7">
        <w:rPr>
          <w:rFonts w:cstheme="minorHAnsi"/>
          <w:sz w:val="20"/>
          <w:szCs w:val="20"/>
        </w:rPr>
        <w:t>…..</w:t>
      </w:r>
      <w:proofErr w:type="gramEnd"/>
      <w:r w:rsidRPr="00003BB7">
        <w:rPr>
          <w:rFonts w:cstheme="minorHAnsi"/>
          <w:sz w:val="20"/>
          <w:szCs w:val="20"/>
        </w:rPr>
        <w:t>84</w:t>
      </w:r>
    </w:p>
    <w:p w14:paraId="638AA928" w14:textId="0F9D9428" w:rsidR="00871563" w:rsidRPr="00003BB7" w:rsidRDefault="00871563" w:rsidP="00871563">
      <w:pPr>
        <w:spacing w:line="240" w:lineRule="auto"/>
        <w:jc w:val="both"/>
        <w:rPr>
          <w:rFonts w:cstheme="minorHAnsi"/>
          <w:sz w:val="20"/>
          <w:szCs w:val="20"/>
        </w:rPr>
      </w:pPr>
      <w:r w:rsidRPr="00003BB7">
        <w:rPr>
          <w:rFonts w:cstheme="minorHAnsi"/>
          <w:sz w:val="20"/>
          <w:szCs w:val="20"/>
        </w:rPr>
        <w:lastRenderedPageBreak/>
        <w:t>Figure 3.18: Average seasonal iron export from Cell6 of the MRPTS based on rainfall intensity (2011-2013) with error bars representing the standard deviation of the iron transport between individual events at each intensity……………………………………………………………………………………………………………………………………</w:t>
      </w:r>
      <w:proofErr w:type="gramStart"/>
      <w:r w:rsidRPr="00003BB7">
        <w:rPr>
          <w:rFonts w:cstheme="minorHAnsi"/>
          <w:sz w:val="20"/>
          <w:szCs w:val="20"/>
        </w:rPr>
        <w:t>…..</w:t>
      </w:r>
      <w:proofErr w:type="gramEnd"/>
      <w:r w:rsidRPr="00003BB7">
        <w:rPr>
          <w:rFonts w:cstheme="minorHAnsi"/>
          <w:sz w:val="20"/>
          <w:szCs w:val="20"/>
        </w:rPr>
        <w:t xml:space="preserve">85 </w:t>
      </w:r>
    </w:p>
    <w:p w14:paraId="59884FA7" w14:textId="17999E0A" w:rsidR="00871563" w:rsidRPr="00003BB7" w:rsidRDefault="00871563" w:rsidP="00871563">
      <w:pPr>
        <w:spacing w:line="240" w:lineRule="auto"/>
        <w:jc w:val="both"/>
        <w:rPr>
          <w:rFonts w:cstheme="minorHAnsi"/>
          <w:sz w:val="20"/>
          <w:szCs w:val="20"/>
        </w:rPr>
      </w:pPr>
      <w:r w:rsidRPr="00003BB7">
        <w:rPr>
          <w:rFonts w:cstheme="minorHAnsi"/>
          <w:sz w:val="20"/>
          <w:szCs w:val="20"/>
        </w:rPr>
        <w:t>Figure 3.19: Monthly storm induced iron transport distribution over the three-year period of the storm transport profile data collection for Cell6Out …………………………………………………………………………………….….88</w:t>
      </w:r>
    </w:p>
    <w:p w14:paraId="5D6497A0" w14:textId="7F5BF7AA" w:rsidR="00871563" w:rsidRPr="00003BB7" w:rsidRDefault="00871563" w:rsidP="00871563">
      <w:pPr>
        <w:spacing w:line="240" w:lineRule="auto"/>
        <w:jc w:val="both"/>
        <w:rPr>
          <w:rFonts w:cstheme="minorHAnsi"/>
          <w:sz w:val="20"/>
          <w:szCs w:val="20"/>
        </w:rPr>
      </w:pPr>
      <w:r w:rsidRPr="00003BB7">
        <w:rPr>
          <w:rFonts w:cstheme="minorHAnsi"/>
          <w:sz w:val="20"/>
          <w:szCs w:val="20"/>
        </w:rPr>
        <w:t>Figure 3.20: MRPTS Oxidative Unit 9/29/2011. Note the low vegetative coverage due to high water levels in Cell 2S in comparison to vegetated marsh section of Cell 2N. Iron floc mats are visible in all cells…</w:t>
      </w:r>
      <w:proofErr w:type="gramStart"/>
      <w:r w:rsidRPr="00003BB7">
        <w:rPr>
          <w:rFonts w:cstheme="minorHAnsi"/>
          <w:sz w:val="20"/>
          <w:szCs w:val="20"/>
        </w:rPr>
        <w:t>…..</w:t>
      </w:r>
      <w:proofErr w:type="gramEnd"/>
      <w:r w:rsidRPr="00003BB7">
        <w:rPr>
          <w:rFonts w:cstheme="minorHAnsi"/>
          <w:sz w:val="20"/>
          <w:szCs w:val="20"/>
        </w:rPr>
        <w:t>93</w:t>
      </w:r>
    </w:p>
    <w:p w14:paraId="7319BCAA" w14:textId="59971D70" w:rsidR="00C8706F" w:rsidRPr="00003BB7" w:rsidRDefault="00871563" w:rsidP="00871563">
      <w:pPr>
        <w:spacing w:line="240" w:lineRule="auto"/>
        <w:jc w:val="both"/>
        <w:rPr>
          <w:rFonts w:cstheme="minorHAnsi"/>
          <w:sz w:val="20"/>
          <w:szCs w:val="20"/>
        </w:rPr>
      </w:pPr>
      <w:r w:rsidRPr="00003BB7">
        <w:rPr>
          <w:rFonts w:cstheme="minorHAnsi"/>
          <w:sz w:val="20"/>
          <w:szCs w:val="20"/>
        </w:rPr>
        <w:t>Figure 3.21: Storm induced iron transport distribution over the MRPTS for 9/22/2011. 1.02 cm/</w:t>
      </w:r>
      <w:proofErr w:type="spellStart"/>
      <w:r w:rsidRPr="00003BB7">
        <w:rPr>
          <w:rFonts w:cstheme="minorHAnsi"/>
          <w:sz w:val="20"/>
          <w:szCs w:val="20"/>
        </w:rPr>
        <w:t>hr</w:t>
      </w:r>
      <w:proofErr w:type="spellEnd"/>
      <w:r w:rsidRPr="00003BB7">
        <w:rPr>
          <w:rFonts w:cstheme="minorHAnsi"/>
          <w:sz w:val="20"/>
          <w:szCs w:val="20"/>
        </w:rPr>
        <w:t xml:space="preserve"> maximum rainfall intensity, 7.25 hours duration, and 2.31 cm yield……………………………………………</w:t>
      </w:r>
      <w:proofErr w:type="gramStart"/>
      <w:r w:rsidRPr="00003BB7">
        <w:rPr>
          <w:rFonts w:cstheme="minorHAnsi"/>
          <w:sz w:val="20"/>
          <w:szCs w:val="20"/>
        </w:rPr>
        <w:t>…..</w:t>
      </w:r>
      <w:proofErr w:type="gramEnd"/>
      <w:r w:rsidRPr="00003BB7">
        <w:rPr>
          <w:rFonts w:cstheme="minorHAnsi"/>
          <w:sz w:val="20"/>
          <w:szCs w:val="20"/>
        </w:rPr>
        <w:t>…….94</w:t>
      </w:r>
    </w:p>
    <w:p w14:paraId="69E9F053" w14:textId="7ED0F9C1" w:rsidR="00C8706F" w:rsidRPr="00003BB7" w:rsidRDefault="00871563" w:rsidP="005F74E7">
      <w:pPr>
        <w:pStyle w:val="Heading3"/>
        <w:spacing w:before="0" w:line="240" w:lineRule="auto"/>
        <w:jc w:val="both"/>
        <w:rPr>
          <w:rFonts w:asciiTheme="minorHAnsi" w:hAnsiTheme="minorHAnsi" w:cstheme="minorHAnsi"/>
          <w:szCs w:val="20"/>
        </w:rPr>
      </w:pPr>
      <w:r w:rsidRPr="00003BB7">
        <w:rPr>
          <w:rFonts w:asciiTheme="minorHAnsi" w:hAnsiTheme="minorHAnsi" w:cstheme="minorHAnsi"/>
          <w:szCs w:val="20"/>
        </w:rPr>
        <w:t>Figure 4</w:t>
      </w:r>
      <w:r w:rsidR="00C8706F" w:rsidRPr="00003BB7">
        <w:rPr>
          <w:rFonts w:asciiTheme="minorHAnsi" w:hAnsiTheme="minorHAnsi" w:cstheme="minorHAnsi"/>
          <w:szCs w:val="20"/>
        </w:rPr>
        <w:t>.1: Sampling catamaran assembled with C-clamps to stabilize two canoes for core sampling</w:t>
      </w:r>
      <w:r w:rsidR="00C8706F" w:rsidRPr="00003BB7">
        <w:rPr>
          <w:rFonts w:asciiTheme="minorHAnsi" w:hAnsiTheme="minorHAnsi" w:cstheme="minorHAnsi"/>
          <w:szCs w:val="20"/>
        </w:rPr>
        <w:br/>
        <w:t xml:space="preserve"> of accumulated iron </w:t>
      </w:r>
      <w:proofErr w:type="spellStart"/>
      <w:r w:rsidR="00C8706F" w:rsidRPr="00003BB7">
        <w:rPr>
          <w:rFonts w:asciiTheme="minorHAnsi" w:hAnsiTheme="minorHAnsi" w:cstheme="minorHAnsi"/>
          <w:szCs w:val="20"/>
        </w:rPr>
        <w:t>oxyhydroxides</w:t>
      </w:r>
      <w:proofErr w:type="spellEnd"/>
      <w:r w:rsidR="00C8706F" w:rsidRPr="00003BB7">
        <w:rPr>
          <w:rFonts w:asciiTheme="minorHAnsi" w:hAnsiTheme="minorHAnsi" w:cstheme="minorHAnsi"/>
          <w:szCs w:val="20"/>
        </w:rPr>
        <w:t xml:space="preserve"> while minimizing disturbance of solids………………………………</w:t>
      </w:r>
      <w:r w:rsidR="005F74E7" w:rsidRPr="00003BB7">
        <w:rPr>
          <w:rFonts w:asciiTheme="minorHAnsi" w:hAnsiTheme="minorHAnsi" w:cstheme="minorHAnsi"/>
          <w:szCs w:val="20"/>
        </w:rPr>
        <w:t>..</w:t>
      </w:r>
      <w:r w:rsidR="00C8706F" w:rsidRPr="00003BB7">
        <w:rPr>
          <w:rFonts w:asciiTheme="minorHAnsi" w:hAnsiTheme="minorHAnsi" w:cstheme="minorHAnsi"/>
          <w:szCs w:val="20"/>
        </w:rPr>
        <w:t>……...</w:t>
      </w:r>
      <w:r w:rsidR="007F383F" w:rsidRPr="00003BB7">
        <w:rPr>
          <w:rFonts w:asciiTheme="minorHAnsi" w:hAnsiTheme="minorHAnsi" w:cstheme="minorHAnsi"/>
          <w:szCs w:val="20"/>
        </w:rPr>
        <w:t>.</w:t>
      </w:r>
      <w:r w:rsidR="00C02A42" w:rsidRPr="00003BB7">
        <w:rPr>
          <w:rFonts w:asciiTheme="minorHAnsi" w:hAnsiTheme="minorHAnsi" w:cstheme="minorHAnsi"/>
          <w:szCs w:val="20"/>
        </w:rPr>
        <w:t>104</w:t>
      </w:r>
      <w:r w:rsidR="00C8706F" w:rsidRPr="00003BB7">
        <w:rPr>
          <w:rFonts w:asciiTheme="minorHAnsi" w:hAnsiTheme="minorHAnsi" w:cstheme="minorHAnsi"/>
          <w:szCs w:val="20"/>
        </w:rPr>
        <w:br/>
      </w:r>
    </w:p>
    <w:p w14:paraId="1D67B206" w14:textId="2FECFF4C" w:rsidR="00C8706F" w:rsidRPr="00003BB7" w:rsidRDefault="00871563" w:rsidP="005F74E7">
      <w:pPr>
        <w:spacing w:after="0" w:line="240" w:lineRule="auto"/>
        <w:jc w:val="both"/>
        <w:rPr>
          <w:rFonts w:cstheme="minorHAnsi"/>
          <w:sz w:val="20"/>
          <w:szCs w:val="20"/>
        </w:rPr>
      </w:pPr>
      <w:r w:rsidRPr="00003BB7">
        <w:rPr>
          <w:rFonts w:cstheme="minorHAnsi"/>
          <w:sz w:val="20"/>
          <w:szCs w:val="20"/>
        </w:rPr>
        <w:t>Figure 4</w:t>
      </w:r>
      <w:r w:rsidR="00C8706F" w:rsidRPr="00003BB7">
        <w:rPr>
          <w:rFonts w:cstheme="minorHAnsi"/>
          <w:sz w:val="20"/>
          <w:szCs w:val="20"/>
        </w:rPr>
        <w:t>.2: MRPTS oxidative unit core sample locations. …………………………………………………………………….</w:t>
      </w:r>
      <w:r w:rsidR="00C02A42" w:rsidRPr="00003BB7">
        <w:rPr>
          <w:rFonts w:cstheme="minorHAnsi"/>
          <w:sz w:val="20"/>
          <w:szCs w:val="20"/>
        </w:rPr>
        <w:t>106</w:t>
      </w:r>
      <w:r w:rsidR="00352718" w:rsidRPr="00003BB7">
        <w:rPr>
          <w:rFonts w:cstheme="minorHAnsi"/>
          <w:sz w:val="20"/>
          <w:szCs w:val="20"/>
        </w:rPr>
        <w:br/>
      </w:r>
      <w:r w:rsidR="00352718" w:rsidRPr="00003BB7">
        <w:rPr>
          <w:rFonts w:cstheme="minorHAnsi"/>
          <w:sz w:val="20"/>
          <w:szCs w:val="20"/>
        </w:rPr>
        <w:br/>
      </w:r>
      <w:r w:rsidRPr="00003BB7">
        <w:rPr>
          <w:rFonts w:cstheme="minorHAnsi"/>
          <w:sz w:val="20"/>
          <w:szCs w:val="20"/>
        </w:rPr>
        <w:t>Figure 4</w:t>
      </w:r>
      <w:r w:rsidR="00C8706F" w:rsidRPr="00003BB7">
        <w:rPr>
          <w:rFonts w:cstheme="minorHAnsi"/>
          <w:sz w:val="20"/>
          <w:szCs w:val="20"/>
        </w:rPr>
        <w:t xml:space="preserve">.3: MRPTS oxidative unit core depths in centimeters from the bottom of the </w:t>
      </w:r>
      <w:r w:rsidR="00C8706F" w:rsidRPr="00003BB7">
        <w:rPr>
          <w:rFonts w:cstheme="minorHAnsi"/>
          <w:sz w:val="20"/>
          <w:szCs w:val="20"/>
        </w:rPr>
        <w:br/>
      </w:r>
      <w:r w:rsidR="00352718" w:rsidRPr="00003BB7">
        <w:rPr>
          <w:rFonts w:cstheme="minorHAnsi"/>
          <w:sz w:val="20"/>
          <w:szCs w:val="20"/>
        </w:rPr>
        <w:t>cell (clay liner). ………………………………………………………………………………………………………</w:t>
      </w:r>
      <w:r w:rsidR="005F74E7" w:rsidRPr="00003BB7">
        <w:rPr>
          <w:rFonts w:cstheme="minorHAnsi"/>
          <w:sz w:val="20"/>
          <w:szCs w:val="20"/>
        </w:rPr>
        <w:t>……</w:t>
      </w:r>
      <w:r w:rsidR="00352718" w:rsidRPr="00003BB7">
        <w:rPr>
          <w:rFonts w:cstheme="minorHAnsi"/>
          <w:sz w:val="20"/>
          <w:szCs w:val="20"/>
        </w:rPr>
        <w:t>……</w:t>
      </w:r>
      <w:r w:rsidR="005F74E7" w:rsidRPr="00003BB7">
        <w:rPr>
          <w:rFonts w:cstheme="minorHAnsi"/>
          <w:sz w:val="20"/>
          <w:szCs w:val="20"/>
        </w:rPr>
        <w:t>…………</w:t>
      </w:r>
      <w:r w:rsidR="00352718" w:rsidRPr="00003BB7">
        <w:rPr>
          <w:rFonts w:cstheme="minorHAnsi"/>
          <w:sz w:val="20"/>
          <w:szCs w:val="20"/>
        </w:rPr>
        <w:t>……….</w:t>
      </w:r>
      <w:r w:rsidR="00C02A42" w:rsidRPr="00003BB7">
        <w:rPr>
          <w:rFonts w:cstheme="minorHAnsi"/>
          <w:sz w:val="20"/>
          <w:szCs w:val="20"/>
        </w:rPr>
        <w:t>106</w:t>
      </w:r>
      <w:r w:rsidR="00352718" w:rsidRPr="00003BB7">
        <w:rPr>
          <w:rFonts w:cstheme="minorHAnsi"/>
          <w:sz w:val="20"/>
          <w:szCs w:val="20"/>
        </w:rPr>
        <w:br/>
      </w:r>
      <w:r w:rsidR="00352718" w:rsidRPr="00003BB7">
        <w:rPr>
          <w:rFonts w:cstheme="minorHAnsi"/>
          <w:sz w:val="20"/>
          <w:szCs w:val="20"/>
        </w:rPr>
        <w:br/>
      </w:r>
      <w:r w:rsidRPr="00003BB7">
        <w:rPr>
          <w:rFonts w:cstheme="minorHAnsi"/>
          <w:sz w:val="20"/>
          <w:szCs w:val="20"/>
        </w:rPr>
        <w:t>Figure 4</w:t>
      </w:r>
      <w:r w:rsidR="00C8706F" w:rsidRPr="00003BB7">
        <w:rPr>
          <w:rFonts w:cstheme="minorHAnsi"/>
          <w:sz w:val="20"/>
          <w:szCs w:val="20"/>
        </w:rPr>
        <w:t>.4: Preliminary iron oxide accumulation in Cell 1 of the MRPTS in 2014 measured</w:t>
      </w:r>
      <w:r w:rsidR="00C8706F" w:rsidRPr="00003BB7">
        <w:rPr>
          <w:rFonts w:cstheme="minorHAnsi"/>
          <w:sz w:val="20"/>
          <w:szCs w:val="20"/>
        </w:rPr>
        <w:br/>
        <w:t xml:space="preserve"> by replicate core samples collected from the stabilized cat</w:t>
      </w:r>
      <w:r w:rsidR="00352718" w:rsidRPr="00003BB7">
        <w:rPr>
          <w:rFonts w:cstheme="minorHAnsi"/>
          <w:sz w:val="20"/>
          <w:szCs w:val="20"/>
        </w:rPr>
        <w:t>walk sampling platforms (n=2)…</w:t>
      </w:r>
      <w:r w:rsidR="005F74E7" w:rsidRPr="00003BB7">
        <w:rPr>
          <w:rFonts w:cstheme="minorHAnsi"/>
          <w:sz w:val="20"/>
          <w:szCs w:val="20"/>
        </w:rPr>
        <w:t>………………</w:t>
      </w:r>
      <w:r w:rsidR="00C02A42" w:rsidRPr="00003BB7">
        <w:rPr>
          <w:rFonts w:cstheme="minorHAnsi"/>
          <w:sz w:val="20"/>
          <w:szCs w:val="20"/>
        </w:rPr>
        <w:t>107</w:t>
      </w:r>
      <w:r w:rsidR="00C8706F" w:rsidRPr="00003BB7">
        <w:rPr>
          <w:rFonts w:cstheme="minorHAnsi"/>
          <w:sz w:val="20"/>
          <w:szCs w:val="20"/>
        </w:rPr>
        <w:br/>
      </w:r>
      <w:r w:rsidR="00352718" w:rsidRPr="00003BB7">
        <w:rPr>
          <w:rFonts w:cstheme="minorHAnsi"/>
          <w:sz w:val="20"/>
          <w:szCs w:val="20"/>
        </w:rPr>
        <w:br/>
      </w:r>
      <w:r w:rsidRPr="00003BB7">
        <w:rPr>
          <w:rFonts w:cstheme="minorHAnsi"/>
          <w:sz w:val="20"/>
          <w:szCs w:val="20"/>
        </w:rPr>
        <w:t>Figure 4</w:t>
      </w:r>
      <w:r w:rsidR="00C8706F" w:rsidRPr="00003BB7">
        <w:rPr>
          <w:rFonts w:cstheme="minorHAnsi"/>
          <w:sz w:val="20"/>
          <w:szCs w:val="20"/>
        </w:rPr>
        <w:t xml:space="preserve">.5: Accumulated depth of iron oxides within Cell 1 with increasing distance from </w:t>
      </w:r>
      <w:r w:rsidR="00C8706F" w:rsidRPr="00003BB7">
        <w:rPr>
          <w:rFonts w:cstheme="minorHAnsi"/>
          <w:sz w:val="20"/>
          <w:szCs w:val="20"/>
        </w:rPr>
        <w:br/>
        <w:t>the average AMD seeps input</w:t>
      </w:r>
      <w:r w:rsidR="00352718" w:rsidRPr="00003BB7">
        <w:rPr>
          <w:rFonts w:cstheme="minorHAnsi"/>
          <w:sz w:val="20"/>
          <w:szCs w:val="20"/>
        </w:rPr>
        <w:t>……..</w:t>
      </w:r>
      <w:r w:rsidR="00C8706F" w:rsidRPr="00003BB7">
        <w:rPr>
          <w:rFonts w:cstheme="minorHAnsi"/>
          <w:sz w:val="20"/>
          <w:szCs w:val="20"/>
        </w:rPr>
        <w:t>……………………</w:t>
      </w:r>
      <w:r w:rsidR="00352718" w:rsidRPr="00003BB7">
        <w:rPr>
          <w:rFonts w:cstheme="minorHAnsi"/>
          <w:sz w:val="20"/>
          <w:szCs w:val="20"/>
        </w:rPr>
        <w:t>……………………..</w:t>
      </w:r>
      <w:r w:rsidR="00C8706F" w:rsidRPr="00003BB7">
        <w:rPr>
          <w:rFonts w:cstheme="minorHAnsi"/>
          <w:sz w:val="20"/>
          <w:szCs w:val="20"/>
        </w:rPr>
        <w:t>………………………………………...</w:t>
      </w:r>
      <w:r w:rsidR="005F74E7" w:rsidRPr="00003BB7">
        <w:rPr>
          <w:rFonts w:cstheme="minorHAnsi"/>
          <w:sz w:val="20"/>
          <w:szCs w:val="20"/>
        </w:rPr>
        <w:t>................</w:t>
      </w:r>
      <w:r w:rsidR="00C8706F" w:rsidRPr="00003BB7">
        <w:rPr>
          <w:rFonts w:cstheme="minorHAnsi"/>
          <w:sz w:val="20"/>
          <w:szCs w:val="20"/>
        </w:rPr>
        <w:t>..</w:t>
      </w:r>
      <w:r w:rsidR="00C02A42" w:rsidRPr="00003BB7">
        <w:rPr>
          <w:rFonts w:cstheme="minorHAnsi"/>
          <w:sz w:val="20"/>
          <w:szCs w:val="20"/>
        </w:rPr>
        <w:t>108</w:t>
      </w:r>
      <w:r w:rsidR="00C8706F" w:rsidRPr="00003BB7">
        <w:rPr>
          <w:rFonts w:cstheme="minorHAnsi"/>
          <w:sz w:val="20"/>
          <w:szCs w:val="20"/>
        </w:rPr>
        <w:br/>
      </w:r>
      <w:r w:rsidR="00352718" w:rsidRPr="00003BB7">
        <w:rPr>
          <w:rFonts w:cstheme="minorHAnsi"/>
          <w:sz w:val="20"/>
          <w:szCs w:val="20"/>
        </w:rPr>
        <w:br/>
      </w:r>
      <w:r w:rsidR="00C8706F" w:rsidRPr="00003BB7">
        <w:rPr>
          <w:rFonts w:cstheme="minorHAnsi"/>
          <w:sz w:val="20"/>
          <w:szCs w:val="20"/>
        </w:rPr>
        <w:t xml:space="preserve">Figure </w:t>
      </w:r>
      <w:r w:rsidRPr="00003BB7">
        <w:rPr>
          <w:rFonts w:cstheme="minorHAnsi"/>
          <w:sz w:val="20"/>
          <w:szCs w:val="20"/>
        </w:rPr>
        <w:t>4</w:t>
      </w:r>
      <w:r w:rsidR="00C8706F" w:rsidRPr="00003BB7">
        <w:rPr>
          <w:rFonts w:cstheme="minorHAnsi"/>
          <w:sz w:val="20"/>
          <w:szCs w:val="20"/>
        </w:rPr>
        <w:t xml:space="preserve">.6: Average iron accumulation via discrete core sampling of C2N and C2S based on </w:t>
      </w:r>
      <w:r w:rsidR="00C8706F" w:rsidRPr="00003BB7">
        <w:rPr>
          <w:rFonts w:cstheme="minorHAnsi"/>
          <w:sz w:val="20"/>
          <w:szCs w:val="20"/>
        </w:rPr>
        <w:br/>
        <w:t>the spatial distribution of material througho</w:t>
      </w:r>
      <w:r w:rsidR="00352718" w:rsidRPr="00003BB7">
        <w:rPr>
          <w:rFonts w:cstheme="minorHAnsi"/>
          <w:sz w:val="20"/>
          <w:szCs w:val="20"/>
        </w:rPr>
        <w:t>ut the pond: marsh: pond design……</w:t>
      </w:r>
      <w:r w:rsidR="00C8706F" w:rsidRPr="00003BB7">
        <w:rPr>
          <w:rFonts w:cstheme="minorHAnsi"/>
          <w:sz w:val="20"/>
          <w:szCs w:val="20"/>
        </w:rPr>
        <w:t>……………</w:t>
      </w:r>
      <w:r w:rsidR="005F74E7" w:rsidRPr="00003BB7">
        <w:rPr>
          <w:rFonts w:cstheme="minorHAnsi"/>
          <w:sz w:val="20"/>
          <w:szCs w:val="20"/>
        </w:rPr>
        <w:t>………………</w:t>
      </w:r>
      <w:r w:rsidR="00C8706F" w:rsidRPr="00003BB7">
        <w:rPr>
          <w:rFonts w:cstheme="minorHAnsi"/>
          <w:sz w:val="20"/>
          <w:szCs w:val="20"/>
        </w:rPr>
        <w:t>...</w:t>
      </w:r>
      <w:r w:rsidR="00C02A42" w:rsidRPr="00003BB7">
        <w:rPr>
          <w:rFonts w:cstheme="minorHAnsi"/>
          <w:sz w:val="20"/>
          <w:szCs w:val="20"/>
        </w:rPr>
        <w:t>109</w:t>
      </w:r>
      <w:r w:rsidR="00C8706F" w:rsidRPr="00003BB7">
        <w:rPr>
          <w:rFonts w:cstheme="minorHAnsi"/>
          <w:sz w:val="20"/>
          <w:szCs w:val="20"/>
        </w:rPr>
        <w:br/>
      </w:r>
      <w:r w:rsidR="00352718" w:rsidRPr="00003BB7">
        <w:rPr>
          <w:rFonts w:cstheme="minorHAnsi"/>
          <w:sz w:val="20"/>
          <w:szCs w:val="20"/>
        </w:rPr>
        <w:br/>
      </w:r>
      <w:r w:rsidRPr="00003BB7">
        <w:rPr>
          <w:rFonts w:cstheme="minorHAnsi"/>
          <w:sz w:val="20"/>
          <w:szCs w:val="20"/>
        </w:rPr>
        <w:t>Figure 4</w:t>
      </w:r>
      <w:r w:rsidR="00C8706F" w:rsidRPr="00003BB7">
        <w:rPr>
          <w:rFonts w:cstheme="minorHAnsi"/>
          <w:sz w:val="20"/>
          <w:szCs w:val="20"/>
        </w:rPr>
        <w:t xml:space="preserve">.7: Amorphous </w:t>
      </w:r>
      <w:proofErr w:type="spellStart"/>
      <w:r w:rsidR="00C8706F" w:rsidRPr="00003BB7">
        <w:rPr>
          <w:rFonts w:cstheme="minorHAnsi"/>
          <w:sz w:val="20"/>
          <w:szCs w:val="20"/>
        </w:rPr>
        <w:t>Ferrihydrite</w:t>
      </w:r>
      <w:proofErr w:type="spellEnd"/>
      <w:r w:rsidR="00C8706F" w:rsidRPr="00003BB7">
        <w:rPr>
          <w:rFonts w:cstheme="minorHAnsi"/>
          <w:sz w:val="20"/>
          <w:szCs w:val="20"/>
        </w:rPr>
        <w:t xml:space="preserve"> typical of Cell 1 and </w:t>
      </w:r>
      <w:r w:rsidR="00352718" w:rsidRPr="00003BB7">
        <w:rPr>
          <w:rFonts w:cstheme="minorHAnsi"/>
          <w:sz w:val="20"/>
          <w:szCs w:val="20"/>
        </w:rPr>
        <w:t>Cell 2N/2S top (newest) samples.</w:t>
      </w:r>
      <w:r w:rsidR="00C8706F" w:rsidRPr="00003BB7">
        <w:rPr>
          <w:rFonts w:cstheme="minorHAnsi"/>
          <w:sz w:val="20"/>
          <w:szCs w:val="20"/>
        </w:rPr>
        <w:t>.</w:t>
      </w:r>
      <w:r w:rsidR="007F383F" w:rsidRPr="00003BB7">
        <w:rPr>
          <w:rFonts w:cstheme="minorHAnsi"/>
          <w:sz w:val="20"/>
          <w:szCs w:val="20"/>
        </w:rPr>
        <w:t>.</w:t>
      </w:r>
      <w:r w:rsidR="005F74E7" w:rsidRPr="00003BB7">
        <w:rPr>
          <w:rFonts w:cstheme="minorHAnsi"/>
          <w:sz w:val="20"/>
          <w:szCs w:val="20"/>
        </w:rPr>
        <w:t>...................</w:t>
      </w:r>
      <w:r w:rsidR="007F383F" w:rsidRPr="00003BB7">
        <w:rPr>
          <w:rFonts w:cstheme="minorHAnsi"/>
          <w:sz w:val="20"/>
          <w:szCs w:val="20"/>
        </w:rPr>
        <w:t>.</w:t>
      </w:r>
      <w:r w:rsidR="00C02A42" w:rsidRPr="00003BB7">
        <w:rPr>
          <w:rFonts w:cstheme="minorHAnsi"/>
          <w:sz w:val="20"/>
          <w:szCs w:val="20"/>
        </w:rPr>
        <w:t>113</w:t>
      </w:r>
      <w:r w:rsidR="00C8706F" w:rsidRPr="00003BB7">
        <w:rPr>
          <w:rFonts w:cstheme="minorHAnsi"/>
          <w:sz w:val="20"/>
          <w:szCs w:val="20"/>
        </w:rPr>
        <w:br/>
      </w:r>
      <w:r w:rsidR="00352718" w:rsidRPr="00003BB7">
        <w:rPr>
          <w:rFonts w:cstheme="minorHAnsi"/>
          <w:sz w:val="20"/>
          <w:szCs w:val="20"/>
        </w:rPr>
        <w:br/>
      </w:r>
      <w:r w:rsidRPr="00003BB7">
        <w:rPr>
          <w:rFonts w:cstheme="minorHAnsi"/>
          <w:sz w:val="20"/>
          <w:szCs w:val="20"/>
        </w:rPr>
        <w:t>Figure 4</w:t>
      </w:r>
      <w:r w:rsidR="00C8706F" w:rsidRPr="00003BB7">
        <w:rPr>
          <w:rFonts w:cstheme="minorHAnsi"/>
          <w:sz w:val="20"/>
          <w:szCs w:val="20"/>
        </w:rPr>
        <w:t xml:space="preserve">.8:  Crystallization forming in older iron oxide materials collected from the bottom </w:t>
      </w:r>
      <w:r w:rsidR="00C8706F" w:rsidRPr="00003BB7">
        <w:rPr>
          <w:rFonts w:cstheme="minorHAnsi"/>
          <w:sz w:val="20"/>
          <w:szCs w:val="20"/>
        </w:rPr>
        <w:br/>
        <w:t>of the cores</w:t>
      </w:r>
      <w:r w:rsidR="00352718" w:rsidRPr="00003BB7">
        <w:rPr>
          <w:rFonts w:cstheme="minorHAnsi"/>
          <w:sz w:val="20"/>
          <w:szCs w:val="20"/>
        </w:rPr>
        <w:t>…………………………………………..</w:t>
      </w:r>
      <w:r w:rsidR="00C8706F" w:rsidRPr="00003BB7">
        <w:rPr>
          <w:rFonts w:cstheme="minorHAnsi"/>
          <w:sz w:val="20"/>
          <w:szCs w:val="20"/>
        </w:rPr>
        <w:t>……………</w:t>
      </w:r>
      <w:r w:rsidR="00352718" w:rsidRPr="00003BB7">
        <w:rPr>
          <w:rFonts w:cstheme="minorHAnsi"/>
          <w:sz w:val="20"/>
          <w:szCs w:val="20"/>
        </w:rPr>
        <w:t>………</w:t>
      </w:r>
      <w:r w:rsidR="005F74E7" w:rsidRPr="00003BB7">
        <w:rPr>
          <w:rFonts w:cstheme="minorHAnsi"/>
          <w:sz w:val="20"/>
          <w:szCs w:val="20"/>
        </w:rPr>
        <w:t>……………..</w:t>
      </w:r>
      <w:r w:rsidR="00352718" w:rsidRPr="00003BB7">
        <w:rPr>
          <w:rFonts w:cstheme="minorHAnsi"/>
          <w:sz w:val="20"/>
          <w:szCs w:val="20"/>
        </w:rPr>
        <w:t>………………</w:t>
      </w:r>
      <w:r w:rsidR="00C8706F" w:rsidRPr="00003BB7">
        <w:rPr>
          <w:rFonts w:cstheme="minorHAnsi"/>
          <w:sz w:val="20"/>
          <w:szCs w:val="20"/>
        </w:rPr>
        <w:t>…………………………………………</w:t>
      </w:r>
      <w:r w:rsidR="00C02A42" w:rsidRPr="00003BB7">
        <w:rPr>
          <w:rFonts w:cstheme="minorHAnsi"/>
          <w:sz w:val="20"/>
          <w:szCs w:val="20"/>
        </w:rPr>
        <w:t>113</w:t>
      </w:r>
      <w:r w:rsidR="00C8706F" w:rsidRPr="00003BB7">
        <w:rPr>
          <w:rFonts w:cstheme="minorHAnsi"/>
          <w:sz w:val="20"/>
          <w:szCs w:val="20"/>
        </w:rPr>
        <w:br/>
      </w:r>
    </w:p>
    <w:p w14:paraId="3BA5EC33" w14:textId="77059EF7" w:rsidR="00352718" w:rsidRPr="00003BB7" w:rsidRDefault="00871563" w:rsidP="005F74E7">
      <w:pPr>
        <w:pStyle w:val="Heading3"/>
        <w:spacing w:before="0" w:line="240" w:lineRule="auto"/>
        <w:jc w:val="both"/>
        <w:rPr>
          <w:rFonts w:asciiTheme="minorHAnsi" w:hAnsiTheme="minorHAnsi" w:cstheme="minorHAnsi"/>
          <w:szCs w:val="20"/>
        </w:rPr>
      </w:pPr>
      <w:r w:rsidRPr="00003BB7">
        <w:rPr>
          <w:rFonts w:asciiTheme="minorHAnsi" w:hAnsiTheme="minorHAnsi" w:cstheme="minorHAnsi"/>
          <w:szCs w:val="20"/>
        </w:rPr>
        <w:t>Figure 4</w:t>
      </w:r>
      <w:r w:rsidR="00C8706F" w:rsidRPr="00003BB7">
        <w:rPr>
          <w:rFonts w:asciiTheme="minorHAnsi" w:hAnsiTheme="minorHAnsi" w:cstheme="minorHAnsi"/>
          <w:szCs w:val="20"/>
        </w:rPr>
        <w:t>.9: Goethite crystallization observed in bottom (oldest samples) 7 years of accumulation…</w:t>
      </w:r>
      <w:r w:rsidR="005F74E7" w:rsidRPr="00003BB7">
        <w:rPr>
          <w:rFonts w:asciiTheme="minorHAnsi" w:hAnsiTheme="minorHAnsi" w:cstheme="minorHAnsi"/>
          <w:szCs w:val="20"/>
        </w:rPr>
        <w:t>…</w:t>
      </w:r>
      <w:proofErr w:type="gramStart"/>
      <w:r w:rsidR="00C8706F" w:rsidRPr="00003BB7">
        <w:rPr>
          <w:rFonts w:asciiTheme="minorHAnsi" w:hAnsiTheme="minorHAnsi" w:cstheme="minorHAnsi"/>
          <w:szCs w:val="20"/>
        </w:rPr>
        <w:t>…..</w:t>
      </w:r>
      <w:proofErr w:type="gramEnd"/>
      <w:r w:rsidR="00C02A42" w:rsidRPr="00003BB7">
        <w:rPr>
          <w:rFonts w:asciiTheme="minorHAnsi" w:hAnsiTheme="minorHAnsi" w:cstheme="minorHAnsi"/>
          <w:szCs w:val="20"/>
        </w:rPr>
        <w:t>114</w:t>
      </w:r>
    </w:p>
    <w:p w14:paraId="466BF26F" w14:textId="77777777" w:rsidR="005F74E7" w:rsidRPr="00003BB7" w:rsidRDefault="005F74E7" w:rsidP="005F74E7">
      <w:pPr>
        <w:spacing w:after="0" w:line="240" w:lineRule="auto"/>
        <w:jc w:val="both"/>
        <w:rPr>
          <w:rFonts w:cstheme="minorHAnsi"/>
          <w:sz w:val="20"/>
          <w:szCs w:val="20"/>
        </w:rPr>
      </w:pPr>
    </w:p>
    <w:p w14:paraId="6B869D51" w14:textId="5EACD1D0" w:rsidR="00C8706F" w:rsidRPr="00003BB7" w:rsidRDefault="00871563" w:rsidP="005F74E7">
      <w:pPr>
        <w:spacing w:after="0" w:line="240" w:lineRule="auto"/>
        <w:jc w:val="both"/>
        <w:rPr>
          <w:rFonts w:cstheme="minorHAnsi"/>
          <w:sz w:val="20"/>
          <w:szCs w:val="20"/>
        </w:rPr>
      </w:pPr>
      <w:r w:rsidRPr="00003BB7">
        <w:rPr>
          <w:rFonts w:cstheme="minorHAnsi"/>
          <w:sz w:val="20"/>
          <w:szCs w:val="20"/>
        </w:rPr>
        <w:t>Figure 4</w:t>
      </w:r>
      <w:r w:rsidR="00C8706F" w:rsidRPr="00003BB7">
        <w:rPr>
          <w:rFonts w:cstheme="minorHAnsi"/>
          <w:sz w:val="20"/>
          <w:szCs w:val="20"/>
        </w:rPr>
        <w:t xml:space="preserve">.10: Introduction of </w:t>
      </w:r>
      <w:proofErr w:type="spellStart"/>
      <w:r w:rsidR="00C8706F" w:rsidRPr="00003BB7">
        <w:rPr>
          <w:rFonts w:cstheme="minorHAnsi"/>
          <w:sz w:val="20"/>
          <w:szCs w:val="20"/>
        </w:rPr>
        <w:t>rhodamine</w:t>
      </w:r>
      <w:proofErr w:type="spellEnd"/>
      <w:r w:rsidR="00C8706F" w:rsidRPr="00003BB7">
        <w:rPr>
          <w:rFonts w:cstheme="minorHAnsi"/>
          <w:sz w:val="20"/>
          <w:szCs w:val="20"/>
        </w:rPr>
        <w:t xml:space="preserve"> tracer dye at Seep A of the MRPTS. ………………</w:t>
      </w:r>
      <w:r w:rsidR="005F74E7" w:rsidRPr="00003BB7">
        <w:rPr>
          <w:rFonts w:cstheme="minorHAnsi"/>
          <w:sz w:val="20"/>
          <w:szCs w:val="20"/>
        </w:rPr>
        <w:t>…</w:t>
      </w:r>
      <w:r w:rsidR="00C8706F" w:rsidRPr="00003BB7">
        <w:rPr>
          <w:rFonts w:cstheme="minorHAnsi"/>
          <w:sz w:val="20"/>
          <w:szCs w:val="20"/>
        </w:rPr>
        <w:t>……………</w:t>
      </w:r>
      <w:proofErr w:type="gramStart"/>
      <w:r w:rsidR="00C8706F" w:rsidRPr="00003BB7">
        <w:rPr>
          <w:rFonts w:cstheme="minorHAnsi"/>
          <w:sz w:val="20"/>
          <w:szCs w:val="20"/>
        </w:rPr>
        <w:t>…..</w:t>
      </w:r>
      <w:proofErr w:type="gramEnd"/>
      <w:r w:rsidR="007F383F" w:rsidRPr="00003BB7">
        <w:rPr>
          <w:rFonts w:cstheme="minorHAnsi"/>
          <w:sz w:val="20"/>
          <w:szCs w:val="20"/>
        </w:rPr>
        <w:t>…….</w:t>
      </w:r>
      <w:r w:rsidR="00C02A42" w:rsidRPr="00003BB7">
        <w:rPr>
          <w:rFonts w:cstheme="minorHAnsi"/>
          <w:sz w:val="20"/>
          <w:szCs w:val="20"/>
        </w:rPr>
        <w:t>118</w:t>
      </w:r>
    </w:p>
    <w:p w14:paraId="4CF05C15" w14:textId="77777777" w:rsidR="00352718" w:rsidRPr="00003BB7" w:rsidRDefault="00352718" w:rsidP="005F74E7">
      <w:pPr>
        <w:spacing w:after="0" w:line="240" w:lineRule="auto"/>
        <w:jc w:val="both"/>
        <w:rPr>
          <w:rFonts w:cstheme="minorHAnsi"/>
          <w:sz w:val="20"/>
          <w:szCs w:val="20"/>
        </w:rPr>
      </w:pPr>
    </w:p>
    <w:p w14:paraId="5DA605A7" w14:textId="1BB2E0B5" w:rsidR="00C83CB2" w:rsidRPr="00003BB7" w:rsidRDefault="00871563" w:rsidP="005F74E7">
      <w:pPr>
        <w:pStyle w:val="Heading3"/>
        <w:spacing w:line="240" w:lineRule="auto"/>
        <w:jc w:val="both"/>
        <w:rPr>
          <w:rFonts w:asciiTheme="minorHAnsi" w:hAnsiTheme="minorHAnsi" w:cstheme="minorHAnsi"/>
          <w:szCs w:val="20"/>
        </w:rPr>
      </w:pPr>
      <w:r w:rsidRPr="00003BB7">
        <w:rPr>
          <w:rFonts w:asciiTheme="minorHAnsi" w:hAnsiTheme="minorHAnsi" w:cstheme="minorHAnsi"/>
          <w:szCs w:val="20"/>
        </w:rPr>
        <w:t>Figure 4</w:t>
      </w:r>
      <w:r w:rsidR="00C8706F" w:rsidRPr="00003BB7">
        <w:rPr>
          <w:rFonts w:asciiTheme="minorHAnsi" w:hAnsiTheme="minorHAnsi" w:cstheme="minorHAnsi"/>
          <w:szCs w:val="20"/>
        </w:rPr>
        <w:t>.11: Tracer dye short circuiting into section 2 after introduction to the MRPTS……………</w:t>
      </w:r>
      <w:r w:rsidR="005F74E7" w:rsidRPr="00003BB7">
        <w:rPr>
          <w:rFonts w:asciiTheme="minorHAnsi" w:hAnsiTheme="minorHAnsi" w:cstheme="minorHAnsi"/>
          <w:szCs w:val="20"/>
        </w:rPr>
        <w:t>…</w:t>
      </w:r>
      <w:r w:rsidR="00C8706F" w:rsidRPr="00003BB7">
        <w:rPr>
          <w:rFonts w:asciiTheme="minorHAnsi" w:hAnsiTheme="minorHAnsi" w:cstheme="minorHAnsi"/>
          <w:szCs w:val="20"/>
        </w:rPr>
        <w:t>…………</w:t>
      </w:r>
      <w:r w:rsidR="00C02A42" w:rsidRPr="00003BB7">
        <w:rPr>
          <w:rFonts w:asciiTheme="minorHAnsi" w:hAnsiTheme="minorHAnsi" w:cstheme="minorHAnsi"/>
          <w:szCs w:val="20"/>
        </w:rPr>
        <w:t>118</w:t>
      </w:r>
      <w:r w:rsidR="00C8706F" w:rsidRPr="00003BB7">
        <w:rPr>
          <w:rFonts w:asciiTheme="minorHAnsi" w:hAnsiTheme="minorHAnsi" w:cstheme="minorHAnsi"/>
          <w:szCs w:val="20"/>
        </w:rPr>
        <w:br/>
      </w:r>
    </w:p>
    <w:p w14:paraId="1DEACF9C" w14:textId="181D13A2" w:rsidR="00C8706F" w:rsidRPr="00003BB7" w:rsidRDefault="00871563" w:rsidP="005F74E7">
      <w:pPr>
        <w:pStyle w:val="Heading3"/>
        <w:spacing w:line="240" w:lineRule="auto"/>
        <w:jc w:val="both"/>
        <w:rPr>
          <w:rFonts w:asciiTheme="minorHAnsi" w:hAnsiTheme="minorHAnsi" w:cstheme="minorHAnsi"/>
          <w:szCs w:val="20"/>
        </w:rPr>
      </w:pPr>
      <w:r w:rsidRPr="00003BB7">
        <w:rPr>
          <w:rFonts w:asciiTheme="minorHAnsi" w:hAnsiTheme="minorHAnsi" w:cstheme="minorHAnsi"/>
          <w:szCs w:val="20"/>
        </w:rPr>
        <w:t>Figure 4</w:t>
      </w:r>
      <w:r w:rsidR="00C8706F" w:rsidRPr="00003BB7">
        <w:rPr>
          <w:rFonts w:asciiTheme="minorHAnsi" w:hAnsiTheme="minorHAnsi" w:cstheme="minorHAnsi"/>
          <w:szCs w:val="20"/>
        </w:rPr>
        <w:t>.1</w:t>
      </w:r>
      <w:r w:rsidR="00C83CB2" w:rsidRPr="00003BB7">
        <w:rPr>
          <w:rFonts w:asciiTheme="minorHAnsi" w:hAnsiTheme="minorHAnsi" w:cstheme="minorHAnsi"/>
          <w:szCs w:val="20"/>
        </w:rPr>
        <w:t>2</w:t>
      </w:r>
      <w:r w:rsidR="00C8706F" w:rsidRPr="00003BB7">
        <w:rPr>
          <w:rFonts w:asciiTheme="minorHAnsi" w:hAnsiTheme="minorHAnsi" w:cstheme="minorHAnsi"/>
          <w:szCs w:val="20"/>
        </w:rPr>
        <w:t xml:space="preserve">: Qualitative evidence of </w:t>
      </w:r>
      <w:proofErr w:type="spellStart"/>
      <w:r w:rsidR="00C8706F" w:rsidRPr="00003BB7">
        <w:rPr>
          <w:rFonts w:asciiTheme="minorHAnsi" w:hAnsiTheme="minorHAnsi" w:cstheme="minorHAnsi"/>
          <w:szCs w:val="20"/>
        </w:rPr>
        <w:t>rhodamine</w:t>
      </w:r>
      <w:proofErr w:type="spellEnd"/>
      <w:r w:rsidR="00C8706F" w:rsidRPr="00003BB7">
        <w:rPr>
          <w:rFonts w:asciiTheme="minorHAnsi" w:hAnsiTheme="minorHAnsi" w:cstheme="minorHAnsi"/>
          <w:szCs w:val="20"/>
        </w:rPr>
        <w:t xml:space="preserve"> spread through cell 1 (Cat 2: Section 2 of Cell </w:t>
      </w:r>
      <w:proofErr w:type="gramStart"/>
      <w:r w:rsidR="00C8706F" w:rsidRPr="00003BB7">
        <w:rPr>
          <w:rFonts w:asciiTheme="minorHAnsi" w:hAnsiTheme="minorHAnsi" w:cstheme="minorHAnsi"/>
          <w:szCs w:val="20"/>
        </w:rPr>
        <w:t>1)…</w:t>
      </w:r>
      <w:proofErr w:type="gramEnd"/>
      <w:r w:rsidR="00C8706F" w:rsidRPr="00003BB7">
        <w:rPr>
          <w:rFonts w:asciiTheme="minorHAnsi" w:hAnsiTheme="minorHAnsi" w:cstheme="minorHAnsi"/>
          <w:szCs w:val="20"/>
        </w:rPr>
        <w:t>…</w:t>
      </w:r>
      <w:r w:rsidR="005F74E7" w:rsidRPr="00003BB7">
        <w:rPr>
          <w:rFonts w:asciiTheme="minorHAnsi" w:hAnsiTheme="minorHAnsi" w:cstheme="minorHAnsi"/>
          <w:szCs w:val="20"/>
        </w:rPr>
        <w:t>…</w:t>
      </w:r>
      <w:r w:rsidR="00C8706F" w:rsidRPr="00003BB7">
        <w:rPr>
          <w:rFonts w:asciiTheme="minorHAnsi" w:hAnsiTheme="minorHAnsi" w:cstheme="minorHAnsi"/>
          <w:szCs w:val="20"/>
        </w:rPr>
        <w:t>…</w:t>
      </w:r>
      <w:r w:rsidR="006B2AB2" w:rsidRPr="00003BB7">
        <w:rPr>
          <w:rFonts w:asciiTheme="minorHAnsi" w:hAnsiTheme="minorHAnsi" w:cstheme="minorHAnsi"/>
          <w:szCs w:val="20"/>
        </w:rPr>
        <w:t>.</w:t>
      </w:r>
      <w:r w:rsidR="00C02A42" w:rsidRPr="00003BB7">
        <w:rPr>
          <w:rFonts w:asciiTheme="minorHAnsi" w:hAnsiTheme="minorHAnsi" w:cstheme="minorHAnsi"/>
          <w:szCs w:val="20"/>
        </w:rPr>
        <w:t>119</w:t>
      </w:r>
    </w:p>
    <w:p w14:paraId="542B54A2" w14:textId="5D1A6889" w:rsidR="00C8706F" w:rsidRPr="00003BB7" w:rsidRDefault="00871563" w:rsidP="005F74E7">
      <w:pPr>
        <w:spacing w:before="100" w:beforeAutospacing="1" w:after="100" w:afterAutospacing="1" w:line="240" w:lineRule="auto"/>
        <w:jc w:val="both"/>
        <w:rPr>
          <w:rFonts w:cstheme="minorHAnsi"/>
          <w:sz w:val="20"/>
          <w:szCs w:val="20"/>
        </w:rPr>
      </w:pPr>
      <w:r w:rsidRPr="00003BB7">
        <w:rPr>
          <w:rFonts w:cstheme="minorHAnsi"/>
          <w:sz w:val="20"/>
          <w:szCs w:val="20"/>
        </w:rPr>
        <w:t>Figure 4</w:t>
      </w:r>
      <w:r w:rsidR="00C8706F" w:rsidRPr="00003BB7">
        <w:rPr>
          <w:rFonts w:cstheme="minorHAnsi"/>
          <w:sz w:val="20"/>
          <w:szCs w:val="20"/>
        </w:rPr>
        <w:t>.1</w:t>
      </w:r>
      <w:r w:rsidR="00C83CB2" w:rsidRPr="00003BB7">
        <w:rPr>
          <w:rFonts w:cstheme="minorHAnsi"/>
          <w:sz w:val="20"/>
          <w:szCs w:val="20"/>
        </w:rPr>
        <w:t>3</w:t>
      </w:r>
      <w:r w:rsidR="00C8706F" w:rsidRPr="00003BB7">
        <w:rPr>
          <w:rFonts w:cstheme="minorHAnsi"/>
          <w:sz w:val="20"/>
          <w:szCs w:val="20"/>
        </w:rPr>
        <w:t xml:space="preserve">: </w:t>
      </w:r>
      <w:proofErr w:type="spellStart"/>
      <w:r w:rsidR="00C8706F" w:rsidRPr="00003BB7">
        <w:rPr>
          <w:rFonts w:cstheme="minorHAnsi"/>
          <w:sz w:val="20"/>
          <w:szCs w:val="20"/>
        </w:rPr>
        <w:t>Rhodamine</w:t>
      </w:r>
      <w:proofErr w:type="spellEnd"/>
      <w:r w:rsidR="00C8706F" w:rsidRPr="00003BB7">
        <w:rPr>
          <w:rFonts w:cstheme="minorHAnsi"/>
          <w:sz w:val="20"/>
          <w:szCs w:val="20"/>
        </w:rPr>
        <w:t xml:space="preserve"> transport profile at C1Out (Cell 1 Effluent November </w:t>
      </w:r>
      <w:proofErr w:type="gramStart"/>
      <w:r w:rsidR="00C8706F" w:rsidRPr="00003BB7">
        <w:rPr>
          <w:rFonts w:cstheme="minorHAnsi"/>
          <w:sz w:val="20"/>
          <w:szCs w:val="20"/>
        </w:rPr>
        <w:t>2015)…</w:t>
      </w:r>
      <w:proofErr w:type="gramEnd"/>
      <w:r w:rsidR="00C8706F" w:rsidRPr="00003BB7">
        <w:rPr>
          <w:rFonts w:cstheme="minorHAnsi"/>
          <w:sz w:val="20"/>
          <w:szCs w:val="20"/>
        </w:rPr>
        <w:t>……</w:t>
      </w:r>
      <w:r w:rsidR="005F74E7" w:rsidRPr="00003BB7">
        <w:rPr>
          <w:rFonts w:cstheme="minorHAnsi"/>
          <w:sz w:val="20"/>
          <w:szCs w:val="20"/>
        </w:rPr>
        <w:t>…</w:t>
      </w:r>
      <w:r w:rsidR="00C8706F" w:rsidRPr="00003BB7">
        <w:rPr>
          <w:rFonts w:cstheme="minorHAnsi"/>
          <w:sz w:val="20"/>
          <w:szCs w:val="20"/>
        </w:rPr>
        <w:t>…………………</w:t>
      </w:r>
      <w:r w:rsidR="00C02A42" w:rsidRPr="00003BB7">
        <w:rPr>
          <w:rFonts w:cstheme="minorHAnsi"/>
          <w:sz w:val="20"/>
          <w:szCs w:val="20"/>
        </w:rPr>
        <w:t>120</w:t>
      </w:r>
    </w:p>
    <w:p w14:paraId="1D5AB733" w14:textId="7901CECB" w:rsidR="00C8706F" w:rsidRPr="00003BB7" w:rsidRDefault="00C8706F" w:rsidP="005F74E7">
      <w:pPr>
        <w:spacing w:line="240" w:lineRule="auto"/>
        <w:jc w:val="both"/>
        <w:rPr>
          <w:rFonts w:cstheme="minorHAnsi"/>
          <w:sz w:val="20"/>
          <w:szCs w:val="20"/>
        </w:rPr>
      </w:pPr>
      <w:r w:rsidRPr="00003BB7">
        <w:rPr>
          <w:rFonts w:cstheme="minorHAnsi"/>
          <w:sz w:val="20"/>
          <w:szCs w:val="20"/>
        </w:rPr>
        <w:t xml:space="preserve">Figure </w:t>
      </w:r>
      <w:r w:rsidR="00871563" w:rsidRPr="00003BB7">
        <w:rPr>
          <w:rFonts w:cstheme="minorHAnsi"/>
          <w:sz w:val="20"/>
          <w:szCs w:val="20"/>
        </w:rPr>
        <w:t>4</w:t>
      </w:r>
      <w:r w:rsidRPr="00003BB7">
        <w:rPr>
          <w:rFonts w:cstheme="minorHAnsi"/>
          <w:sz w:val="20"/>
          <w:szCs w:val="20"/>
        </w:rPr>
        <w:t>.1</w:t>
      </w:r>
      <w:r w:rsidR="00C83CB2" w:rsidRPr="00003BB7">
        <w:rPr>
          <w:rFonts w:cstheme="minorHAnsi"/>
          <w:sz w:val="20"/>
          <w:szCs w:val="20"/>
        </w:rPr>
        <w:t>4</w:t>
      </w:r>
      <w:r w:rsidRPr="00003BB7">
        <w:rPr>
          <w:rFonts w:cstheme="minorHAnsi"/>
          <w:sz w:val="20"/>
          <w:szCs w:val="20"/>
        </w:rPr>
        <w:t xml:space="preserve">: </w:t>
      </w:r>
      <w:proofErr w:type="spellStart"/>
      <w:r w:rsidRPr="00003BB7">
        <w:rPr>
          <w:rFonts w:cstheme="minorHAnsi"/>
          <w:sz w:val="20"/>
          <w:szCs w:val="20"/>
        </w:rPr>
        <w:t>Rhodamine</w:t>
      </w:r>
      <w:proofErr w:type="spellEnd"/>
      <w:r w:rsidRPr="00003BB7">
        <w:rPr>
          <w:rFonts w:cstheme="minorHAnsi"/>
          <w:sz w:val="20"/>
          <w:szCs w:val="20"/>
        </w:rPr>
        <w:t xml:space="preserve"> dye detected the Surface Flow Wetlands. Comparative water levels </w:t>
      </w:r>
      <w:r w:rsidRPr="00003BB7">
        <w:rPr>
          <w:rFonts w:cstheme="minorHAnsi"/>
          <w:sz w:val="20"/>
          <w:szCs w:val="20"/>
        </w:rPr>
        <w:br/>
        <w:t>between the Cell 2 and Cell 3 before 3” rain event. ………………………………………………………</w:t>
      </w:r>
      <w:r w:rsidR="005F74E7" w:rsidRPr="00003BB7">
        <w:rPr>
          <w:rFonts w:cstheme="minorHAnsi"/>
          <w:sz w:val="20"/>
          <w:szCs w:val="20"/>
        </w:rPr>
        <w:t>…</w:t>
      </w:r>
      <w:r w:rsidRPr="00003BB7">
        <w:rPr>
          <w:rFonts w:cstheme="minorHAnsi"/>
          <w:sz w:val="20"/>
          <w:szCs w:val="20"/>
        </w:rPr>
        <w:t>……………………</w:t>
      </w:r>
      <w:r w:rsidR="00C02A42" w:rsidRPr="00003BB7">
        <w:rPr>
          <w:rFonts w:cstheme="minorHAnsi"/>
          <w:sz w:val="20"/>
          <w:szCs w:val="20"/>
        </w:rPr>
        <w:t>121</w:t>
      </w:r>
    </w:p>
    <w:p w14:paraId="3C32EC08" w14:textId="1BFEF546" w:rsidR="00C8706F" w:rsidRPr="00003BB7" w:rsidRDefault="00C83CB2" w:rsidP="005F74E7">
      <w:pPr>
        <w:spacing w:line="240" w:lineRule="auto"/>
        <w:jc w:val="both"/>
        <w:rPr>
          <w:rFonts w:cstheme="minorHAnsi"/>
          <w:sz w:val="20"/>
          <w:szCs w:val="20"/>
        </w:rPr>
      </w:pPr>
      <w:r w:rsidRPr="00003BB7">
        <w:rPr>
          <w:rStyle w:val="Heading3Char"/>
          <w:rFonts w:asciiTheme="minorHAnsi" w:hAnsiTheme="minorHAnsi" w:cstheme="minorHAnsi"/>
          <w:szCs w:val="20"/>
        </w:rPr>
        <w:t xml:space="preserve">Figure </w:t>
      </w:r>
      <w:r w:rsidR="00871563" w:rsidRPr="00003BB7">
        <w:rPr>
          <w:rStyle w:val="Heading3Char"/>
          <w:rFonts w:asciiTheme="minorHAnsi" w:hAnsiTheme="minorHAnsi" w:cstheme="minorHAnsi"/>
          <w:szCs w:val="20"/>
        </w:rPr>
        <w:t>4</w:t>
      </w:r>
      <w:r w:rsidRPr="00003BB7">
        <w:rPr>
          <w:rStyle w:val="Heading3Char"/>
          <w:rFonts w:asciiTheme="minorHAnsi" w:hAnsiTheme="minorHAnsi" w:cstheme="minorHAnsi"/>
          <w:szCs w:val="20"/>
        </w:rPr>
        <w:t>.15</w:t>
      </w:r>
      <w:r w:rsidR="00C8706F" w:rsidRPr="00003BB7">
        <w:rPr>
          <w:rStyle w:val="Heading3Char"/>
          <w:rFonts w:asciiTheme="minorHAnsi" w:hAnsiTheme="minorHAnsi" w:cstheme="minorHAnsi"/>
          <w:szCs w:val="20"/>
        </w:rPr>
        <w:t xml:space="preserve">: Comparison of C2N (Blue) and C2S (Orange) </w:t>
      </w:r>
      <w:proofErr w:type="spellStart"/>
      <w:r w:rsidR="00C8706F" w:rsidRPr="00003BB7">
        <w:rPr>
          <w:rStyle w:val="Heading3Char"/>
          <w:rFonts w:asciiTheme="minorHAnsi" w:hAnsiTheme="minorHAnsi" w:cstheme="minorHAnsi"/>
          <w:szCs w:val="20"/>
        </w:rPr>
        <w:t>rhodamine</w:t>
      </w:r>
      <w:proofErr w:type="spellEnd"/>
      <w:r w:rsidR="00C8706F" w:rsidRPr="00003BB7">
        <w:rPr>
          <w:rStyle w:val="Heading3Char"/>
          <w:rFonts w:asciiTheme="minorHAnsi" w:hAnsiTheme="minorHAnsi" w:cstheme="minorHAnsi"/>
          <w:szCs w:val="20"/>
        </w:rPr>
        <w:t xml:space="preserve"> transport profiles………………</w:t>
      </w:r>
      <w:proofErr w:type="gramStart"/>
      <w:r w:rsidR="005F74E7" w:rsidRPr="00003BB7">
        <w:rPr>
          <w:rStyle w:val="Heading3Char"/>
          <w:rFonts w:asciiTheme="minorHAnsi" w:hAnsiTheme="minorHAnsi" w:cstheme="minorHAnsi"/>
          <w:szCs w:val="20"/>
        </w:rPr>
        <w:t>…</w:t>
      </w:r>
      <w:r w:rsidR="00C8706F" w:rsidRPr="00003BB7">
        <w:rPr>
          <w:rStyle w:val="Heading3Char"/>
          <w:rFonts w:asciiTheme="minorHAnsi" w:hAnsiTheme="minorHAnsi" w:cstheme="minorHAnsi"/>
          <w:szCs w:val="20"/>
        </w:rPr>
        <w:t>..</w:t>
      </w:r>
      <w:proofErr w:type="gramEnd"/>
      <w:r w:rsidR="00C8706F" w:rsidRPr="00003BB7">
        <w:rPr>
          <w:rFonts w:cstheme="minorHAnsi"/>
          <w:sz w:val="20"/>
          <w:szCs w:val="20"/>
        </w:rPr>
        <w:t>……</w:t>
      </w:r>
      <w:r w:rsidR="00C02A42" w:rsidRPr="00003BB7">
        <w:rPr>
          <w:rFonts w:cstheme="minorHAnsi"/>
          <w:sz w:val="20"/>
          <w:szCs w:val="20"/>
        </w:rPr>
        <w:t>121</w:t>
      </w:r>
    </w:p>
    <w:p w14:paraId="425E719D" w14:textId="77777777" w:rsidR="00C8706F" w:rsidRPr="00C8706F" w:rsidRDefault="00C8706F" w:rsidP="00C8706F"/>
    <w:p w14:paraId="58834B2C" w14:textId="41702FF6" w:rsidR="002D27F6" w:rsidRPr="009E0C01" w:rsidRDefault="002D27F6" w:rsidP="00481938">
      <w:pPr>
        <w:spacing w:line="240" w:lineRule="auto"/>
        <w:rPr>
          <w:rFonts w:asciiTheme="majorHAnsi" w:hAnsiTheme="majorHAnsi" w:cstheme="majorHAnsi"/>
          <w:sz w:val="20"/>
          <w:szCs w:val="20"/>
        </w:rPr>
      </w:pPr>
    </w:p>
    <w:p w14:paraId="3579D8AB" w14:textId="3A11EC85" w:rsidR="007B109C" w:rsidRPr="00871563" w:rsidRDefault="007B109C" w:rsidP="00871563">
      <w:pPr>
        <w:rPr>
          <w:b/>
          <w:sz w:val="24"/>
        </w:rPr>
      </w:pPr>
      <w:r w:rsidRPr="00871563">
        <w:rPr>
          <w:b/>
          <w:sz w:val="24"/>
        </w:rPr>
        <w:lastRenderedPageBreak/>
        <w:t>Abstract</w:t>
      </w:r>
    </w:p>
    <w:p w14:paraId="1E79EFA4" w14:textId="481C32BE" w:rsidR="007B109C" w:rsidRDefault="007B109C" w:rsidP="00F72370">
      <w:pPr>
        <w:spacing w:after="0" w:line="240" w:lineRule="auto"/>
      </w:pPr>
    </w:p>
    <w:p w14:paraId="01E0EF96" w14:textId="0DD1F595" w:rsidR="005E61AF" w:rsidRDefault="005E61AF" w:rsidP="005E61AF">
      <w:pPr>
        <w:pStyle w:val="Default"/>
        <w:spacing w:line="480" w:lineRule="auto"/>
        <w:jc w:val="both"/>
        <w:rPr>
          <w:rFonts w:asciiTheme="minorHAnsi" w:hAnsiTheme="minorHAnsi" w:cstheme="minorHAnsi"/>
          <w:color w:val="auto"/>
          <w:sz w:val="22"/>
          <w:szCs w:val="22"/>
        </w:rPr>
      </w:pPr>
      <w:r w:rsidRPr="005E61AF">
        <w:rPr>
          <w:rFonts w:asciiTheme="minorHAnsi" w:hAnsiTheme="minorHAnsi" w:cstheme="minorHAnsi"/>
          <w:color w:val="auto"/>
          <w:sz w:val="22"/>
          <w:szCs w:val="22"/>
        </w:rPr>
        <w:t xml:space="preserve">Mine drainage is threat to water systems in legacy mining districts as elevated concentrations of dissolved iron, sulfate, and trace metals have an unmitigated impact on water quality.  Changes in pH due to acidity loading as well as the mobilization of trace metals poses an unacceptable risk to environmental and human health. A variety of </w:t>
      </w:r>
      <w:r w:rsidR="00D11E61">
        <w:rPr>
          <w:rFonts w:asciiTheme="minorHAnsi" w:hAnsiTheme="minorHAnsi" w:cstheme="minorHAnsi"/>
          <w:color w:val="auto"/>
          <w:sz w:val="22"/>
          <w:szCs w:val="22"/>
        </w:rPr>
        <w:t xml:space="preserve">active </w:t>
      </w:r>
      <w:r w:rsidRPr="005E61AF">
        <w:rPr>
          <w:rFonts w:asciiTheme="minorHAnsi" w:hAnsiTheme="minorHAnsi" w:cstheme="minorHAnsi"/>
          <w:color w:val="auto"/>
          <w:sz w:val="22"/>
          <w:szCs w:val="22"/>
        </w:rPr>
        <w:t xml:space="preserve">remediation strategies exist, but differ in their initial capital investment, operational requirements, and maintenance making them less attractive options for remote or abandoned locations due to cost. Passive treatment systems (PTS) have become an increasingly more popular technology for the treatment of acid mine drainage (AMD) with the goal of improving water quality through (1) acid neutralization, (2) metals removal and retention and (3) alkalinity generation.  Passive treatment systems are composed of a series of treatment cells, in which each unit is designed to meet one or more of the afore mentioned goals through the control of physical, chemical, and biological aspects of the treatment cells. The preliminary oxidation cells of a passive treatment system focus on the removal and retention of iron specifically due to its roll in physical (solids accumulation and retention to maintain hydraulic conductivity through the system), chemical (latent acidity produced via oxidation and hydrolysis; trace metals sorption to </w:t>
      </w:r>
      <w:proofErr w:type="spellStart"/>
      <w:r w:rsidRPr="005E61AF">
        <w:rPr>
          <w:rFonts w:asciiTheme="minorHAnsi" w:hAnsiTheme="minorHAnsi" w:cstheme="minorHAnsi"/>
          <w:color w:val="auto"/>
          <w:sz w:val="22"/>
          <w:szCs w:val="22"/>
        </w:rPr>
        <w:t>FeOOH</w:t>
      </w:r>
      <w:proofErr w:type="spellEnd"/>
      <w:r w:rsidRPr="005E61AF">
        <w:rPr>
          <w:rFonts w:asciiTheme="minorHAnsi" w:hAnsiTheme="minorHAnsi" w:cstheme="minorHAnsi"/>
          <w:color w:val="auto"/>
          <w:sz w:val="22"/>
          <w:szCs w:val="22"/>
          <w:vertAlign w:val="subscript"/>
        </w:rPr>
        <w:t>(s)</w:t>
      </w:r>
      <w:r w:rsidRPr="005E61AF">
        <w:rPr>
          <w:rFonts w:asciiTheme="minorHAnsi" w:hAnsiTheme="minorHAnsi" w:cstheme="minorHAnsi"/>
          <w:color w:val="auto"/>
          <w:sz w:val="22"/>
          <w:szCs w:val="22"/>
        </w:rPr>
        <w:t xml:space="preserve">), and biological (use of emergent hydrophytes to facilitate solids sedimentation) system functions. </w:t>
      </w:r>
    </w:p>
    <w:p w14:paraId="2141515C" w14:textId="59C301BC" w:rsidR="005E61AF" w:rsidRPr="005E61AF" w:rsidRDefault="005E61AF" w:rsidP="005E61AF">
      <w:pPr>
        <w:pStyle w:val="Default"/>
        <w:spacing w:line="480" w:lineRule="auto"/>
        <w:jc w:val="both"/>
        <w:rPr>
          <w:rFonts w:asciiTheme="minorHAnsi" w:hAnsiTheme="minorHAnsi" w:cstheme="minorHAnsi"/>
          <w:color w:val="auto"/>
          <w:sz w:val="22"/>
          <w:szCs w:val="22"/>
        </w:rPr>
      </w:pPr>
      <w:r w:rsidRPr="005E61AF">
        <w:rPr>
          <w:rFonts w:asciiTheme="minorHAnsi" w:hAnsiTheme="minorHAnsi" w:cstheme="minorHAnsi"/>
          <w:color w:val="auto"/>
          <w:sz w:val="22"/>
          <w:szCs w:val="22"/>
        </w:rPr>
        <w:t xml:space="preserve">The premise of this dissertation is that passive treatment system performance is dependent on the dynamic removal, fate, and transport of iron oxides over time. The following chapters each contribute to a detailed assessment of the design and performance of the oxidative unit of a full scale passive treatment system under expected (design driven) operational conditions and under periods of disturbance due to frequent storm activity. The performance of the oxidative </w:t>
      </w:r>
      <w:r w:rsidRPr="005E61AF">
        <w:rPr>
          <w:rFonts w:asciiTheme="minorHAnsi" w:hAnsiTheme="minorHAnsi" w:cstheme="minorHAnsi"/>
          <w:color w:val="auto"/>
          <w:sz w:val="22"/>
          <w:szCs w:val="22"/>
        </w:rPr>
        <w:lastRenderedPageBreak/>
        <w:t>unit, and the performance of the system overall for the first seven years of operation are addressed through intracellular transport, remova</w:t>
      </w:r>
      <w:r w:rsidR="00C83CB2">
        <w:rPr>
          <w:rFonts w:asciiTheme="minorHAnsi" w:hAnsiTheme="minorHAnsi" w:cstheme="minorHAnsi"/>
          <w:color w:val="auto"/>
          <w:sz w:val="22"/>
          <w:szCs w:val="22"/>
        </w:rPr>
        <w:t xml:space="preserve">l, and accumulation profiling. </w:t>
      </w:r>
    </w:p>
    <w:p w14:paraId="261B106D" w14:textId="6E2F2CEB" w:rsidR="005E61AF" w:rsidRPr="005E61AF" w:rsidRDefault="005E61AF" w:rsidP="005E61AF">
      <w:pPr>
        <w:pStyle w:val="Default"/>
        <w:spacing w:line="480" w:lineRule="auto"/>
        <w:jc w:val="both"/>
        <w:rPr>
          <w:rFonts w:asciiTheme="minorHAnsi" w:hAnsiTheme="minorHAnsi" w:cstheme="minorHAnsi"/>
          <w:color w:val="auto"/>
          <w:sz w:val="22"/>
          <w:szCs w:val="22"/>
        </w:rPr>
      </w:pPr>
      <w:r w:rsidRPr="005E61AF">
        <w:rPr>
          <w:rFonts w:asciiTheme="minorHAnsi" w:hAnsiTheme="minorHAnsi" w:cstheme="minorHAnsi"/>
          <w:color w:val="auto"/>
          <w:sz w:val="22"/>
          <w:szCs w:val="22"/>
        </w:rPr>
        <w:t xml:space="preserve">Chapter One, “Full Scale Passive Treatment of Net-Alkaline Ferruginous Acid Mine Drainage at the Tar Creek Superfund Site” describes the need for site specific passive treatment, and the critical decisions involved in treatment system design. This chapter represents data as a collaborative work of monitoring by the Center for the Restoration of Ecosystems and Watersheds over a period of nearly 10 years (2004-2015) leading up to the installation and application of full scale treatment technologies in fall of 2008, and their performance evaluation over the next seven years of operation to assess effectiveness in achieving the goal of water quality improvement. The Mayer Ranch Passive Treatment system meets water quality improvement expectations as seep concentrations of iron (192 mg/L), zinc (9.78 mg/L), nickel (0.933 mg/L), cadmium (15.1 µg/L), lead (60 µg/L) and arsenic (66 µg/L) are attenuated prior to discharge into a tributary of Tar Creek [99% (Fe), 95%(Zn), 83% (Ni), 93%(Cd), with </w:t>
      </w:r>
      <w:proofErr w:type="spellStart"/>
      <w:r w:rsidRPr="005E61AF">
        <w:rPr>
          <w:rFonts w:asciiTheme="minorHAnsi" w:hAnsiTheme="minorHAnsi" w:cstheme="minorHAnsi"/>
          <w:color w:val="auto"/>
          <w:sz w:val="22"/>
          <w:szCs w:val="22"/>
        </w:rPr>
        <w:t>Pb</w:t>
      </w:r>
      <w:proofErr w:type="spellEnd"/>
      <w:r w:rsidRPr="005E61AF">
        <w:rPr>
          <w:rFonts w:asciiTheme="minorHAnsi" w:hAnsiTheme="minorHAnsi" w:cstheme="minorHAnsi"/>
          <w:color w:val="auto"/>
          <w:sz w:val="22"/>
          <w:szCs w:val="22"/>
        </w:rPr>
        <w:t xml:space="preserve"> and </w:t>
      </w:r>
      <w:proofErr w:type="gramStart"/>
      <w:r w:rsidRPr="005E61AF">
        <w:rPr>
          <w:rFonts w:asciiTheme="minorHAnsi" w:hAnsiTheme="minorHAnsi" w:cstheme="minorHAnsi"/>
          <w:color w:val="auto"/>
          <w:sz w:val="22"/>
          <w:szCs w:val="22"/>
        </w:rPr>
        <w:t>As</w:t>
      </w:r>
      <w:proofErr w:type="gramEnd"/>
      <w:r w:rsidRPr="005E61AF">
        <w:rPr>
          <w:rFonts w:asciiTheme="minorHAnsi" w:hAnsiTheme="minorHAnsi" w:cstheme="minorHAnsi"/>
          <w:color w:val="auto"/>
          <w:sz w:val="22"/>
          <w:szCs w:val="22"/>
        </w:rPr>
        <w:t xml:space="preserve"> being removed to levels below detection limits]. The system also generates alkalinity in multiple steps (Cells 3N/S; 5N/S) to mitigate what has been lost due to metals latent acidity yielding a net alkalinity of nearly 200 mg/L as CaCO</w:t>
      </w:r>
      <w:r w:rsidRPr="005E61AF">
        <w:rPr>
          <w:rFonts w:asciiTheme="minorHAnsi" w:hAnsiTheme="minorHAnsi" w:cstheme="minorHAnsi"/>
          <w:color w:val="auto"/>
          <w:sz w:val="22"/>
          <w:szCs w:val="22"/>
          <w:vertAlign w:val="subscript"/>
        </w:rPr>
        <w:t>3</w:t>
      </w:r>
      <w:r w:rsidRPr="005E61AF">
        <w:rPr>
          <w:rFonts w:asciiTheme="minorHAnsi" w:hAnsiTheme="minorHAnsi" w:cstheme="minorHAnsi"/>
          <w:color w:val="auto"/>
          <w:sz w:val="22"/>
          <w:szCs w:val="22"/>
        </w:rPr>
        <w:t xml:space="preserve"> equivalence. The MRPTS has successfully removed iron within the oxidative unit specifically (iron oxidation pond+ two surface flow wetland cells) over the lifetime of the system, yet the variability in the efficiency of the preliminary oxidation cell (Cell 1) de</w:t>
      </w:r>
      <w:r w:rsidR="00C83CB2">
        <w:rPr>
          <w:rFonts w:asciiTheme="minorHAnsi" w:hAnsiTheme="minorHAnsi" w:cstheme="minorHAnsi"/>
          <w:color w:val="auto"/>
          <w:sz w:val="22"/>
          <w:szCs w:val="22"/>
        </w:rPr>
        <w:t>mands additional investigation.</w:t>
      </w:r>
    </w:p>
    <w:p w14:paraId="1EB029A6" w14:textId="7F1428F1" w:rsidR="005E61AF" w:rsidRPr="005E61AF" w:rsidRDefault="005E61AF" w:rsidP="005E61AF">
      <w:pPr>
        <w:pStyle w:val="Default"/>
        <w:spacing w:line="480" w:lineRule="auto"/>
        <w:jc w:val="both"/>
        <w:rPr>
          <w:rFonts w:asciiTheme="minorHAnsi" w:hAnsiTheme="minorHAnsi" w:cstheme="minorHAnsi"/>
          <w:sz w:val="22"/>
          <w:szCs w:val="22"/>
        </w:rPr>
      </w:pPr>
      <w:r w:rsidRPr="005E61AF">
        <w:rPr>
          <w:rFonts w:asciiTheme="minorHAnsi" w:hAnsiTheme="minorHAnsi" w:cstheme="minorHAnsi"/>
          <w:color w:val="auto"/>
          <w:sz w:val="22"/>
          <w:szCs w:val="22"/>
        </w:rPr>
        <w:t>Chapter Two, “</w:t>
      </w:r>
      <w:r w:rsidRPr="005E61AF">
        <w:rPr>
          <w:rFonts w:asciiTheme="minorHAnsi" w:hAnsiTheme="minorHAnsi" w:cstheme="minorHAnsi"/>
          <w:sz w:val="22"/>
          <w:szCs w:val="22"/>
        </w:rPr>
        <w:t xml:space="preserve">Spatial Profiling of Seasonally Influenced Iron Removal in an Oxidation Treatment Cell”, provides a detailed evaluation of seasonal iron removal within Cell 1 thorough a series of samples collected between the influent and effluent flows typically used for cell performance evaluation. This detailed survey of iron removal corresponds well with the solids accumulation profiling detailed within Chapter 5, “Characterization of the Spatial Iron Accumulation in the </w:t>
      </w:r>
      <w:r w:rsidRPr="005E61AF">
        <w:rPr>
          <w:rFonts w:asciiTheme="minorHAnsi" w:hAnsiTheme="minorHAnsi" w:cstheme="minorHAnsi"/>
          <w:sz w:val="22"/>
          <w:szCs w:val="22"/>
        </w:rPr>
        <w:lastRenderedPageBreak/>
        <w:t>Preliminary Oxidative Cells of a Passive Treatment System”, as the accumulation of precipitated iron oxides follows spatial orientation consistent with average removal dynamics.  Periods of colder temperatures (winter: ~6</w:t>
      </w:r>
      <w:r w:rsidRPr="005E61AF">
        <w:rPr>
          <w:rFonts w:asciiTheme="minorHAnsi" w:hAnsiTheme="minorHAnsi" w:cstheme="minorHAnsi"/>
          <w:sz w:val="22"/>
          <w:szCs w:val="22"/>
          <w:vertAlign w:val="superscript"/>
        </w:rPr>
        <w:t>o</w:t>
      </w:r>
      <w:r w:rsidRPr="005E61AF">
        <w:rPr>
          <w:rFonts w:asciiTheme="minorHAnsi" w:hAnsiTheme="minorHAnsi" w:cstheme="minorHAnsi"/>
          <w:sz w:val="22"/>
          <w:szCs w:val="22"/>
        </w:rPr>
        <w:t>C) decrease the rate of iron removal within Cell 1 with the majority of material transported into Cells 2N/2S being in the dissolved state (Fe</w:t>
      </w:r>
      <w:r w:rsidRPr="005E61AF">
        <w:rPr>
          <w:rFonts w:asciiTheme="minorHAnsi" w:hAnsiTheme="minorHAnsi" w:cstheme="minorHAnsi"/>
          <w:sz w:val="22"/>
          <w:szCs w:val="22"/>
          <w:vertAlign w:val="superscript"/>
        </w:rPr>
        <w:t>2+</w:t>
      </w:r>
      <w:r w:rsidRPr="005E61AF">
        <w:rPr>
          <w:rFonts w:asciiTheme="minorHAnsi" w:hAnsiTheme="minorHAnsi" w:cstheme="minorHAnsi"/>
          <w:sz w:val="22"/>
          <w:szCs w:val="22"/>
        </w:rPr>
        <w:t xml:space="preserve">). The overall function of removal for the oxidative unit is not compromised during the winter months of operation as the surface flow wetlands provide additional hydraulic residence time for the removal of iron prior to discharge on to the vertical flow bioreactors (VFBR).  Although iron removal has not been impacted by the accumulation of iron oxides thus far, the hydraulic retention time of Cell 1 has been reduced from a design time of 7.7 days to 5.5 days based on the results of a </w:t>
      </w:r>
      <w:proofErr w:type="spellStart"/>
      <w:r w:rsidRPr="005E61AF">
        <w:rPr>
          <w:rFonts w:asciiTheme="minorHAnsi" w:hAnsiTheme="minorHAnsi" w:cstheme="minorHAnsi"/>
          <w:sz w:val="22"/>
          <w:szCs w:val="22"/>
        </w:rPr>
        <w:t>rhodamine</w:t>
      </w:r>
      <w:proofErr w:type="spellEnd"/>
      <w:r w:rsidRPr="005E61AF">
        <w:rPr>
          <w:rFonts w:asciiTheme="minorHAnsi" w:hAnsiTheme="minorHAnsi" w:cstheme="minorHAnsi"/>
          <w:sz w:val="22"/>
          <w:szCs w:val="22"/>
        </w:rPr>
        <w:t xml:space="preserve"> dye tracer study. Cells 2N/2S were assessed to have shorter retention times (2.5 days) versus design (3.5 days) in 2009, yet demonstrate extended retention times approach 9 days due to successive rain events and flow restriction due to the vertical flow bioreactors (VFBRs) indicating that short term storm events play a role in iron t</w:t>
      </w:r>
      <w:r w:rsidR="00C83CB2">
        <w:rPr>
          <w:rFonts w:asciiTheme="minorHAnsi" w:hAnsiTheme="minorHAnsi" w:cstheme="minorHAnsi"/>
          <w:sz w:val="22"/>
          <w:szCs w:val="22"/>
        </w:rPr>
        <w:t xml:space="preserve">ransport and removal dynamics. </w:t>
      </w:r>
    </w:p>
    <w:p w14:paraId="7CD390A4" w14:textId="7D58AA5B" w:rsidR="005E61AF" w:rsidRDefault="005E61AF" w:rsidP="00C83CB2">
      <w:pPr>
        <w:pStyle w:val="Default"/>
        <w:spacing w:line="480" w:lineRule="auto"/>
        <w:jc w:val="both"/>
      </w:pPr>
      <w:r w:rsidRPr="005E61AF">
        <w:rPr>
          <w:rFonts w:asciiTheme="minorHAnsi" w:hAnsiTheme="minorHAnsi" w:cstheme="minorHAnsi"/>
          <w:sz w:val="22"/>
          <w:szCs w:val="22"/>
        </w:rPr>
        <w:t xml:space="preserve">Chapters Three and Four focus on the role of acute storm disturbance on iron transport between the cells of the oxidative unit, exported from the oxidative unit to the VFBRs, and exported out the system into the receiving stream. Storm frequency, intensity, yield, and duration were evaluated from archived data from the Oklahoma </w:t>
      </w:r>
      <w:proofErr w:type="spellStart"/>
      <w:r w:rsidRPr="005E61AF">
        <w:rPr>
          <w:rFonts w:asciiTheme="minorHAnsi" w:hAnsiTheme="minorHAnsi" w:cstheme="minorHAnsi"/>
          <w:sz w:val="22"/>
          <w:szCs w:val="22"/>
        </w:rPr>
        <w:t>Mesonet</w:t>
      </w:r>
      <w:proofErr w:type="spellEnd"/>
      <w:r w:rsidRPr="005E61AF">
        <w:rPr>
          <w:rFonts w:asciiTheme="minorHAnsi" w:hAnsiTheme="minorHAnsi" w:cstheme="minorHAnsi"/>
          <w:sz w:val="22"/>
          <w:szCs w:val="22"/>
        </w:rPr>
        <w:t xml:space="preserve"> to determine a storm classification criteria based on intensity (Low: 0.25-0.99 cm/</w:t>
      </w:r>
      <w:proofErr w:type="spellStart"/>
      <w:r w:rsidRPr="005E61AF">
        <w:rPr>
          <w:rFonts w:asciiTheme="minorHAnsi" w:hAnsiTheme="minorHAnsi" w:cstheme="minorHAnsi"/>
          <w:sz w:val="22"/>
          <w:szCs w:val="22"/>
        </w:rPr>
        <w:t>hr</w:t>
      </w:r>
      <w:proofErr w:type="spellEnd"/>
      <w:r w:rsidRPr="005E61AF">
        <w:rPr>
          <w:rFonts w:asciiTheme="minorHAnsi" w:hAnsiTheme="minorHAnsi" w:cstheme="minorHAnsi"/>
          <w:sz w:val="22"/>
          <w:szCs w:val="22"/>
        </w:rPr>
        <w:t>; Moderate: 1.00-1.99 cm/</w:t>
      </w:r>
      <w:proofErr w:type="spellStart"/>
      <w:r w:rsidRPr="005E61AF">
        <w:rPr>
          <w:rFonts w:asciiTheme="minorHAnsi" w:hAnsiTheme="minorHAnsi" w:cstheme="minorHAnsi"/>
          <w:sz w:val="22"/>
          <w:szCs w:val="22"/>
        </w:rPr>
        <w:t>hr</w:t>
      </w:r>
      <w:proofErr w:type="spellEnd"/>
      <w:r w:rsidRPr="005E61AF">
        <w:rPr>
          <w:rFonts w:asciiTheme="minorHAnsi" w:hAnsiTheme="minorHAnsi" w:cstheme="minorHAnsi"/>
          <w:sz w:val="22"/>
          <w:szCs w:val="22"/>
        </w:rPr>
        <w:t>; High: 2.00-2.99 cm/</w:t>
      </w:r>
      <w:proofErr w:type="spellStart"/>
      <w:r w:rsidRPr="005E61AF">
        <w:rPr>
          <w:rFonts w:asciiTheme="minorHAnsi" w:hAnsiTheme="minorHAnsi" w:cstheme="minorHAnsi"/>
          <w:sz w:val="22"/>
          <w:szCs w:val="22"/>
        </w:rPr>
        <w:t>hr</w:t>
      </w:r>
      <w:proofErr w:type="spellEnd"/>
      <w:r w:rsidRPr="005E61AF">
        <w:rPr>
          <w:rFonts w:asciiTheme="minorHAnsi" w:hAnsiTheme="minorHAnsi" w:cstheme="minorHAnsi"/>
          <w:sz w:val="22"/>
          <w:szCs w:val="22"/>
        </w:rPr>
        <w:t>; Extreme: &gt;3.00 cm/</w:t>
      </w:r>
      <w:proofErr w:type="spellStart"/>
      <w:r w:rsidRPr="005E61AF">
        <w:rPr>
          <w:rFonts w:asciiTheme="minorHAnsi" w:hAnsiTheme="minorHAnsi" w:cstheme="minorHAnsi"/>
          <w:sz w:val="22"/>
          <w:szCs w:val="22"/>
        </w:rPr>
        <w:t>hr</w:t>
      </w:r>
      <w:proofErr w:type="spellEnd"/>
      <w:r w:rsidRPr="005E61AF">
        <w:rPr>
          <w:rFonts w:asciiTheme="minorHAnsi" w:hAnsiTheme="minorHAnsi" w:cstheme="minorHAnsi"/>
          <w:sz w:val="22"/>
          <w:szCs w:val="22"/>
        </w:rPr>
        <w:t xml:space="preserve">). Iron transport out of cells 1, 2N, 2S, and 6 was determined for a select group of individual storms between 2009-2013 and mass transport of iron was determined on a storm by storm basis. The amount of iron transported during a 30-hour sampling window following the storm event did not correlate to rainfall intensity, and thus the mechanism of transport is not believed to be due to resuspension of accumulated materials. </w:t>
      </w:r>
      <w:r w:rsidRPr="005E61AF">
        <w:rPr>
          <w:rFonts w:asciiTheme="minorHAnsi" w:hAnsiTheme="minorHAnsi" w:cstheme="minorHAnsi"/>
          <w:sz w:val="22"/>
          <w:szCs w:val="22"/>
        </w:rPr>
        <w:lastRenderedPageBreak/>
        <w:t xml:space="preserve">Rather, disruption of sedimentation of iron oxide flocs is suspected due to the frequency between rain events. Low intensity rainfall events dominate the precipitation profile for the MRPTS, and significance in transport is not only observed for individual rain events, but also for seasonal and annual transport within the oxidative unit. Iron transport out of the passive treatment system due to storm events was minimal as iron removal and storage occurs multiple cells before the final polishing wetland (spatially isolated from oxidative unit transport). </w:t>
      </w:r>
    </w:p>
    <w:p w14:paraId="7229AC66" w14:textId="599E15EF" w:rsidR="00D95E5B" w:rsidRDefault="00D95E5B" w:rsidP="00F72370">
      <w:pPr>
        <w:spacing w:after="0" w:line="240" w:lineRule="auto"/>
        <w:sectPr w:rsidR="00D95E5B" w:rsidSect="007B109C">
          <w:footerReference w:type="default" r:id="rId10"/>
          <w:pgSz w:w="12240" w:h="15840"/>
          <w:pgMar w:top="1440" w:right="1440" w:bottom="1440" w:left="2304" w:header="720" w:footer="720" w:gutter="0"/>
          <w:pgNumType w:fmt="lowerRoman" w:start="4"/>
          <w:cols w:space="720"/>
          <w:docGrid w:linePitch="360"/>
        </w:sectPr>
      </w:pPr>
    </w:p>
    <w:p w14:paraId="43C7C70E" w14:textId="4394A25A" w:rsidR="009F7B64" w:rsidRDefault="00684BFB" w:rsidP="00D95E5B">
      <w:pPr>
        <w:pStyle w:val="Heading1"/>
      </w:pPr>
      <w:r>
        <w:lastRenderedPageBreak/>
        <w:t>Chapter 1: Full-</w:t>
      </w:r>
      <w:r w:rsidR="009F7B64" w:rsidRPr="00D95E5B">
        <w:t>Scale Passive Treatment of Net-Alkaline Ferruginous Acid Mine Drainage</w:t>
      </w:r>
      <w:r w:rsidR="00EC3256">
        <w:t xml:space="preserve"> at the Tar Creek Superfund Site</w:t>
      </w:r>
      <w:r w:rsidR="009F7B64" w:rsidRPr="00D95E5B">
        <w:t xml:space="preserve"> </w:t>
      </w:r>
    </w:p>
    <w:p w14:paraId="5710C29F" w14:textId="77777777" w:rsidR="002E7CF7" w:rsidRPr="002E7CF7" w:rsidRDefault="002E7CF7" w:rsidP="002E7CF7"/>
    <w:p w14:paraId="0368CB35" w14:textId="08098131" w:rsidR="002E7CF7" w:rsidRDefault="002E7CF7" w:rsidP="002E7CF7">
      <w:pPr>
        <w:rPr>
          <w:i/>
        </w:rPr>
      </w:pPr>
      <w:r>
        <w:t xml:space="preserve">This chapter has been formatted for submission to </w:t>
      </w:r>
      <w:r w:rsidRPr="002E7CF7">
        <w:rPr>
          <w:i/>
        </w:rPr>
        <w:t>Mine Water and the Environment</w:t>
      </w:r>
    </w:p>
    <w:p w14:paraId="6FADF037" w14:textId="77777777" w:rsidR="00F434CD" w:rsidRDefault="00F434CD" w:rsidP="002E7CF7">
      <w:pPr>
        <w:rPr>
          <w:i/>
        </w:rPr>
      </w:pPr>
    </w:p>
    <w:p w14:paraId="399FA961" w14:textId="77777777" w:rsidR="00310218" w:rsidRPr="002E7CF7" w:rsidRDefault="00310218" w:rsidP="00310218">
      <w:pPr>
        <w:rPr>
          <w:b/>
        </w:rPr>
      </w:pPr>
      <w:r w:rsidRPr="002E7CF7">
        <w:rPr>
          <w:b/>
        </w:rPr>
        <w:t>Abstract</w:t>
      </w:r>
    </w:p>
    <w:p w14:paraId="3D31BCEA" w14:textId="1C25726C" w:rsidR="00310218" w:rsidRDefault="00310218" w:rsidP="00310218">
      <w:pPr>
        <w:spacing w:line="480" w:lineRule="auto"/>
        <w:jc w:val="both"/>
      </w:pPr>
      <w:r>
        <w:t>A legacy of mining at the Tar Creek Superfund Site has led to many remediation challenges including surface tailings, subsidence collapses, and acid mine drainage (AMD) seeps. Although the EPA has acted in remediation efforts, surface waters remain impacted and in need of treatment. Passive treatment is a viable option for the removal of dissolved metals, neutralization of acidity, and generation of alkalinity through a series of treatment cells designed based on local hydrology and water quality. The AMD seeps at Mayer Ranch supply nearly 20% of the AMD load to Tar Creek, and has a flow rate that varies seasonally. Water quality was evaluated for total and dissolved metals</w:t>
      </w:r>
      <w:r w:rsidRPr="00C2760D">
        <w:rPr>
          <w:i/>
        </w:rPr>
        <w:t xml:space="preserve">, </w:t>
      </w:r>
      <w:r>
        <w:t xml:space="preserve">sulfate, </w:t>
      </w:r>
      <w:r w:rsidRPr="00C2760D">
        <w:rPr>
          <w:i/>
        </w:rPr>
        <w:t>in situ</w:t>
      </w:r>
      <w:r>
        <w:t xml:space="preserve"> parameters including pH, conductivity, dissolved oxygen, temperature, oxidation reduction potential, total dissolved solids, salinity, turbidity, and alkalinity for four years prior to system installation and startup. The design of the Mayer Ranch Passive Treatment System was based on mass loading from the net-alkaline seeps, area adjusted removal rates, and sizing to handle hydraulic retention of treatment volumes. The system has successfully operated for 8 years at the time of this publication meeting its goals of metals removal and alkalinity generation. The discharge of treated water has had a positive impact on the quality of the receiving stream, with biological indicators supporting ecosystem recovery. The success of the MRPTS encourages the detailed profiling of treatment processes to better understand performance efficiencies. </w:t>
      </w:r>
    </w:p>
    <w:p w14:paraId="63A358D9" w14:textId="77777777" w:rsidR="00310218" w:rsidRPr="002E7CF7" w:rsidRDefault="00310218" w:rsidP="00310218">
      <w:pPr>
        <w:spacing w:line="480" w:lineRule="auto"/>
        <w:jc w:val="both"/>
      </w:pPr>
    </w:p>
    <w:p w14:paraId="572AF4F1" w14:textId="77777777" w:rsidR="009F7B64" w:rsidRDefault="009F7B64" w:rsidP="00D95E5B">
      <w:pPr>
        <w:pStyle w:val="Heading2"/>
      </w:pPr>
      <w:r>
        <w:lastRenderedPageBreak/>
        <w:t>Introduction</w:t>
      </w:r>
    </w:p>
    <w:p w14:paraId="260394A6" w14:textId="77777777" w:rsidR="00D95E5B" w:rsidRPr="00D95E5B" w:rsidRDefault="00D95E5B" w:rsidP="00D95E5B"/>
    <w:p w14:paraId="726A68A3" w14:textId="44E87668" w:rsidR="009F7B64" w:rsidRDefault="009F7B64" w:rsidP="009F1B2B">
      <w:pPr>
        <w:spacing w:line="480" w:lineRule="auto"/>
        <w:jc w:val="both"/>
      </w:pPr>
      <w:r>
        <w:t>The legacy of the Tar Creek Superfund Site originates from successive subsurface lead zinc mining operations in northeastern Oklahoma; O</w:t>
      </w:r>
      <w:r w:rsidR="00684BFB">
        <w:t>ttawa County during the early 18</w:t>
      </w:r>
      <w:r>
        <w:t>90s through the 19</w:t>
      </w:r>
      <w:r w:rsidR="00EC2F4A">
        <w:t>7</w:t>
      </w:r>
      <w:r>
        <w:t>0’s (US EPA, 2016a)</w:t>
      </w:r>
      <w:r w:rsidR="00684BFB">
        <w:t>, as part of the larger Tri-State Lead-Zinc Mining District of Oklahoma, Kansas, and Missouri</w:t>
      </w:r>
      <w:r w:rsidR="00EC2F4A">
        <w:t xml:space="preserve"> (TSMD)</w:t>
      </w:r>
      <w:r>
        <w:t>.  Although large-scale production maximized yields in the 1920s with 130,410 tons of lead and 749,254 tons of zinc being produced annually</w:t>
      </w:r>
      <w:r w:rsidR="00EC2F4A">
        <w:t xml:space="preserve"> from the TSMD</w:t>
      </w:r>
      <w:r>
        <w:t>, small scale mining operations wit</w:t>
      </w:r>
      <w:r w:rsidR="00684BFB">
        <w:t>hin the Pi</w:t>
      </w:r>
      <w:r>
        <w:t xml:space="preserve">cher Field continued to extract materials up until the cessation of mining activities in the 1970s (US EPA, 2016a).  </w:t>
      </w:r>
      <w:r w:rsidR="00EC2F4A">
        <w:t>After the</w:t>
      </w:r>
      <w:r>
        <w:t xml:space="preserve"> mine workings</w:t>
      </w:r>
      <w:r w:rsidR="00EC2F4A">
        <w:t xml:space="preserve"> were abandoned, they were</w:t>
      </w:r>
      <w:r>
        <w:t xml:space="preserve"> allowed to fill with groundwater, and the inc</w:t>
      </w:r>
      <w:r w:rsidR="00EC2F4A">
        <w:t xml:space="preserve">reased surface area of </w:t>
      </w:r>
      <w:r>
        <w:t>materials</w:t>
      </w:r>
      <w:r w:rsidR="00EC2F4A">
        <w:t xml:space="preserve"> coupled with the presence of oxygen and water, </w:t>
      </w:r>
      <w:r>
        <w:t>initiated a series of chemical reactions resulting in the production of acid mine drainage (AMD). Concern over the potential risk associated with AMD</w:t>
      </w:r>
      <w:r w:rsidR="00EC2F4A">
        <w:t xml:space="preserve"> to</w:t>
      </w:r>
      <w:r>
        <w:t xml:space="preserve"> surface waters began in the early 1980s with individual landowners noting the emergence of AMD seeps on their properties and with detection of water contamination within the aquife</w:t>
      </w:r>
      <w:r w:rsidR="007F383F">
        <w:t xml:space="preserve">r supplying water to </w:t>
      </w:r>
      <w:r w:rsidR="00EC2F4A">
        <w:t xml:space="preserve">the </w:t>
      </w:r>
      <w:r w:rsidR="007F383F">
        <w:t>town</w:t>
      </w:r>
      <w:r w:rsidR="00EC2F4A">
        <w:t>s</w:t>
      </w:r>
      <w:r w:rsidR="007F383F">
        <w:t xml:space="preserve"> of Pi</w:t>
      </w:r>
      <w:r>
        <w:t>cher,</w:t>
      </w:r>
      <w:r w:rsidR="00EC2F4A">
        <w:t xml:space="preserve"> Cardin, Quapaw, Commerce, and others </w:t>
      </w:r>
      <w:r>
        <w:t>(</w:t>
      </w:r>
      <w:proofErr w:type="spellStart"/>
      <w:r>
        <w:t>Sheibach</w:t>
      </w:r>
      <w:proofErr w:type="spellEnd"/>
      <w:r>
        <w:t xml:space="preserve"> et al, 1982).  With the passing of the Comprehensive Environmental Response, Compensation and Liability Act (CERCLA) (1980, amended 1986), financial resources collected from taxation of the chemical and petroleum industries were pooled into a </w:t>
      </w:r>
      <w:r w:rsidR="00EC2F4A">
        <w:t>“</w:t>
      </w:r>
      <w:r>
        <w:t>Superfund</w:t>
      </w:r>
      <w:r w:rsidR="00EC2F4A">
        <w:t>”</w:t>
      </w:r>
      <w:r>
        <w:t xml:space="preserve"> designated to pay for remediation eff</w:t>
      </w:r>
      <w:r w:rsidR="00EC2F4A">
        <w:t>orts at legacy sites if the</w:t>
      </w:r>
      <w:r>
        <w:t xml:space="preserve"> waste generators </w:t>
      </w:r>
      <w:r w:rsidR="00EC2F4A">
        <w:t>were</w:t>
      </w:r>
      <w:r>
        <w:t xml:space="preserve"> no longer available to be held as responsible parties for reclamatio</w:t>
      </w:r>
      <w:r w:rsidR="00D95E5B">
        <w:t>n efforts or cost (US EPA, 2016</w:t>
      </w:r>
      <w:r>
        <w:t>)</w:t>
      </w:r>
      <w:r w:rsidR="00C70BB9">
        <w:t xml:space="preserve">. CERCLA </w:t>
      </w:r>
      <w:r w:rsidR="00E408CA">
        <w:t>operates under</w:t>
      </w:r>
      <w:r w:rsidR="00C70BB9">
        <w:t xml:space="preserve"> the Polluter Pays Principle in which the principle responsible parties (PRPs) for Tar Creek were sued for damages, yet the financial settlements were insufficient to cover the full cost of remediation activities. </w:t>
      </w:r>
    </w:p>
    <w:p w14:paraId="773D283A" w14:textId="1D14F7D4" w:rsidR="009F7B64" w:rsidRDefault="009F7B64" w:rsidP="009F1B2B">
      <w:pPr>
        <w:spacing w:line="480" w:lineRule="auto"/>
        <w:jc w:val="both"/>
      </w:pPr>
      <w:r>
        <w:lastRenderedPageBreak/>
        <w:t xml:space="preserve">The Tar Creek Superfund site covers </w:t>
      </w:r>
      <w:r w:rsidR="00E408CA">
        <w:t xml:space="preserve">approximately </w:t>
      </w:r>
      <w:r>
        <w:t>40 square miles and was listed on the National Prioriti</w:t>
      </w:r>
      <w:r w:rsidR="00E408CA">
        <w:t>es List (NPL) in 1983 with the Oklahoma Department of Environmental Quality (</w:t>
      </w:r>
      <w:r>
        <w:t>DEQ</w:t>
      </w:r>
      <w:r w:rsidR="00E408CA">
        <w:t>)</w:t>
      </w:r>
      <w:r>
        <w:t>, and the Quapaw Tribe cited as cleanup oversite agencies</w:t>
      </w:r>
      <w:r w:rsidR="00E408CA">
        <w:t xml:space="preserve"> under the control of the United States Environmental Protection Agency (EPA)</w:t>
      </w:r>
      <w:r>
        <w:t xml:space="preserve"> (OKDEQ, 2016). The Hazard Ranking System (HRS)</w:t>
      </w:r>
      <w:r w:rsidR="00E408CA">
        <w:t xml:space="preserve"> score</w:t>
      </w:r>
      <w:r>
        <w:t xml:space="preserve"> applied by the EPA to classify the risk associated with the diversity and severity of exposures through the assessment of physical and chemical properties and their abiotic exposure pathways (US EPA, 2016b). Tar Creek remained ranked at 58.15 through 2003 due to the complexity and scope of contamination surveyed during preliminary assessment and</w:t>
      </w:r>
      <w:r w:rsidR="001E3B0E">
        <w:t xml:space="preserve"> site inspection (US EPA, 2016b</w:t>
      </w:r>
      <w:r>
        <w:t xml:space="preserve">). </w:t>
      </w:r>
      <w:r w:rsidR="00EA010A">
        <w:t>T</w:t>
      </w:r>
      <w:r>
        <w:t xml:space="preserve">he </w:t>
      </w:r>
      <w:r w:rsidRPr="0067797B">
        <w:rPr>
          <w:rFonts w:cstheme="minorHAnsi"/>
        </w:rPr>
        <w:t xml:space="preserve">EPA </w:t>
      </w:r>
      <w:r w:rsidR="00EA010A">
        <w:rPr>
          <w:rFonts w:cstheme="minorHAnsi"/>
        </w:rPr>
        <w:t xml:space="preserve">has </w:t>
      </w:r>
      <w:r w:rsidRPr="0067797B">
        <w:rPr>
          <w:rFonts w:cstheme="minorHAnsi"/>
        </w:rPr>
        <w:t>designated five Operable Units</w:t>
      </w:r>
      <w:r>
        <w:rPr>
          <w:rFonts w:cstheme="minorHAnsi"/>
        </w:rPr>
        <w:t xml:space="preserve"> (OU)</w:t>
      </w:r>
      <w:r w:rsidRPr="0067797B">
        <w:rPr>
          <w:rFonts w:cstheme="minorHAnsi"/>
        </w:rPr>
        <w:t xml:space="preserve"> </w:t>
      </w:r>
      <w:r w:rsidR="00EA010A">
        <w:rPr>
          <w:rFonts w:cstheme="minorHAnsi"/>
        </w:rPr>
        <w:t xml:space="preserve">so far </w:t>
      </w:r>
      <w:r w:rsidRPr="0067797B">
        <w:rPr>
          <w:rFonts w:cstheme="minorHAnsi"/>
        </w:rPr>
        <w:t>for action at the Tar Creek Superfund Site</w:t>
      </w:r>
      <w:r w:rsidR="00EA010A">
        <w:rPr>
          <w:rFonts w:cstheme="minorHAnsi"/>
        </w:rPr>
        <w:t>,</w:t>
      </w:r>
      <w:r w:rsidRPr="0067797B">
        <w:rPr>
          <w:rFonts w:cstheme="minorHAnsi"/>
        </w:rPr>
        <w:t xml:space="preserve"> as listed in Table </w:t>
      </w:r>
      <w:r>
        <w:rPr>
          <w:rFonts w:cstheme="minorHAnsi"/>
        </w:rPr>
        <w:t>1.1</w:t>
      </w:r>
      <w:r w:rsidRPr="0067797B">
        <w:rPr>
          <w:rFonts w:cstheme="minorHAnsi"/>
        </w:rPr>
        <w:t xml:space="preserve">.  </w:t>
      </w:r>
    </w:p>
    <w:p w14:paraId="003D3262" w14:textId="77777777" w:rsidR="009F7B64" w:rsidRPr="00EA010A" w:rsidRDefault="009F7B64" w:rsidP="00C122D9">
      <w:pPr>
        <w:pStyle w:val="Heading3"/>
        <w:rPr>
          <w:rFonts w:asciiTheme="minorHAnsi" w:hAnsiTheme="minorHAnsi" w:cstheme="minorHAnsi"/>
          <w:szCs w:val="20"/>
        </w:rPr>
      </w:pPr>
      <w:r w:rsidRPr="00EA010A">
        <w:rPr>
          <w:rFonts w:asciiTheme="minorHAnsi" w:hAnsiTheme="minorHAnsi" w:cstheme="minorHAnsi"/>
          <w:szCs w:val="20"/>
        </w:rPr>
        <w:t>Table 1.1: Summary EPA Operable Units at the Tar Creek Superfund Site (OKDEQ, 2015; Christensen, 1995)</w:t>
      </w:r>
    </w:p>
    <w:tbl>
      <w:tblPr>
        <w:tblW w:w="8280" w:type="dxa"/>
        <w:tblLook w:val="04A0" w:firstRow="1" w:lastRow="0" w:firstColumn="1" w:lastColumn="0" w:noHBand="0" w:noVBand="1"/>
      </w:tblPr>
      <w:tblGrid>
        <w:gridCol w:w="776"/>
        <w:gridCol w:w="3544"/>
        <w:gridCol w:w="3960"/>
      </w:tblGrid>
      <w:tr w:rsidR="009F7B64" w:rsidRPr="00EA010A" w14:paraId="73C20C45" w14:textId="77777777" w:rsidTr="00C122D9">
        <w:trPr>
          <w:trHeight w:val="315"/>
        </w:trPr>
        <w:tc>
          <w:tcPr>
            <w:tcW w:w="776" w:type="dxa"/>
            <w:tcBorders>
              <w:top w:val="single" w:sz="4" w:space="0" w:color="auto"/>
              <w:left w:val="nil"/>
              <w:bottom w:val="double" w:sz="6" w:space="0" w:color="auto"/>
              <w:right w:val="nil"/>
            </w:tcBorders>
            <w:shd w:val="clear" w:color="auto" w:fill="auto"/>
            <w:noWrap/>
            <w:vAlign w:val="bottom"/>
            <w:hideMark/>
          </w:tcPr>
          <w:p w14:paraId="46C29013" w14:textId="77777777" w:rsidR="009F7B64" w:rsidRPr="00EA010A" w:rsidRDefault="009F7B64" w:rsidP="009F7B64">
            <w:pPr>
              <w:spacing w:after="0" w:line="240" w:lineRule="auto"/>
              <w:jc w:val="both"/>
              <w:rPr>
                <w:rFonts w:eastAsia="Times New Roman" w:cstheme="minorHAnsi"/>
                <w:b/>
                <w:bCs/>
                <w:color w:val="000000"/>
                <w:sz w:val="20"/>
                <w:szCs w:val="20"/>
              </w:rPr>
            </w:pPr>
            <w:r w:rsidRPr="00EA010A">
              <w:rPr>
                <w:rFonts w:eastAsia="Times New Roman" w:cstheme="minorHAnsi"/>
                <w:b/>
                <w:bCs/>
                <w:color w:val="000000"/>
                <w:sz w:val="20"/>
                <w:szCs w:val="20"/>
              </w:rPr>
              <w:t> Unit</w:t>
            </w:r>
          </w:p>
        </w:tc>
        <w:tc>
          <w:tcPr>
            <w:tcW w:w="3544" w:type="dxa"/>
            <w:tcBorders>
              <w:top w:val="single" w:sz="4" w:space="0" w:color="auto"/>
              <w:left w:val="nil"/>
              <w:bottom w:val="double" w:sz="6" w:space="0" w:color="auto"/>
              <w:right w:val="nil"/>
            </w:tcBorders>
            <w:shd w:val="clear" w:color="auto" w:fill="auto"/>
            <w:noWrap/>
            <w:vAlign w:val="bottom"/>
            <w:hideMark/>
          </w:tcPr>
          <w:p w14:paraId="311E04C4" w14:textId="77777777" w:rsidR="009F7B64" w:rsidRPr="00EA010A" w:rsidRDefault="009F7B64" w:rsidP="009F7B64">
            <w:pPr>
              <w:spacing w:after="0" w:line="240" w:lineRule="auto"/>
              <w:jc w:val="both"/>
              <w:rPr>
                <w:rFonts w:eastAsia="Times New Roman" w:cstheme="minorHAnsi"/>
                <w:b/>
                <w:bCs/>
                <w:color w:val="000000"/>
                <w:sz w:val="20"/>
                <w:szCs w:val="20"/>
              </w:rPr>
            </w:pPr>
            <w:r w:rsidRPr="00EA010A">
              <w:rPr>
                <w:rFonts w:eastAsia="Times New Roman" w:cstheme="minorHAnsi"/>
                <w:b/>
                <w:bCs/>
                <w:color w:val="000000"/>
                <w:sz w:val="20"/>
                <w:szCs w:val="20"/>
              </w:rPr>
              <w:t>Issue</w:t>
            </w:r>
          </w:p>
        </w:tc>
        <w:tc>
          <w:tcPr>
            <w:tcW w:w="3960" w:type="dxa"/>
            <w:tcBorders>
              <w:top w:val="single" w:sz="4" w:space="0" w:color="auto"/>
              <w:left w:val="nil"/>
              <w:bottom w:val="double" w:sz="6" w:space="0" w:color="auto"/>
              <w:right w:val="nil"/>
            </w:tcBorders>
            <w:shd w:val="clear" w:color="auto" w:fill="auto"/>
            <w:noWrap/>
            <w:vAlign w:val="bottom"/>
            <w:hideMark/>
          </w:tcPr>
          <w:p w14:paraId="67A9AF96" w14:textId="77777777" w:rsidR="009F7B64" w:rsidRPr="00EA010A" w:rsidRDefault="009F7B64" w:rsidP="009F7B64">
            <w:pPr>
              <w:spacing w:after="0" w:line="240" w:lineRule="auto"/>
              <w:jc w:val="both"/>
              <w:rPr>
                <w:rFonts w:eastAsia="Times New Roman" w:cstheme="minorHAnsi"/>
                <w:b/>
                <w:bCs/>
                <w:color w:val="000000"/>
                <w:sz w:val="20"/>
                <w:szCs w:val="20"/>
              </w:rPr>
            </w:pPr>
            <w:r w:rsidRPr="00EA010A">
              <w:rPr>
                <w:rFonts w:eastAsia="Times New Roman" w:cstheme="minorHAnsi"/>
                <w:b/>
                <w:bCs/>
                <w:color w:val="000000"/>
                <w:sz w:val="20"/>
                <w:szCs w:val="20"/>
              </w:rPr>
              <w:t>Status</w:t>
            </w:r>
          </w:p>
        </w:tc>
      </w:tr>
      <w:tr w:rsidR="009F7B64" w:rsidRPr="00EA010A" w14:paraId="64DD68D7" w14:textId="77777777" w:rsidTr="00EA010A">
        <w:trPr>
          <w:trHeight w:val="1404"/>
        </w:trPr>
        <w:tc>
          <w:tcPr>
            <w:tcW w:w="776" w:type="dxa"/>
            <w:tcBorders>
              <w:top w:val="nil"/>
              <w:left w:val="nil"/>
              <w:bottom w:val="nil"/>
              <w:right w:val="nil"/>
            </w:tcBorders>
            <w:shd w:val="clear" w:color="auto" w:fill="auto"/>
            <w:noWrap/>
            <w:hideMark/>
          </w:tcPr>
          <w:p w14:paraId="765D99CA" w14:textId="77777777" w:rsidR="009F7B64" w:rsidRPr="00EA010A" w:rsidRDefault="009F7B64" w:rsidP="009F7B64">
            <w:pPr>
              <w:spacing w:after="0" w:line="240" w:lineRule="auto"/>
              <w:jc w:val="both"/>
              <w:rPr>
                <w:rFonts w:eastAsia="Times New Roman" w:cstheme="minorHAnsi"/>
                <w:color w:val="000000"/>
                <w:sz w:val="20"/>
                <w:szCs w:val="20"/>
              </w:rPr>
            </w:pPr>
            <w:r w:rsidRPr="00EA010A">
              <w:rPr>
                <w:rFonts w:eastAsia="Times New Roman" w:cstheme="minorHAnsi"/>
                <w:color w:val="000000"/>
                <w:sz w:val="20"/>
                <w:szCs w:val="20"/>
              </w:rPr>
              <w:t>OU 1</w:t>
            </w:r>
          </w:p>
        </w:tc>
        <w:tc>
          <w:tcPr>
            <w:tcW w:w="3544" w:type="dxa"/>
            <w:tcBorders>
              <w:top w:val="nil"/>
              <w:left w:val="nil"/>
              <w:bottom w:val="nil"/>
              <w:right w:val="nil"/>
            </w:tcBorders>
            <w:shd w:val="clear" w:color="auto" w:fill="auto"/>
            <w:hideMark/>
          </w:tcPr>
          <w:p w14:paraId="7FE1DBC8" w14:textId="622934A3" w:rsidR="009F7B64" w:rsidRPr="00EA010A" w:rsidRDefault="009F7B64" w:rsidP="009F7B64">
            <w:pPr>
              <w:spacing w:after="0" w:line="240" w:lineRule="auto"/>
              <w:jc w:val="both"/>
              <w:rPr>
                <w:rFonts w:eastAsia="Times New Roman" w:cstheme="minorHAnsi"/>
                <w:color w:val="000000"/>
                <w:sz w:val="20"/>
                <w:szCs w:val="20"/>
              </w:rPr>
            </w:pPr>
            <w:r w:rsidRPr="00EA010A">
              <w:rPr>
                <w:rFonts w:eastAsia="Times New Roman" w:cstheme="minorHAnsi"/>
                <w:color w:val="000000"/>
                <w:sz w:val="20"/>
                <w:szCs w:val="20"/>
              </w:rPr>
              <w:t xml:space="preserve">Surface water contamination in Tar Creek </w:t>
            </w:r>
            <w:r w:rsidR="00EA010A">
              <w:rPr>
                <w:rFonts w:eastAsia="Times New Roman" w:cstheme="minorHAnsi"/>
                <w:color w:val="000000"/>
                <w:sz w:val="20"/>
                <w:szCs w:val="20"/>
              </w:rPr>
              <w:t xml:space="preserve">and tributaries </w:t>
            </w:r>
            <w:r w:rsidRPr="00EA010A">
              <w:rPr>
                <w:rFonts w:eastAsia="Times New Roman" w:cstheme="minorHAnsi"/>
                <w:color w:val="000000"/>
                <w:sz w:val="20"/>
                <w:szCs w:val="20"/>
              </w:rPr>
              <w:t xml:space="preserve">from discharge and the threat of contamination of the </w:t>
            </w:r>
            <w:proofErr w:type="spellStart"/>
            <w:r w:rsidRPr="00EA010A">
              <w:rPr>
                <w:rFonts w:eastAsia="Times New Roman" w:cstheme="minorHAnsi"/>
                <w:color w:val="000000"/>
                <w:sz w:val="20"/>
                <w:szCs w:val="20"/>
              </w:rPr>
              <w:t>Roubidoux</w:t>
            </w:r>
            <w:proofErr w:type="spellEnd"/>
            <w:r w:rsidRPr="00EA010A">
              <w:rPr>
                <w:rFonts w:eastAsia="Times New Roman" w:cstheme="minorHAnsi"/>
                <w:color w:val="000000"/>
                <w:sz w:val="20"/>
                <w:szCs w:val="20"/>
              </w:rPr>
              <w:t xml:space="preserve"> Aquifer beneath the site from mine water and abandoned wells</w:t>
            </w:r>
          </w:p>
        </w:tc>
        <w:tc>
          <w:tcPr>
            <w:tcW w:w="3960" w:type="dxa"/>
            <w:tcBorders>
              <w:top w:val="nil"/>
              <w:left w:val="nil"/>
              <w:bottom w:val="nil"/>
              <w:right w:val="nil"/>
            </w:tcBorders>
            <w:shd w:val="clear" w:color="auto" w:fill="auto"/>
            <w:hideMark/>
          </w:tcPr>
          <w:p w14:paraId="16B97C2C" w14:textId="566B4281" w:rsidR="009F7B64" w:rsidRPr="00EA010A" w:rsidRDefault="009F7B64" w:rsidP="00EA010A">
            <w:pPr>
              <w:spacing w:after="0" w:line="240" w:lineRule="auto"/>
              <w:jc w:val="both"/>
              <w:rPr>
                <w:rFonts w:eastAsia="Times New Roman" w:cstheme="minorHAnsi"/>
                <w:color w:val="000000"/>
                <w:sz w:val="20"/>
                <w:szCs w:val="20"/>
              </w:rPr>
            </w:pPr>
            <w:r w:rsidRPr="00EA010A">
              <w:rPr>
                <w:rFonts w:eastAsia="Times New Roman" w:cstheme="minorHAnsi"/>
                <w:color w:val="000000"/>
                <w:sz w:val="20"/>
                <w:szCs w:val="20"/>
              </w:rPr>
              <w:t>No significant improvement in surface water quality</w:t>
            </w:r>
            <w:r w:rsidR="00EA010A">
              <w:rPr>
                <w:rFonts w:eastAsia="Times New Roman" w:cstheme="minorHAnsi"/>
                <w:color w:val="000000"/>
                <w:sz w:val="20"/>
                <w:szCs w:val="20"/>
              </w:rPr>
              <w:t>, partial effectiveness for damm</w:t>
            </w:r>
            <w:r w:rsidRPr="00EA010A">
              <w:rPr>
                <w:rFonts w:eastAsia="Times New Roman" w:cstheme="minorHAnsi"/>
                <w:color w:val="000000"/>
                <w:sz w:val="20"/>
                <w:szCs w:val="20"/>
              </w:rPr>
              <w:t xml:space="preserve">ing/ diking and there </w:t>
            </w:r>
            <w:r w:rsidR="00EA010A">
              <w:rPr>
                <w:rFonts w:eastAsia="Times New Roman" w:cstheme="minorHAnsi"/>
                <w:color w:val="000000"/>
                <w:sz w:val="20"/>
                <w:szCs w:val="20"/>
              </w:rPr>
              <w:t xml:space="preserve">were </w:t>
            </w:r>
            <w:r w:rsidRPr="00EA010A">
              <w:rPr>
                <w:rFonts w:eastAsia="Times New Roman" w:cstheme="minorHAnsi"/>
                <w:color w:val="000000"/>
                <w:sz w:val="20"/>
                <w:szCs w:val="20"/>
              </w:rPr>
              <w:t xml:space="preserve">insufficient data to evaluate well plugging </w:t>
            </w:r>
          </w:p>
        </w:tc>
      </w:tr>
      <w:tr w:rsidR="009F7B64" w:rsidRPr="00EA010A" w14:paraId="4F61378A" w14:textId="77777777" w:rsidTr="004C05FF">
        <w:trPr>
          <w:trHeight w:val="1179"/>
        </w:trPr>
        <w:tc>
          <w:tcPr>
            <w:tcW w:w="776" w:type="dxa"/>
            <w:tcBorders>
              <w:top w:val="nil"/>
              <w:left w:val="nil"/>
              <w:bottom w:val="nil"/>
              <w:right w:val="nil"/>
            </w:tcBorders>
            <w:shd w:val="clear" w:color="auto" w:fill="auto"/>
            <w:noWrap/>
            <w:hideMark/>
          </w:tcPr>
          <w:p w14:paraId="1D0BFD8A" w14:textId="77777777" w:rsidR="009F7B64" w:rsidRPr="00EA010A" w:rsidRDefault="009F7B64" w:rsidP="009F7B64">
            <w:pPr>
              <w:spacing w:after="0" w:line="240" w:lineRule="auto"/>
              <w:jc w:val="both"/>
              <w:rPr>
                <w:rFonts w:eastAsia="Times New Roman" w:cstheme="minorHAnsi"/>
                <w:color w:val="000000"/>
                <w:sz w:val="20"/>
                <w:szCs w:val="20"/>
              </w:rPr>
            </w:pPr>
            <w:r w:rsidRPr="00EA010A">
              <w:rPr>
                <w:rFonts w:eastAsia="Times New Roman" w:cstheme="minorHAnsi"/>
                <w:color w:val="000000"/>
                <w:sz w:val="20"/>
                <w:szCs w:val="20"/>
              </w:rPr>
              <w:t>OU 2</w:t>
            </w:r>
          </w:p>
        </w:tc>
        <w:tc>
          <w:tcPr>
            <w:tcW w:w="3544" w:type="dxa"/>
            <w:tcBorders>
              <w:top w:val="nil"/>
              <w:left w:val="nil"/>
              <w:bottom w:val="nil"/>
              <w:right w:val="nil"/>
            </w:tcBorders>
            <w:shd w:val="clear" w:color="auto" w:fill="auto"/>
            <w:hideMark/>
          </w:tcPr>
          <w:p w14:paraId="700A4D27" w14:textId="77777777" w:rsidR="009F7B64" w:rsidRPr="00EA010A" w:rsidRDefault="009F7B64" w:rsidP="009F7B64">
            <w:pPr>
              <w:spacing w:after="0" w:line="240" w:lineRule="auto"/>
              <w:jc w:val="both"/>
              <w:rPr>
                <w:rFonts w:eastAsia="Times New Roman" w:cstheme="minorHAnsi"/>
                <w:color w:val="000000"/>
                <w:sz w:val="20"/>
                <w:szCs w:val="20"/>
              </w:rPr>
            </w:pPr>
            <w:r w:rsidRPr="00EA010A">
              <w:rPr>
                <w:rFonts w:eastAsia="Times New Roman" w:cstheme="minorHAnsi"/>
                <w:color w:val="000000"/>
                <w:sz w:val="20"/>
                <w:szCs w:val="20"/>
              </w:rPr>
              <w:t>High concentration of lead found in children and connected to surface contamination in yards, playgrounds, and other soils.</w:t>
            </w:r>
          </w:p>
        </w:tc>
        <w:tc>
          <w:tcPr>
            <w:tcW w:w="3960" w:type="dxa"/>
            <w:tcBorders>
              <w:top w:val="nil"/>
              <w:left w:val="nil"/>
              <w:bottom w:val="nil"/>
              <w:right w:val="nil"/>
            </w:tcBorders>
            <w:shd w:val="clear" w:color="auto" w:fill="auto"/>
            <w:hideMark/>
          </w:tcPr>
          <w:p w14:paraId="563ECFF2" w14:textId="77777777" w:rsidR="009F7B64" w:rsidRPr="00EA010A" w:rsidRDefault="009F7B64" w:rsidP="009F7B64">
            <w:pPr>
              <w:spacing w:after="0" w:line="240" w:lineRule="auto"/>
              <w:jc w:val="both"/>
              <w:rPr>
                <w:rFonts w:eastAsia="Times New Roman" w:cstheme="minorHAnsi"/>
                <w:color w:val="000000"/>
                <w:sz w:val="20"/>
                <w:szCs w:val="20"/>
              </w:rPr>
            </w:pPr>
            <w:r w:rsidRPr="00EA010A">
              <w:rPr>
                <w:rFonts w:eastAsia="Times New Roman" w:cstheme="minorHAnsi"/>
                <w:color w:val="000000"/>
                <w:sz w:val="20"/>
                <w:szCs w:val="20"/>
              </w:rPr>
              <w:t>Soil removal and clean fill dirt replacement on a yard-by-yard basis for over 2000 properties.</w:t>
            </w:r>
          </w:p>
          <w:p w14:paraId="42BC5DA4" w14:textId="77777777" w:rsidR="009F7B64" w:rsidRPr="00EA010A" w:rsidRDefault="009F7B64" w:rsidP="009F7B64">
            <w:pPr>
              <w:spacing w:after="0" w:line="240" w:lineRule="auto"/>
              <w:jc w:val="both"/>
              <w:rPr>
                <w:rFonts w:eastAsia="Times New Roman" w:cstheme="minorHAnsi"/>
                <w:color w:val="000000"/>
                <w:sz w:val="20"/>
                <w:szCs w:val="20"/>
              </w:rPr>
            </w:pPr>
          </w:p>
        </w:tc>
      </w:tr>
      <w:tr w:rsidR="009F7B64" w:rsidRPr="00EA010A" w14:paraId="2409D5A9" w14:textId="77777777" w:rsidTr="00C122D9">
        <w:trPr>
          <w:trHeight w:val="909"/>
        </w:trPr>
        <w:tc>
          <w:tcPr>
            <w:tcW w:w="776" w:type="dxa"/>
            <w:tcBorders>
              <w:top w:val="nil"/>
              <w:left w:val="nil"/>
              <w:bottom w:val="nil"/>
              <w:right w:val="nil"/>
            </w:tcBorders>
            <w:shd w:val="clear" w:color="auto" w:fill="auto"/>
            <w:noWrap/>
            <w:hideMark/>
          </w:tcPr>
          <w:p w14:paraId="5F9C969A" w14:textId="77777777" w:rsidR="009F7B64" w:rsidRPr="00EA010A" w:rsidRDefault="009F7B64" w:rsidP="009F7B64">
            <w:pPr>
              <w:spacing w:after="0" w:line="240" w:lineRule="auto"/>
              <w:jc w:val="both"/>
              <w:rPr>
                <w:rFonts w:eastAsia="Times New Roman" w:cstheme="minorHAnsi"/>
                <w:color w:val="000000"/>
                <w:sz w:val="20"/>
                <w:szCs w:val="20"/>
              </w:rPr>
            </w:pPr>
            <w:r w:rsidRPr="00EA010A">
              <w:rPr>
                <w:rFonts w:eastAsia="Times New Roman" w:cstheme="minorHAnsi"/>
                <w:color w:val="000000"/>
                <w:sz w:val="20"/>
                <w:szCs w:val="20"/>
              </w:rPr>
              <w:t>OU 3</w:t>
            </w:r>
          </w:p>
        </w:tc>
        <w:tc>
          <w:tcPr>
            <w:tcW w:w="3544" w:type="dxa"/>
            <w:tcBorders>
              <w:top w:val="nil"/>
              <w:left w:val="nil"/>
              <w:bottom w:val="nil"/>
              <w:right w:val="nil"/>
            </w:tcBorders>
            <w:shd w:val="clear" w:color="auto" w:fill="auto"/>
            <w:hideMark/>
          </w:tcPr>
          <w:p w14:paraId="154A7A40" w14:textId="77F6CCB1" w:rsidR="009F7B64" w:rsidRPr="00EA010A" w:rsidRDefault="009F7B64" w:rsidP="009F7B64">
            <w:pPr>
              <w:spacing w:after="0" w:line="240" w:lineRule="auto"/>
              <w:jc w:val="both"/>
              <w:rPr>
                <w:rFonts w:eastAsia="Times New Roman" w:cstheme="minorHAnsi"/>
                <w:color w:val="000000"/>
                <w:sz w:val="20"/>
                <w:szCs w:val="20"/>
              </w:rPr>
            </w:pPr>
            <w:r w:rsidRPr="00EA010A">
              <w:rPr>
                <w:rFonts w:eastAsia="Times New Roman" w:cstheme="minorHAnsi"/>
                <w:color w:val="000000"/>
                <w:sz w:val="20"/>
                <w:szCs w:val="20"/>
              </w:rPr>
              <w:t>Storage and retention of chemical laboratory stocks at the</w:t>
            </w:r>
            <w:r w:rsidR="00EA010A">
              <w:rPr>
                <w:rFonts w:eastAsia="Times New Roman" w:cstheme="minorHAnsi"/>
                <w:color w:val="000000"/>
                <w:sz w:val="20"/>
                <w:szCs w:val="20"/>
              </w:rPr>
              <w:t xml:space="preserve"> Eagle Pi</w:t>
            </w:r>
            <w:r w:rsidRPr="00EA010A">
              <w:rPr>
                <w:rFonts w:eastAsia="Times New Roman" w:cstheme="minorHAnsi"/>
                <w:color w:val="000000"/>
                <w:sz w:val="20"/>
                <w:szCs w:val="20"/>
              </w:rPr>
              <w:t>cher Industries</w:t>
            </w:r>
          </w:p>
        </w:tc>
        <w:tc>
          <w:tcPr>
            <w:tcW w:w="3960" w:type="dxa"/>
            <w:tcBorders>
              <w:top w:val="nil"/>
              <w:left w:val="nil"/>
              <w:bottom w:val="nil"/>
              <w:right w:val="nil"/>
            </w:tcBorders>
            <w:shd w:val="clear" w:color="auto" w:fill="auto"/>
            <w:hideMark/>
          </w:tcPr>
          <w:p w14:paraId="654096BB" w14:textId="77777777" w:rsidR="009F7B64" w:rsidRPr="00EA010A" w:rsidRDefault="009F7B64" w:rsidP="009F7B64">
            <w:pPr>
              <w:spacing w:after="0" w:line="240" w:lineRule="auto"/>
              <w:jc w:val="both"/>
              <w:rPr>
                <w:rFonts w:eastAsia="Times New Roman" w:cstheme="minorHAnsi"/>
                <w:color w:val="000000"/>
                <w:sz w:val="20"/>
                <w:szCs w:val="20"/>
              </w:rPr>
            </w:pPr>
            <w:r w:rsidRPr="00EA010A">
              <w:rPr>
                <w:rFonts w:eastAsia="Times New Roman" w:cstheme="minorHAnsi"/>
                <w:color w:val="000000"/>
                <w:sz w:val="20"/>
                <w:szCs w:val="20"/>
              </w:rPr>
              <w:t>Laboratory chemicals were removed from the site and disposed of in accordance with current safety protocols.</w:t>
            </w:r>
          </w:p>
          <w:p w14:paraId="79E36796" w14:textId="77777777" w:rsidR="009F7B64" w:rsidRPr="00EA010A" w:rsidRDefault="009F7B64" w:rsidP="009F7B64">
            <w:pPr>
              <w:spacing w:after="0" w:line="240" w:lineRule="auto"/>
              <w:jc w:val="both"/>
              <w:rPr>
                <w:rFonts w:eastAsia="Times New Roman" w:cstheme="minorHAnsi"/>
                <w:color w:val="000000"/>
                <w:sz w:val="20"/>
                <w:szCs w:val="20"/>
              </w:rPr>
            </w:pPr>
          </w:p>
        </w:tc>
      </w:tr>
      <w:tr w:rsidR="009F7B64" w:rsidRPr="00EA010A" w14:paraId="51553C2F" w14:textId="77777777" w:rsidTr="00C122D9">
        <w:trPr>
          <w:trHeight w:val="900"/>
        </w:trPr>
        <w:tc>
          <w:tcPr>
            <w:tcW w:w="776" w:type="dxa"/>
            <w:tcBorders>
              <w:top w:val="nil"/>
              <w:left w:val="nil"/>
              <w:bottom w:val="nil"/>
              <w:right w:val="nil"/>
            </w:tcBorders>
            <w:shd w:val="clear" w:color="auto" w:fill="auto"/>
            <w:noWrap/>
            <w:hideMark/>
          </w:tcPr>
          <w:p w14:paraId="28568B17" w14:textId="77777777" w:rsidR="009F7B64" w:rsidRPr="00EA010A" w:rsidRDefault="009F7B64" w:rsidP="009F7B64">
            <w:pPr>
              <w:spacing w:after="0" w:line="240" w:lineRule="auto"/>
              <w:jc w:val="both"/>
              <w:rPr>
                <w:rFonts w:eastAsia="Times New Roman" w:cstheme="minorHAnsi"/>
                <w:color w:val="000000"/>
                <w:sz w:val="20"/>
                <w:szCs w:val="20"/>
              </w:rPr>
            </w:pPr>
            <w:r w:rsidRPr="00EA010A">
              <w:rPr>
                <w:rFonts w:eastAsia="Times New Roman" w:cstheme="minorHAnsi"/>
                <w:color w:val="000000"/>
                <w:sz w:val="20"/>
                <w:szCs w:val="20"/>
              </w:rPr>
              <w:t>OU 4</w:t>
            </w:r>
          </w:p>
        </w:tc>
        <w:tc>
          <w:tcPr>
            <w:tcW w:w="3544" w:type="dxa"/>
            <w:tcBorders>
              <w:top w:val="nil"/>
              <w:left w:val="nil"/>
              <w:bottom w:val="nil"/>
              <w:right w:val="nil"/>
            </w:tcBorders>
            <w:shd w:val="clear" w:color="auto" w:fill="auto"/>
            <w:hideMark/>
          </w:tcPr>
          <w:p w14:paraId="1B22AAE7" w14:textId="0C96B1B0" w:rsidR="009F7B64" w:rsidRPr="00EA010A" w:rsidRDefault="009F7B64" w:rsidP="00EA010A">
            <w:pPr>
              <w:spacing w:after="0" w:line="240" w:lineRule="auto"/>
              <w:jc w:val="both"/>
              <w:rPr>
                <w:rFonts w:eastAsia="Times New Roman" w:cstheme="minorHAnsi"/>
                <w:color w:val="000000"/>
                <w:sz w:val="20"/>
                <w:szCs w:val="20"/>
              </w:rPr>
            </w:pPr>
            <w:r w:rsidRPr="00EA010A">
              <w:rPr>
                <w:rFonts w:eastAsia="Times New Roman" w:cstheme="minorHAnsi"/>
                <w:color w:val="000000"/>
                <w:sz w:val="20"/>
                <w:szCs w:val="20"/>
              </w:rPr>
              <w:t>Chat Piles, Other Mine and Mill Wastes, Smelter Wastes</w:t>
            </w:r>
            <w:r w:rsidR="00EA010A">
              <w:rPr>
                <w:rFonts w:eastAsia="Times New Roman" w:cstheme="minorHAnsi"/>
                <w:color w:val="000000"/>
                <w:sz w:val="20"/>
                <w:szCs w:val="20"/>
              </w:rPr>
              <w:t>,</w:t>
            </w:r>
            <w:r w:rsidRPr="00EA010A">
              <w:rPr>
                <w:rFonts w:eastAsia="Times New Roman" w:cstheme="minorHAnsi"/>
                <w:color w:val="000000"/>
                <w:sz w:val="20"/>
                <w:szCs w:val="20"/>
              </w:rPr>
              <w:t xml:space="preserve"> Surface contamination and subsidence</w:t>
            </w:r>
          </w:p>
        </w:tc>
        <w:tc>
          <w:tcPr>
            <w:tcW w:w="3960" w:type="dxa"/>
            <w:tcBorders>
              <w:top w:val="nil"/>
              <w:left w:val="nil"/>
              <w:bottom w:val="nil"/>
              <w:right w:val="nil"/>
            </w:tcBorders>
            <w:shd w:val="clear" w:color="auto" w:fill="auto"/>
            <w:hideMark/>
          </w:tcPr>
          <w:p w14:paraId="1C032694" w14:textId="77777777" w:rsidR="009F7B64" w:rsidRPr="00EA010A" w:rsidRDefault="009F7B64" w:rsidP="009F7B64">
            <w:pPr>
              <w:spacing w:after="0" w:line="240" w:lineRule="auto"/>
              <w:jc w:val="both"/>
              <w:rPr>
                <w:rFonts w:eastAsia="Times New Roman" w:cstheme="minorHAnsi"/>
                <w:color w:val="000000"/>
                <w:sz w:val="20"/>
                <w:szCs w:val="20"/>
              </w:rPr>
            </w:pPr>
            <w:r w:rsidRPr="00EA010A">
              <w:rPr>
                <w:rFonts w:eastAsia="Times New Roman" w:cstheme="minorHAnsi"/>
                <w:color w:val="000000"/>
                <w:sz w:val="20"/>
                <w:szCs w:val="20"/>
              </w:rPr>
              <w:t>Cleanup has been completed on some distal area projects. Voluntary buyout of citizens within the Relocation Assistance Zone has been completed.</w:t>
            </w:r>
          </w:p>
          <w:p w14:paraId="3FEBBA42" w14:textId="77777777" w:rsidR="009F7B64" w:rsidRPr="00EA010A" w:rsidRDefault="009F7B64" w:rsidP="009F7B64">
            <w:pPr>
              <w:spacing w:after="0" w:line="240" w:lineRule="auto"/>
              <w:jc w:val="both"/>
              <w:rPr>
                <w:rFonts w:eastAsia="Times New Roman" w:cstheme="minorHAnsi"/>
                <w:color w:val="000000"/>
                <w:sz w:val="20"/>
                <w:szCs w:val="20"/>
              </w:rPr>
            </w:pPr>
          </w:p>
        </w:tc>
      </w:tr>
      <w:tr w:rsidR="009F7B64" w:rsidRPr="00EA010A" w14:paraId="085F9BC0" w14:textId="77777777" w:rsidTr="00C122D9">
        <w:trPr>
          <w:trHeight w:val="900"/>
        </w:trPr>
        <w:tc>
          <w:tcPr>
            <w:tcW w:w="776" w:type="dxa"/>
            <w:tcBorders>
              <w:top w:val="nil"/>
              <w:left w:val="nil"/>
              <w:bottom w:val="single" w:sz="4" w:space="0" w:color="auto"/>
              <w:right w:val="nil"/>
            </w:tcBorders>
            <w:shd w:val="clear" w:color="auto" w:fill="auto"/>
            <w:noWrap/>
            <w:hideMark/>
          </w:tcPr>
          <w:p w14:paraId="4DF2B87B" w14:textId="77777777" w:rsidR="009F7B64" w:rsidRPr="00EA010A" w:rsidRDefault="009F7B64" w:rsidP="009F7B64">
            <w:pPr>
              <w:spacing w:after="0" w:line="240" w:lineRule="auto"/>
              <w:jc w:val="both"/>
              <w:rPr>
                <w:rFonts w:eastAsia="Times New Roman" w:cstheme="minorHAnsi"/>
                <w:color w:val="000000"/>
                <w:sz w:val="20"/>
                <w:szCs w:val="20"/>
              </w:rPr>
            </w:pPr>
            <w:r w:rsidRPr="00EA010A">
              <w:rPr>
                <w:rFonts w:eastAsia="Times New Roman" w:cstheme="minorHAnsi"/>
                <w:color w:val="000000"/>
                <w:sz w:val="20"/>
                <w:szCs w:val="20"/>
              </w:rPr>
              <w:t>OU 5</w:t>
            </w:r>
          </w:p>
        </w:tc>
        <w:tc>
          <w:tcPr>
            <w:tcW w:w="3544" w:type="dxa"/>
            <w:tcBorders>
              <w:top w:val="nil"/>
              <w:left w:val="nil"/>
              <w:bottom w:val="single" w:sz="4" w:space="0" w:color="auto"/>
              <w:right w:val="nil"/>
            </w:tcBorders>
            <w:shd w:val="clear" w:color="auto" w:fill="auto"/>
            <w:hideMark/>
          </w:tcPr>
          <w:p w14:paraId="485BFD8F" w14:textId="64E595B0" w:rsidR="009F7B64" w:rsidRPr="00EA010A" w:rsidRDefault="009F7B64" w:rsidP="009F7B64">
            <w:pPr>
              <w:spacing w:after="0" w:line="240" w:lineRule="auto"/>
              <w:jc w:val="both"/>
              <w:rPr>
                <w:rFonts w:eastAsia="Times New Roman" w:cstheme="minorHAnsi"/>
                <w:color w:val="000000"/>
                <w:sz w:val="20"/>
                <w:szCs w:val="20"/>
              </w:rPr>
            </w:pPr>
            <w:r w:rsidRPr="00EA010A">
              <w:rPr>
                <w:rFonts w:eastAsia="Times New Roman" w:cstheme="minorHAnsi"/>
                <w:color w:val="000000"/>
                <w:sz w:val="20"/>
                <w:szCs w:val="20"/>
              </w:rPr>
              <w:t xml:space="preserve">Sediments </w:t>
            </w:r>
            <w:r w:rsidR="004C05FF">
              <w:rPr>
                <w:rFonts w:eastAsia="Times New Roman" w:cstheme="minorHAnsi"/>
                <w:color w:val="000000"/>
                <w:sz w:val="20"/>
                <w:szCs w:val="20"/>
              </w:rPr>
              <w:t>and surface water contamination (</w:t>
            </w:r>
            <w:r w:rsidRPr="00EA010A">
              <w:rPr>
                <w:rFonts w:eastAsia="Times New Roman" w:cstheme="minorHAnsi"/>
                <w:color w:val="000000"/>
                <w:sz w:val="20"/>
                <w:szCs w:val="20"/>
              </w:rPr>
              <w:t>ongoing)</w:t>
            </w:r>
          </w:p>
        </w:tc>
        <w:tc>
          <w:tcPr>
            <w:tcW w:w="3960" w:type="dxa"/>
            <w:tcBorders>
              <w:top w:val="nil"/>
              <w:left w:val="nil"/>
              <w:bottom w:val="single" w:sz="4" w:space="0" w:color="auto"/>
              <w:right w:val="nil"/>
            </w:tcBorders>
            <w:shd w:val="clear" w:color="auto" w:fill="auto"/>
            <w:hideMark/>
          </w:tcPr>
          <w:p w14:paraId="0C1B24CE" w14:textId="01AD2C97" w:rsidR="009F7B64" w:rsidRPr="00EA010A" w:rsidRDefault="004C05FF" w:rsidP="004C05FF">
            <w:pPr>
              <w:spacing w:after="0" w:line="240" w:lineRule="auto"/>
              <w:jc w:val="both"/>
              <w:rPr>
                <w:rFonts w:eastAsia="Times New Roman" w:cstheme="minorHAnsi"/>
                <w:color w:val="000000"/>
                <w:sz w:val="20"/>
                <w:szCs w:val="20"/>
              </w:rPr>
            </w:pPr>
            <w:r>
              <w:rPr>
                <w:rFonts w:eastAsia="Times New Roman" w:cstheme="minorHAnsi"/>
                <w:color w:val="000000"/>
                <w:sz w:val="20"/>
                <w:szCs w:val="20"/>
              </w:rPr>
              <w:t>Model sediment, water quality concentrations, and flow for the Spring River for sediment cleanup methodology selection.</w:t>
            </w:r>
            <w:r w:rsidR="009F7B64" w:rsidRPr="00EA010A">
              <w:rPr>
                <w:rFonts w:eastAsia="Times New Roman" w:cstheme="minorHAnsi"/>
                <w:color w:val="000000"/>
                <w:sz w:val="20"/>
                <w:szCs w:val="20"/>
              </w:rPr>
              <w:t xml:space="preserve"> </w:t>
            </w:r>
          </w:p>
        </w:tc>
      </w:tr>
    </w:tbl>
    <w:p w14:paraId="18E8A5A9" w14:textId="77777777" w:rsidR="00F434CD" w:rsidRDefault="00F434CD" w:rsidP="00D95E5B">
      <w:pPr>
        <w:pStyle w:val="Heading2"/>
        <w:rPr>
          <w:rFonts w:asciiTheme="minorHAnsi" w:eastAsiaTheme="minorHAnsi" w:hAnsiTheme="minorHAnsi" w:cstheme="minorBidi"/>
          <w:b w:val="0"/>
          <w:sz w:val="22"/>
          <w:szCs w:val="22"/>
        </w:rPr>
      </w:pPr>
    </w:p>
    <w:p w14:paraId="6F9EDF1A" w14:textId="096F9660" w:rsidR="009F7B64" w:rsidRDefault="009F7B64" w:rsidP="00D95E5B">
      <w:pPr>
        <w:pStyle w:val="Heading2"/>
      </w:pPr>
      <w:r>
        <w:t>Acid Mine Drainage</w:t>
      </w:r>
    </w:p>
    <w:p w14:paraId="3CE1CE93" w14:textId="77777777" w:rsidR="00D95E5B" w:rsidRPr="00D95E5B" w:rsidRDefault="00D95E5B" w:rsidP="00D95E5B"/>
    <w:p w14:paraId="0F7FE669" w14:textId="77777777" w:rsidR="00AD44E2" w:rsidRDefault="009F7B64" w:rsidP="00D95E5B">
      <w:pPr>
        <w:spacing w:line="480" w:lineRule="auto"/>
        <w:jc w:val="both"/>
        <w:rPr>
          <w:rFonts w:cs="Arial"/>
        </w:rPr>
      </w:pPr>
      <w:r w:rsidRPr="00CE4B50">
        <w:rPr>
          <w:rFonts w:cs="Arial"/>
        </w:rPr>
        <w:t>Acid mine drainage (AMD) is an environmental problem of unique complexity in its sources, composition, and impacts</w:t>
      </w:r>
      <w:r w:rsidR="00DF3C3F">
        <w:rPr>
          <w:rFonts w:cs="Arial"/>
        </w:rPr>
        <w:t xml:space="preserve"> </w:t>
      </w:r>
      <w:r w:rsidR="00DF3C3F">
        <w:rPr>
          <w:rFonts w:cs="Arial"/>
        </w:rPr>
        <w:fldChar w:fldCharType="begin" w:fldLock="1"/>
      </w:r>
      <w:r w:rsidR="006B2FB2">
        <w:rPr>
          <w:rFonts w:cs="Arial"/>
        </w:rPr>
        <w:instrText>ADDIN CSL_CITATION { "citationItems" : [ { "id" : "ITEM-1", "itemData" : { "DOI" : "10.1007/978-94-010-0610-1", "ISBN" : "978-1-4020-0138-3", "author" : [ { "dropping-particle" : "", "family" : "Younger", "given" : "Paul L.", "non-dropping-particle" : "", "parse-names" : false, "suffix" : "" }, { "dropping-particle" : "", "family" : "Banwart", "given" : "Steven A.", "non-dropping-particle" : "", "parse-names" : false, "suffix" : "" }, { "dropping-particle" : "", "family" : "Hedin", "given" : "Robert S.", "non-dropping-particle" : "", "parse-names" : false, "suffix" : "" } ], "collection-title" : "Environmental Pollution", "id" : "ITEM-1", "issued" : { "date-parts" : [ [ "2002" ] ] }, "publisher" : "Springer Netherlands", "publisher-place" : "Dordrecht", "title" : "Mine Water", "type" : "book", "volume" : "5" }, "uris" : [ "http://www.mendeley.com/documents/?uuid=e72cc459-e760-4040-87e4-0a8284d6c757" ] }, { "id" : "ITEM-2", "itemData" : { "DOI" : "10.1080/713610023", "ISBN" : "1080-7039", "ISSN" : "1080-7039", "abstract" : "The Clinch-Powell River system of Virginia and Tennessee, USA, is among the most biologically diverse ecosystems in the world, and has been identified as a conservation priority of national importance. Other researchers have attributed declines in Powell River freshwater mussel populations to coal mining-related activi- ties. The objectives of this paper are to synthesize the results of several studies aimed at assessing acid mine drainage (AMD) impacts in the Powell River watershed, and to describe the relative roles of AMD, nutrient loading, and urban runoff in struc- turing the benthic macroinvertebrate communities of the Powell River. Impacts ranged from acute toxicity due to the combination of acid and metals, acute aluminum toxicity in circumneutral pH waters, and physical impacts from solid ferrihydrite, to decreased clam growth due to urban runoff. These findings support the concern that AMD negatively impacts aquatic biota in the Powell River water- shed in a variety of ways, and emphasize the importance of taking measures to properly reclaim areas that are producing mine drainage. However, past-mining related pollutants are not the only source of aquatic-community impact in these watersheds, as nutrient loading and urban runoff both were associated with substan- tial changes in community structure and clam growth.", "author" : [ { "dropping-particle" : "", "family" : "Soucek", "given" : "David J", "non-dropping-particle" : "", "parse-names" : false, "suffix" : "" }, { "dropping-particle" : "", "family" : "Cherry", "given" : "Donald S", "non-dropping-particle" : "", "parse-names" : false, "suffix" : "" }, { "dropping-particle" : "", "family" : "Zipper", "given" : "Carl E", "non-dropping-particle" : "", "parse-names" : false, "suffix" : "" } ], "container-title" : "Human and Ecological Risk Assessment: An International Journal", "id" : "ITEM-2", "issue" : "4", "issued" : { "date-parts" : [ [ "2003" ] ] }, "page" : "1059-1073", "title" : "Impacts of Mine Drainage and Other Nonpoint Source Pollutants on Aquatic Biota in the Upper Powell River System, Virginia", "type" : "article-journal", "volume" : "9" }, "uris" : [ "http://www.mendeley.com/documents/?uuid=78479638-bad5-410f-b357-096be2413732" ] }, { "id" : "ITEM-3", "itemData" : { "DOI" : "10.1016/j.scitotenv.2004.09.002", "ISBN" : "0048-9697", "ISSN" : "00489697", "PMID" : "15680622", "abstract" : "Acid mine drainage (AMD) causes environmental pollution that affects many countries having historic or current mining industries. Preventing the formation or the migration of AMD from its source is generally considered to be the preferable option, although this is not feasible in many locations, and in such cases, it is necessary to collect, treat, and discharge mine water. There are various options available for remediating AMD, which may be divided into those that use either chemical or biological mechanisms to neutralise AMD and remove metals from solution. Both abiotic and biological systems include those that are classed as \"active\" (i.e., require continuous inputs of resources to sustain the process) or \"passive\" (i.e., require relatively little resource input once in operation). This review describes the current abiotic and bioremediative strategies that are currently used to mitigate AMD and compares the strengths and weaknesses of each. New and emerging technologies are also described. In addition, the factors that currently influence the selection of a remediation system, and how these criteria may change in the future, are discussed. ?? 2004 Elsevier B.V. All rights reserved.", "author" : [ { "dropping-particle" : "", "family" : "Johnson", "given" : "D. Barrie", "non-dropping-particle" : "", "parse-names" : false, "suffix" : "" }, { "dropping-particle" : "", "family" : "Hallberg", "given" : "Kevin B.", "non-dropping-particle" : "", "parse-names" : false, "suffix" : "" } ], "container-title" : "Science of the Total Environment", "id" : "ITEM-3", "issue" : "1-2 SPEC. ISS.", "issued" : { "date-parts" : [ [ "2005" ] ] }, "page" : "3-14", "title" : "Acid mine drainage remediation options: A review", "type" : "article-journal", "volume" : "338" }, "uris" : [ "http://www.mendeley.com/documents/?uuid=592164da-3852-4299-b598-8c014ebe3d6d" ] }, { "id" : "ITEM-4", "itemData" : { "DOI" : "10.2134/jeq1993.00472425002200010029x", "ISBN" : "0824706307", "ISSN" : "0300483X", "PMID" : "15558630", "abstract" : "Excessive levels of heavy metals can be introduced into the environment, for example, by industrial waste or fertilizers. Soil represents a major sink for heavy metals ions, which can then enter the food chain via plants or leaching into groundwater. In Heavy MeBradl, Heike B. 2005. Heavy Metals In The Environment. Academic Press Retrieved May 7, 2012 Ions in the Environment, the author looks at where heavy metals ions come from, how they interact with the environment and how they can be removed from the environment by a process known as remediation. This book serves as a valuable addition to an increasingly important field of study, which is, at present, served by a limited number of archival texts. Includes comprehensive coverage of heavy metal ions in the environment Is practical and easy to read Is suitable for students and researchers in environmental science and environmental or chemical engineering", "author" : [ { "dropping-particle" : "", "family" : "Sheppard", "given" : "Marsha I.", "non-dropping-particle" : "", "parse-names" : false, "suffix" : "" } ], "container-title" : "Journal of Environment Quality", "id" : "ITEM-4", "issue" : "1", "issued" : { "date-parts" : [ [ "1993" ] ] }, "page" : "213", "title" : "Heavy Metals in the Environment", "type" : "chapter", "volume" : "22" }, "uris" : [ "http://www.mendeley.com/documents/?uuid=75e23693-4bef-4dbc-8077-14b675e28685" ] }, { "id" : "ITEM-5", "itemData" : { "DOI" : "10.1007/s10230-008-0041-9", "ISBN" : "0883-2927", "ISSN" : "10259112", "PMID" : "11561625", "abstract" : "The Marchand passive treatment system was constructed in 2006 for a 6,000 L/min discharge from an abandoned underground bituminous coal mine located in western Pennsylvania, USA. The system consists of six serially connected ponds followed by a large constructed wetland. Treatment performance was monitored between December 2006 and 2007. The system inflow was alkaline with pH 6.2, 337 mg/L CaCO3 alkalinity, 74 mg/L Fe, 1 mg/L Mn, and\\1 mg/L Al. The final discharge averaged pH 7.5, 214 mg/L CaCO3 alkalinity, and 0.8 mg/L Fe. The settling ponds removed 84% of the Fe at an average rate of 26 g Fe m-2 day-1. The constructed wetland removed residual Fe at a rate of 4 g Fe m-2 day-1. Analyses of dissolved and particulate Fe fractions indicated that Fe removal was limited in the ponds by the rate of iron oxi- dation and in the wetland by the rate of particulate iron settling. The treatment effectiveness of the system did not substantially degrade during cold weather or at high flows. The system cost $1.3 million (2006) or $207 (US) per L/min of average flow. Annual maintenance and sampling costs are projected at $10,000 per year. The 25-year present value cost estimate (4% discount rate) is $1.45 million or $0.018 per 1,000 L of treated flow", "author" : [ { "dropping-particle" : "", "family" : "Zipper", "given" : "Carl E.", "non-dropping-particle" : "", "parse-names" : false, "suffix" : "" }, { "dropping-particle" : "", "family" : "Skousen", "given" : "Jeffrey G.", "non-dropping-particle" : "", "parse-names" : false, "suffix" : "" }, { "dropping-particle" : "", "family" : "Younger", "given" : "Paul L.; Steven Banwart; Robert Hedin", "non-dropping-particle" : "", "parse-names" : false, "suffix" : "" }, { "dropping-particle" : "", "family" : "Watzlaf", "given" : "George R", "non-dropping-particle" : "", "parse-names" : false, "suffix" : "" }, { "dropping-particle" : "", "family" : "Schroeder", "given" : "Karl T", "non-dropping-particle" : "", "parse-names" : false, "suffix" : "" }, { "dropping-particle" : "", "family" : "Kleinmann", "given" : "Robert L P", "non-dropping-particle" : "", "parse-names" : false, "suffix" : "" }, { "dropping-particle" : "", "family" : "Kairies", "given" : "Candace L", "non-dropping-particle" : "", "parse-names" : false, "suffix" : "" }, { "dropping-particle" : "", "family" : "Nairn", "given" : "Robert W.", "non-dropping-particle" : "", "parse-names" : false, "suffix" : "" }, { "dropping-particle" : "", "family" : "Street", "given" : "West Boyd", "non-dropping-particle" : "", "parse-names" : false, "suffix" : "" }, { "dropping-particle" : "", "family" : "US Environmental Protection Agency", "given" : "", "non-dropping-particle" : "", "parse-names" : false, "suffix" : "" }, { "dropping-particle" : "", "family" : "Tarutis", "given" : "William J.", "non-dropping-particle" : "", "parse-names" : false, "suffix" : "" }, { "dropping-particle" : "", "family" : "Stark", "given" : "Lloyd R.", "non-dropping-particle" : "", "parse-names" : false, "suffix" : "" }, { "dropping-particle" : "", "family" : "Williams", "given" : "Frederick M.", "non-dropping-particle" : "", "parse-names" : false, "suffix" : "" }, { "dropping-particle" : "", "family" : "Swedlund", "given" : "Peter J.", "non-dropping-particle" : "", "parse-names" : false, "suffix" : "" }, { "dropping-particle" : "", "family" : "Webster", "given" : "Jenny G.", "non-dropping-particle" : "", "parse-names" : false, "suffix" : "" }, { "dropping-particle" : "", "family" : "Miskelly", "given" : "Gordon M.", "non-dropping-particle" : "", "parse-names" : false, "suffix" : "" }, { "dropping-particle" : "", "family" : "Stark", "given" : "Lloyd R.", "non-dropping-particle" : "", "parse-names" : false, "suffix" : "" }, { "dropping-particle" : "", "family" : "Williams", "given" : "Frederick M.", "non-dropping-particle" : "", "parse-names" : false, "suffix" : "" }, { "dropping-particle" : "", "family" : "Skousen", "given" : "Jeffrey G.", "non-dropping-particle" : "", "parse-names" : false, "suffix" : "" }, { "dropping-particle" : "", "family" : "Ziemkiewicz", "given" : "Paul", "non-dropping-particle" : "", "parse-names" : false, "suffix" : "" }, { "dropping-particle" : "", "family" : "Sheppard", "given" : "Marsha I.", "non-dropping-particle" : "", "parse-names" : false, "suffix" : "" }, { "dropping-particle" : "", "family" : "Scheibach", "given" : "R Bruce", "non-dropping-particle" : "", "parse-names" : false, "suffix" : "" }, { "dropping-particle" : "", "family" : "Williams", "given" : "Roy E", "non-dropping-particle" : "", "parse-names" : false, "suffix" : "" }, { "dropping-particle" : "", "family" : "Genes", "given" : "Benjamin R", "non-dropping-particle" : "", "parse-names" : false, "suffix" : "" }, { "dropping-particle" : "", "family" : "Jarman", "given" : "Ron", "non-dropping-particle" : "", "parse-names" : false, "suffix" : "" }, { "dropping-particle" : "", "family" : "Sapsford", "given" : "D. J.", "non-dropping-particle" : "", "parse-names" : false, "suffix" : "" }, { "dropping-particle" : "", "family" : "Williams", "given" : "K. P.", "non-dropping-particle" : "", "parse-names" : false, "suffix" : "" }, { "dropping-particle" : "", "family" : "Oklahoma Department of Environmental Quality", "given" : "", "non-dropping-particle" : "", "parse-names" : false, "suffix" : "" }, { "dropping-particle" : "", "family" : "OKDEQ", "given" : "Oklahoma Division of Environmental Qualitry", "non-dropping-particle" : "", "parse-names" : false, "suffix" : "" }, { "dropping-particle" : "", "family" : "Nemati", "given" : "M", "non-dropping-particle" : "", "parse-names" : false, "suffix" : "" }, { "dropping-particle" : "", "family" : "Harrison", "given" : "S T L", "non-dropping-particle" : "", "parse-names" : false, "suffix" : "" }, { "dropping-particle" : "", "family" : "Hansford", "given" : "G S", "non-dropping-particle" : "", "parse-names" : false, "suffix" : "" }, { "dropping-particle" : "", "family" : "Webb", "given" : "C", "non-dropping-particle" : "", "parse-names" : false, "suffix" : "" }, { "dropping-particle" : "", "family" : "Mitsch", "given" : "William; J.", "non-dropping-particle" : "", "parse-names" : false, "suffix" : "" }, { "dropping-particle" : "", "family" : "Wise", "given" : "Karen M", "non-dropping-particle" : "", "parse-names" : false, "suffix" : "" }, { "dropping-particle" : "", "family" : "Lenoble", "given" : "V\u00e9ronique", "non-dropping-particle" : "", "parse-names" : false, "suffix" : "" }, { "dropping-particle" : "", "family" : "Bouras", "given" : "Omar", "non-dropping-particle" : "", "parse-names" : false, "suffix" : "" }, { "dropping-particle" : "", "family" : "Deluchat", "given" : "V\u00e9ronique", "non-dropping-particle" : "", "parse-names" : false, "suffix" : "" }, { "dropping-particle" : "", "family" : "Serpaud", "given" : "Bernard", "non-dropping-particle" : "", "parse-names" : false, "suffix" : "" }, { "dropping-particle" : "", "family" : "Bollinger", "given" : "Jean-Claude", "non-dropping-particle" : "", "parse-names" : false, "suffix" : "" }, { "dropping-particle" : "", "family" : "Labar", "given" : "J a", "non-dropping-particle" : "", "parse-names" : false, "suffix" : "" }, { "dropping-particle" : "", "family" : "Nairn", "given" : "Robert W.", "non-dropping-particle" : "", "parse-names" : false, "suffix" : "" }, { "dropping-particle" : "", "family" : "Strevett", "given" : "K a", "non-dropping-particle" : "", "parse-names" : false, "suffix" : "" }, { "dropping-particle" : "", "family" : "Strosnider", "given" : "W H", "non-dropping-particle" : "", "parse-names" : false, "suffix" : "" }, { "dropping-particle" : "", "family" : "Morris", "given" : "D", "non-dropping-particle" : "", "parse-names" : false, "suffix" : "" }, { "dropping-particle" : "", "family" : "Neely", "given" : "C a", "non-dropping-particle" : "", "parse-names" : false, "suffix" : "" }, { "dropping-particle" : "", "family" : "Garrido", "given" : "a E", "non-dropping-particle" : "", "parse-names" : false, "suffix" : "" }, { "dropping-particle" : "", "family" : "Kauk", "given" : "K", "non-dropping-particle" : "", "parse-names" : false, "suffix" : "" }, { "dropping-particle" : "", "family" : "Kirby", "given" : "Carl S.", "non-dropping-particle" : "", "parse-names" : false, "suffix" : "" }, { "dropping-particle" : "", "family" : "Cravotta", "given" : "Charles A.", "non-dropping-particle" : "", "parse-names" : false, "suffix" : "" }, { "dropping-particle" : "", "family" : "Johnson", "given" : "D. Barrie", "non-dropping-particle" : "", "parse-names" : false, "suffix" : "" }, { "dropping-particle" : "", "family" : "Hallberg", "given" : "Kevin B.", "non-dropping-particle" : "", "parse-names" : false, "suffix" : "" }, { "dropping-particle" : "", "family" : "Jennings", "given" : "Stuart Russell", "non-dropping-particle" : "", "parse-names" : false, "suffix" : "" }, { "dropping-particle" : "", "family" : "Blicker", "given" : "Sue", "non-dropping-particle" : "", "parse-names" : false, "suffix" : "" }, { "dropping-particle" : "", "family" : "Neuman", "given" : "Pamela", "non-dropping-particle" : "", "parse-names" : false, "suffix" : "" }, { "dropping-particle" : "", "family" : "Dennis", "given" : "R", "non-dropping-particle" : "", "parse-names" : false, "suffix" : "" }, { "dropping-particle" : "", "family" : "Jarvis", "given" : "A. P.", "non-dropping-particle" : "", "parse-names" : false, "suffix" : "" }, { "dropping-particle" : "", "family" : "Younger", "given" : "Paul L.; Steven Banwart; Robert Hedin", "non-dropping-particle" : "", "parse-names" : false, "suffix" : "" }, { "dropping-particle" : "", "family" : "Hedin", "given" : "Robert S.", "non-dropping-particle" : "", "parse-names" : false, "suffix" : "" }, { "dropping-particle" : "", "family" : "Nairn", "given" : "Robert W.", "non-dropping-particle" : "", "parse-names" : false, "suffix" : "" }, { "dropping-particle" : "", "family" : "Hall", "given" : "G. H.", "non-dropping-particle" : "", "parse-names" : false, "suffix" : "" }, { "dropping-particle" : "", "family" : "Puhlmann", "given" : "T.", "non-dropping-particle" : "", "parse-names" : false, "suffix" : "" }, { "dropping-particle" : "", "family" : "Gleisner", "given" : "Magdalena", "non-dropping-particle" : "", "parse-names" : false, "suffix" : "" }, { "dropping-particle" : "", "family" : "Herbert", "given" : "Roger B.", "non-dropping-particle" : "", "parse-names" : false, "suffix" : "" }, { "dropping-particle" : "", "family" : "Frogner Kockum", "given" : "Paul C.", "non-dropping-particle" : "", "parse-names" : false, "suffix" : "" }, { "dropping-particle" : "", "family" : "Giblin", "given" : "a E", "non-dropping-particle" : "", "parse-names" : false, "suffix" : "" }, { "dropping-particle" : "", "family" : "Hole", "given" : "Woods", "non-dropping-particle" : "", "parse-names" : false, "suffix" : "" }, { "dropping-particle" : "", "family" : "Gazea", "given" : "B.", "non-dropping-particle" : "", "parse-names" : false, "suffix" : "" }, { "dropping-particle" : "", "family" : "Adam", "given" : "K.", "non-dropping-particle" : "", "parse-names" : false, "suffix" : "" }, { "dropping-particle" : "", "family" : "Kontopoulos", "given" : "A.", "non-dropping-particle" : "", "parse-names" : false, "suffix" : "" }, { "dropping-particle" : "", "family" : "Flanagan", "given" : "Neal E.", "non-dropping-particle" : "", "parse-names" : false, "suffix" : "" }, { "dropping-particle" : "", "family" : "Mitsch", "given" : "William; J.", "non-dropping-particle" : "", "parse-names" : false, "suffix" : "" }, { "dropping-particle" : "", "family" : "Beach", "given" : "Kirk", "non-dropping-particle" : "", "parse-names" : false, "suffix" : "" }, { "dropping-particle" : "", "family" : "Demchak", "given" : "J.", "non-dropping-particle" : "", "parse-names" : false, "suffix" : "" }, { "dropping-particle" : "", "family" : "Morrow", "given" : "T.", "non-dropping-particle" : "", "parse-names" : false, "suffix" : "" }, { "dropping-particle" : "", "family" : "Skousen", "given" : "Jeffrey G.", "non-dropping-particle" : "", "parse-names" : false, "suffix" : "" }, { "dropping-particle" : "", "family" : "Cravotta", "given" : "Charles A.", "non-dropping-particle" : "", "parse-names" : false, "suffix" : "" }, { "dropping-particle" : "", "family" : "Christenson", "given" : "Scott", "non-dropping-particle" : "", "parse-names" : false, "suffix" : "" }, { "dropping-particle" : "", "family" : "Champagne", "given" : "P.", "non-dropping-particle" : "", "parse-names" : false, "suffix" : "" }, { "dropping-particle" : "", "family" : "Geel", "given" : "P.", "non-dropping-particle" : "Van", "parse-names" : false, "suffix" : "" }, { "dropping-particle" : "", "family" : "Parker", "given" : "W.", "non-dropping-particle" : "", "parse-names" : false, "suffix" : "" }, { "dropping-particle" : "", "family" : "Blowes", "given" : "D. W.", "non-dropping-particle" : "", "parse-names" : false, "suffix" : "" }, { "dropping-particle" : "", "family" : "Ptacek", "given" : "C. J.", "non-dropping-particle" : "", "parse-names" : false, "suffix" : "" }, { "dropping-particle" : "", "family" : "Jambor", "given" : "J. L.", "non-dropping-particle" : "", "parse-names" : false, "suffix" : "" }, { "dropping-particle" : "", "family" : "Weisener", "given" : "C. G.", "non-dropping-particle" : "", "parse-names" : false, "suffix" : "" }, { "dropping-particle" : "", "family" : "Paktunc", "given" : "D.", "non-dropping-particle" : "", "parse-names" : false, "suffix" : "" }, { "dropping-particle" : "", "family" : "Gould", "given" : "W. D.", "non-dropping-particle" : "", "parse-names" : false, "suffix" : "" }, { "dropping-particle" : "", "family" : "Johnson", "given" : "D. Barrie", "non-dropping-particle" : "", "parse-names" : false, "suffix" : "" } ], "container-title" : "Mine Water and the Environment", "edition" : "Vol 5", "editor" : [ { "dropping-particle" : "", "family" : "Alloway, Brian; Trevors", "given" : "Jack", "non-dropping-particle" : "", "parse-names" : false, "suffix" : "" } ], "id" : "ITEM-5", "issue" : "2", "issued" : { "date-parts" : [ [ "2005" ] ] }, "page" : "200-209", "publisher" : "Elsevier Ltd", "publisher-place" : "Oklahoma City", "title" : "Tar Creek Superfund Site", "type" : "article-journal", "volume" : "1" }, "uris" : [ "http://www.mendeley.com/documents/?uuid=4c7646d5-192a-484e-b713-d0d844474e08" ] } ], "mendeley" : { "formattedCitation" : "(Sheppard 1993; Younger et al. 2002; Soucek et al. 2003; Johnson and Hallberg 2005; Zipper et al. 2005)", "plainTextFormattedCitation" : "(Sheppard 1993; Younger et al. 2002; Soucek et al. 2003; Johnson and Hallberg 2005; Zipper et al. 2005)", "previouslyFormattedCitation" : "(Sheppard 1993; Younger et al. 2002; Soucek et al. 2003; Johnson and Hallberg 2005; Zipper et al. 2005)" }, "properties" : { "noteIndex" : 0 }, "schema" : "https://github.com/citation-style-language/schema/raw/master/csl-citation.json" }</w:instrText>
      </w:r>
      <w:r w:rsidR="00DF3C3F">
        <w:rPr>
          <w:rFonts w:cs="Arial"/>
        </w:rPr>
        <w:fldChar w:fldCharType="separate"/>
      </w:r>
      <w:r w:rsidR="00DF3C3F" w:rsidRPr="00DF3C3F">
        <w:rPr>
          <w:rFonts w:cs="Arial"/>
          <w:noProof/>
        </w:rPr>
        <w:t>(Sheppard 1993; Younger et al. 2002; Soucek et al. 2003; Johnson and Hallberg 2005; Zipper et al. 2005)</w:t>
      </w:r>
      <w:r w:rsidR="00DF3C3F">
        <w:rPr>
          <w:rFonts w:cs="Arial"/>
        </w:rPr>
        <w:fldChar w:fldCharType="end"/>
      </w:r>
      <w:r w:rsidRPr="00CE4B50">
        <w:rPr>
          <w:rFonts w:cs="Arial"/>
        </w:rPr>
        <w:t>.  AMD is produced through natural weathering processes in which exposed sulfide minerals react with oxygen and water to liberate dissolved metals and acidity (Dubbin et al. 2005).  This phenomenon is enhanced when the exposed surface area of sulfide minerals is dramatically increased through mining disturbance (</w:t>
      </w:r>
      <w:proofErr w:type="spellStart"/>
      <w:r w:rsidRPr="00CE4B50">
        <w:rPr>
          <w:rFonts w:cs="Arial"/>
        </w:rPr>
        <w:t>Watzlaf</w:t>
      </w:r>
      <w:proofErr w:type="spellEnd"/>
      <w:r w:rsidRPr="00CE4B50">
        <w:rPr>
          <w:rFonts w:cs="Arial"/>
        </w:rPr>
        <w:t xml:space="preserve"> et al. 2004).  The weathering process is catalyzed by biotic and abiotic factors including bacteria like</w:t>
      </w:r>
      <w:r w:rsidRPr="00CE4B50">
        <w:rPr>
          <w:rFonts w:cs="Arial"/>
          <w:i/>
          <w:iCs/>
          <w:color w:val="000000"/>
        </w:rPr>
        <w:t xml:space="preserve"> </w:t>
      </w:r>
      <w:proofErr w:type="spellStart"/>
      <w:r w:rsidRPr="00CE4B50">
        <w:rPr>
          <w:rFonts w:cs="Arial"/>
          <w:i/>
          <w:iCs/>
          <w:color w:val="000000"/>
        </w:rPr>
        <w:t>Ferroplasma</w:t>
      </w:r>
      <w:proofErr w:type="spellEnd"/>
      <w:r w:rsidRPr="00CE4B50">
        <w:rPr>
          <w:rFonts w:cs="Arial"/>
          <w:i/>
          <w:iCs/>
          <w:color w:val="000000"/>
        </w:rPr>
        <w:t xml:space="preserve"> </w:t>
      </w:r>
      <w:proofErr w:type="spellStart"/>
      <w:r w:rsidRPr="00CE4B50">
        <w:rPr>
          <w:rFonts w:cs="Arial"/>
          <w:i/>
          <w:iCs/>
          <w:color w:val="000000"/>
        </w:rPr>
        <w:t>acidarmanus</w:t>
      </w:r>
      <w:proofErr w:type="spellEnd"/>
      <w:r w:rsidRPr="00CE4B50">
        <w:rPr>
          <w:rFonts w:cs="Arial"/>
          <w:i/>
          <w:iCs/>
          <w:color w:val="000000"/>
        </w:rPr>
        <w:t xml:space="preserve"> or</w:t>
      </w:r>
      <w:r w:rsidRPr="00CE4B50">
        <w:rPr>
          <w:rFonts w:cs="Arial"/>
        </w:rPr>
        <w:t xml:space="preserve"> </w:t>
      </w:r>
      <w:proofErr w:type="spellStart"/>
      <w:r w:rsidRPr="00CE4B50">
        <w:rPr>
          <w:rStyle w:val="st"/>
          <w:rFonts w:cs="Arial"/>
          <w:i/>
        </w:rPr>
        <w:t>Acidithiobacillus</w:t>
      </w:r>
      <w:proofErr w:type="spellEnd"/>
      <w:r w:rsidRPr="00CE4B50">
        <w:rPr>
          <w:rStyle w:val="st"/>
          <w:rFonts w:cs="Arial"/>
          <w:i/>
        </w:rPr>
        <w:t xml:space="preserve"> </w:t>
      </w:r>
      <w:proofErr w:type="spellStart"/>
      <w:r w:rsidRPr="00CE4B50">
        <w:rPr>
          <w:rStyle w:val="st"/>
          <w:rFonts w:cs="Arial"/>
          <w:i/>
        </w:rPr>
        <w:t>ferrooxidans</w:t>
      </w:r>
      <w:proofErr w:type="spellEnd"/>
      <w:r w:rsidRPr="00CE4B50">
        <w:rPr>
          <w:rStyle w:val="st"/>
          <w:rFonts w:cs="Arial"/>
          <w:i/>
        </w:rPr>
        <w:t xml:space="preserve"> </w:t>
      </w:r>
      <w:r w:rsidRPr="00CE4B50">
        <w:rPr>
          <w:rStyle w:val="st"/>
          <w:rFonts w:cs="Arial"/>
        </w:rPr>
        <w:t>and</w:t>
      </w:r>
      <w:r w:rsidRPr="00CE4B50">
        <w:rPr>
          <w:rFonts w:cs="Arial"/>
        </w:rPr>
        <w:t xml:space="preserve"> the presence of dissolved iron and acidity (</w:t>
      </w:r>
      <w:proofErr w:type="spellStart"/>
      <w:r w:rsidRPr="00CE4B50">
        <w:rPr>
          <w:rStyle w:val="st"/>
          <w:rFonts w:cs="Arial"/>
        </w:rPr>
        <w:t>Nemati</w:t>
      </w:r>
      <w:proofErr w:type="spellEnd"/>
      <w:r w:rsidRPr="00CE4B50">
        <w:rPr>
          <w:rStyle w:val="st"/>
          <w:rFonts w:cs="Arial"/>
        </w:rPr>
        <w:t xml:space="preserve"> et al. 1998; </w:t>
      </w:r>
      <w:proofErr w:type="spellStart"/>
      <w:r w:rsidRPr="00CE4B50">
        <w:rPr>
          <w:rStyle w:val="st"/>
          <w:rFonts w:cs="Arial"/>
        </w:rPr>
        <w:t>Gleisner</w:t>
      </w:r>
      <w:proofErr w:type="spellEnd"/>
      <w:r w:rsidRPr="00CE4B50">
        <w:rPr>
          <w:rStyle w:val="st"/>
          <w:rFonts w:cs="Arial"/>
        </w:rPr>
        <w:t>, et al. 2006)</w:t>
      </w:r>
      <w:r w:rsidRPr="00CE4B50">
        <w:rPr>
          <w:rFonts w:cs="Arial"/>
        </w:rPr>
        <w:t xml:space="preserve">.  Regardless of whether or not this process occurs underground, or on the surface at exposed tailings or waste rock piles, the end result is the production of AMD. </w:t>
      </w:r>
    </w:p>
    <w:p w14:paraId="09AD43F2" w14:textId="25598083" w:rsidR="006B2FB2" w:rsidRDefault="001B7455" w:rsidP="00D95E5B">
      <w:pPr>
        <w:spacing w:line="480" w:lineRule="auto"/>
        <w:jc w:val="both"/>
        <w:rPr>
          <w:rFonts w:cs="Arial"/>
        </w:rPr>
      </w:pPr>
      <w:r>
        <w:rPr>
          <w:rFonts w:cs="Arial"/>
        </w:rPr>
        <w:t xml:space="preserve">Although AMD is commonly referred to as “acid mine drainage” its overall properties may be net acidic or net alkaline based on </w:t>
      </w:r>
      <w:r w:rsidR="006B2FB2">
        <w:rPr>
          <w:rFonts w:cs="Arial"/>
        </w:rPr>
        <w:t xml:space="preserve">composition of the water. </w:t>
      </w:r>
      <w:r w:rsidR="00F44970" w:rsidRPr="00CE4B50">
        <w:rPr>
          <w:rFonts w:cs="Arial"/>
        </w:rPr>
        <w:t>AMD is characterized as having elevated loadings of metals such as iron, lead, zinc, and cadmium</w:t>
      </w:r>
      <w:r w:rsidR="00F44970">
        <w:rPr>
          <w:rFonts w:cs="Arial"/>
        </w:rPr>
        <w:t xml:space="preserve">, </w:t>
      </w:r>
      <w:r w:rsidR="00F44970" w:rsidRPr="00CE4B50">
        <w:rPr>
          <w:rFonts w:cs="Arial"/>
        </w:rPr>
        <w:t>which also contribute to the acidity of impacted waters</w:t>
      </w:r>
      <w:r w:rsidR="00F44970">
        <w:rPr>
          <w:rFonts w:cs="Arial"/>
        </w:rPr>
        <w:t>,</w:t>
      </w:r>
      <w:r w:rsidR="00F44970" w:rsidRPr="00CE4B50">
        <w:rPr>
          <w:rFonts w:cs="Arial"/>
        </w:rPr>
        <w:t xml:space="preserve"> over reference site conditions, (</w:t>
      </w:r>
      <w:proofErr w:type="spellStart"/>
      <w:r w:rsidR="00F44970" w:rsidRPr="00CE4B50">
        <w:rPr>
          <w:rFonts w:cs="Arial"/>
        </w:rPr>
        <w:t>Cravotta</w:t>
      </w:r>
      <w:proofErr w:type="spellEnd"/>
      <w:r w:rsidR="00F44970" w:rsidRPr="00CE4B50">
        <w:rPr>
          <w:rFonts w:cs="Arial"/>
        </w:rPr>
        <w:t xml:space="preserve"> 2008a; </w:t>
      </w:r>
      <w:proofErr w:type="spellStart"/>
      <w:r w:rsidR="00F44970" w:rsidRPr="00CE4B50">
        <w:rPr>
          <w:rFonts w:cs="Arial"/>
        </w:rPr>
        <w:t>Cravotta</w:t>
      </w:r>
      <w:proofErr w:type="spellEnd"/>
      <w:r w:rsidR="00F44970" w:rsidRPr="00CE4B50">
        <w:rPr>
          <w:rFonts w:cs="Arial"/>
        </w:rPr>
        <w:t xml:space="preserve"> 2008b).</w:t>
      </w:r>
      <w:r w:rsidR="00F44970">
        <w:rPr>
          <w:rFonts w:cs="Arial"/>
        </w:rPr>
        <w:t xml:space="preserve"> </w:t>
      </w:r>
      <w:r w:rsidR="006B2FB2">
        <w:rPr>
          <w:rFonts w:cs="Arial"/>
        </w:rPr>
        <w:t xml:space="preserve">The concentration of </w:t>
      </w:r>
      <w:r w:rsidR="00AD44E2">
        <w:rPr>
          <w:rFonts w:cs="Arial"/>
        </w:rPr>
        <w:t>principle</w:t>
      </w:r>
      <w:r w:rsidR="006B2FB2">
        <w:rPr>
          <w:rFonts w:cs="Arial"/>
        </w:rPr>
        <w:t xml:space="preserve"> dissolved metals species, pH, and </w:t>
      </w:r>
      <w:r w:rsidR="004A6712">
        <w:rPr>
          <w:rFonts w:cs="Arial"/>
        </w:rPr>
        <w:t>alkalinity</w:t>
      </w:r>
      <w:r w:rsidR="006B2FB2">
        <w:rPr>
          <w:rFonts w:cs="Arial"/>
        </w:rPr>
        <w:t xml:space="preserve"> are used to calculate net acidity based on equation 1.1</w:t>
      </w:r>
      <w:r w:rsidR="005C42A7">
        <w:rPr>
          <w:rFonts w:cs="Arial"/>
        </w:rPr>
        <w:t xml:space="preserve"> (Hedin 2004)</w:t>
      </w:r>
      <w:r w:rsidR="006B2FB2">
        <w:rPr>
          <w:rFonts w:cs="Arial"/>
        </w:rPr>
        <w:t xml:space="preserve">. Waters are classified as net-acidic if acidity calculations exceed available alkalinity (a positive value), and are classified as net alkaline if the available alkalinity exceeds the acidic potential (a negative value) of the AMD </w:t>
      </w:r>
      <w:r w:rsidR="006B2FB2">
        <w:rPr>
          <w:rFonts w:cs="Arial"/>
        </w:rPr>
        <w:fldChar w:fldCharType="begin" w:fldLock="1"/>
      </w:r>
      <w:r w:rsidR="006B2FB2">
        <w:rPr>
          <w:rFonts w:cs="Arial"/>
        </w:rPr>
        <w:instrText>ADDIN CSL_CITATION { "citationItems" : [ { "id" : "ITEM-1", "itemData" : { "DOI" : "10.1016/j.apgeochem.2005.07.003", "ISBN" : "0883-2927", "ISSN" : "08832927", "abstract" : "The pH, alkalinity, and acidity of mine drainage and associated waters can be misinterpreted because of the chemical instability of samples and possible misunderstandings of standard analytical method results. Synthetic and field samples of mine drainage having various initial pH values and concentrations of dissolved metals and alkalinity were titrated by several methods, and the results were compared to alkalinity and acidity calculated based on dissolved solutes. The pH, alkalinity, and acidity were compared between fresh, unoxidized and aged, oxidized samples. Data for Pennsylvania coal mine drainage indicates that the pH of fresh samples was predominantly acidic (pH 2.5-4) or near neutral (pH 6-7); ??? 25% of the samples had pH values between 5 and 6. Following oxidation, no samples had pH values between 5 and 6. The Standard Method Alkalinity titration is constrained to yield values &gt;0. Most calculated and measured alkalinities for samples with positive alkalinities were in close agreement. However, for low-pH samples, the calculated alkalinity can be negative due to negative contributions by dissolved metals that may oxidize and hydrolyze. The Standard Method hot peroxide treatment titration for acidity determination (Hot Acidity) accurately indicates the potential for pH to decrease to acidic values after complete degassing of CO2 and oxidation of Fe and Mn, and it indicates either the excess alkalinity or that required for neutralization of the sample. The Hot Acidity directly measures net acidity (= -net alkalinity). Samples that had near-neutral pH after oxidation had negative Hot Acidity; samples that had pH &lt; 6.3 after oxidation had positive Hot Acidity. Samples with similar pH values before oxidation had dissimilar Hot Acidities due to variations in their alkalinities and dissolved Fe, Mn, and Al concentrations. Hot Acidity was approximately equal to net acidity calculated based on initial pH and dissolved concentrations of Fe, Mn, and Al minus the initial alkalinity. Acidity calculated from the pH and dissolved metals concentrations, assuming equivalents of 2 per mole of Fe and Mn and 3 per mole of Al, was equivalent to that calculated based on complete aqueous speciation of FeII/FeIII. Despite changes in the pH, alkalinity, and metals concentrations, the Hot Acidities were comparable for fresh and most aged samples. A meaningful \"net\" acidity can be determined from a measured Hot Acidity or by calculation from the pH, alkalinity, and dis\u2026", "author" : [ { "dropping-particle" : "", "family" : "Kirby", "given" : "Carl S.", "non-dropping-particle" : "", "parse-names" : false, "suffix" : "" }, { "dropping-particle" : "", "family" : "Cravotta", "given" : "Charles A.", "non-dropping-particle" : "", "parse-names" : false, "suffix" : "" } ], "container-title" : "Applied Geochemistry", "id" : "ITEM-1", "issue" : "10", "issued" : { "date-parts" : [ [ "2005" ] ] }, "page" : "1941-1964", "title" : "Net alkalinity and net acidity 2: Practical considerations", "type" : "article-journal", "volume" : "20" }, "uris" : [ "http://www.mendeley.com/documents/?uuid=f2317473-0cea-40d8-bcd7-4a84e4c26b82" ] } ], "mendeley" : { "formattedCitation" : "(Kirby and Cravotta 2005)", "plainTextFormattedCitation" : "(Kirby and Cravotta 2005)" }, "properties" : { "noteIndex" : 0 }, "schema" : "https://github.com/citation-style-language/schema/raw/master/csl-citation.json" }</w:instrText>
      </w:r>
      <w:r w:rsidR="006B2FB2">
        <w:rPr>
          <w:rFonts w:cs="Arial"/>
        </w:rPr>
        <w:fldChar w:fldCharType="separate"/>
      </w:r>
      <w:r w:rsidR="006B2FB2" w:rsidRPr="006B2FB2">
        <w:rPr>
          <w:rFonts w:cs="Arial"/>
          <w:noProof/>
        </w:rPr>
        <w:t>(Kirby and Cravotta 2005)</w:t>
      </w:r>
      <w:r w:rsidR="006B2FB2">
        <w:rPr>
          <w:rFonts w:cs="Arial"/>
        </w:rPr>
        <w:fldChar w:fldCharType="end"/>
      </w:r>
      <w:r w:rsidR="006B2FB2">
        <w:rPr>
          <w:rFonts w:cs="Arial"/>
        </w:rPr>
        <w:t>.</w:t>
      </w:r>
      <w:r w:rsidR="00AD44E2">
        <w:rPr>
          <w:rFonts w:cs="Arial"/>
        </w:rPr>
        <w:t xml:space="preserve"> </w:t>
      </w:r>
    </w:p>
    <w:p w14:paraId="0CA7215F" w14:textId="060B6F42" w:rsidR="005C42A7" w:rsidRPr="005C42A7" w:rsidRDefault="00147A98" w:rsidP="00D95E5B">
      <w:pPr>
        <w:spacing w:line="480" w:lineRule="auto"/>
        <w:jc w:val="both"/>
        <w:rPr>
          <w:rFonts w:cs="Arial"/>
          <w:sz w:val="20"/>
        </w:rPr>
      </w:pPr>
      <m:oMath>
        <m:sSub>
          <m:sSubPr>
            <m:ctrlPr>
              <w:rPr>
                <w:rFonts w:ascii="Cambria Math" w:hAnsi="Cambria Math" w:cstheme="minorHAnsi"/>
                <w:sz w:val="20"/>
                <w:szCs w:val="20"/>
              </w:rPr>
            </m:ctrlPr>
          </m:sSubPr>
          <m:e>
            <m:r>
              <m:rPr>
                <m:sty m:val="p"/>
              </m:rPr>
              <w:rPr>
                <w:rFonts w:ascii="Cambria Math" w:hAnsi="Cambria Math" w:cstheme="minorHAnsi"/>
                <w:sz w:val="20"/>
                <w:szCs w:val="20"/>
              </w:rPr>
              <m:t>net acidity</m:t>
            </m:r>
          </m:e>
          <m:sub>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=50</m:t>
        </m:r>
        <m:d>
          <m:dPr>
            <m:begChr m:val="["/>
            <m:endChr m:val="]"/>
            <m:ctrlPr>
              <w:rPr>
                <w:rFonts w:ascii="Cambria Math" w:hAnsi="Cambria Math" w:cstheme="minorHAnsi"/>
                <w:sz w:val="20"/>
                <w:szCs w:val="20"/>
              </w:rPr>
            </m:ctrlPr>
          </m:dPr>
          <m:e>
            <m:r>
              <m:rPr>
                <m:sty m:val="p"/>
              </m:rPr>
              <w:rPr>
                <w:rFonts w:ascii="Cambria Math" w:hAnsi="Cambria Math" w:cstheme="minorHAnsi"/>
                <w:sz w:val="20"/>
                <w:szCs w:val="20"/>
              </w:rPr>
              <m:t>1000</m:t>
            </m:r>
            <m:d>
              <m:dPr>
                <m:ctrlPr>
                  <w:rPr>
                    <w:rFonts w:ascii="Cambria Math" w:hAnsi="Cambria Math" w:cstheme="minorHAnsi"/>
                    <w:sz w:val="20"/>
                    <w:szCs w:val="20"/>
                  </w:rPr>
                </m:ctrlPr>
              </m:dPr>
              <m:e>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-pH</m:t>
                    </m:r>
                  </m:sup>
                </m:sSup>
              </m:e>
            </m:d>
            <m:r>
              <m:rPr>
                <m:sty m:val="p"/>
              </m:rPr>
              <w:rPr>
                <w:rFonts w:ascii="Cambria Math" w:hAnsi="Cambria Math" w:cstheme="minorHAnsi"/>
                <w:sz w:val="20"/>
                <w:szCs w:val="20"/>
              </w:rPr>
              <m:t>+</m:t>
            </m:r>
            <m:f>
              <m:fPr>
                <m:ctrlPr>
                  <w:rPr>
                    <w:rFonts w:ascii="Cambria Math" w:hAnsi="Cambria Math" w:cstheme="minorHAnsi"/>
                    <w:sz w:val="20"/>
                    <w:szCs w:val="20"/>
                  </w:rPr>
                </m:ctrlPr>
              </m:fPr>
              <m:num>
                <m:r>
                  <m:rPr>
                    <m:sty m:val="p"/>
                  </m:rPr>
                  <w:rPr>
                    <w:rFonts w:ascii="Cambria Math" w:hAnsi="Cambria Math" w:cstheme="minorHAnsi"/>
                    <w:sz w:val="20"/>
                    <w:szCs w:val="20"/>
                  </w:rPr>
                  <m:t>2(</m:t>
                </m:r>
                <m:sSup>
                  <m:sSupPr>
                    <m:ctrlPr>
                      <w:rPr>
                        <w:rFonts w:ascii="Cambria Math" w:hAnsi="Cambria Math" w:cstheme="minorHAnsi"/>
                        <w:sz w:val="20"/>
                        <w:szCs w:val="20"/>
                      </w:rPr>
                    </m:ctrlPr>
                  </m:sSupPr>
                  <m:e>
                    <m:r>
                      <m:rPr>
                        <m:sty m:val="p"/>
                      </m:rPr>
                      <w:rPr>
                        <w:rFonts w:ascii="Cambria Math" w:hAnsi="Cambria Math" w:cstheme="minorHAnsi"/>
                        <w:sz w:val="20"/>
                        <w:szCs w:val="20"/>
                      </w:rPr>
                      <m:t>Fe</m:t>
                    </m:r>
                  </m:e>
                  <m:sup>
                    <m:r>
                      <m:rPr>
                        <m:sty m:val="p"/>
                      </m:rPr>
                      <w:rPr>
                        <w:rFonts w:ascii="Cambria Math" w:hAnsi="Cambria Math" w:cstheme="minorHAnsi"/>
                        <w:sz w:val="20"/>
                        <w:szCs w:val="20"/>
                      </w:rPr>
                      <m:t>2+</m:t>
                    </m:r>
                  </m:sup>
                </m:sSup>
                <m:r>
                  <m:rPr>
                    <m:sty m:val="p"/>
                  </m:rPr>
                  <w:rPr>
                    <w:rFonts w:ascii="Cambria Math" w:hAnsi="Cambria Math" w:cstheme="minorHAnsi"/>
                    <w:sz w:val="20"/>
                    <w:szCs w:val="20"/>
                  </w:rPr>
                  <m:t>)</m:t>
                </m:r>
              </m:num>
              <m:den>
                <m:r>
                  <m:rPr>
                    <m:sty m:val="p"/>
                  </m:rPr>
                  <w:rPr>
                    <w:rFonts w:ascii="Cambria Math" w:hAnsi="Cambria Math" w:cstheme="minorHAnsi"/>
                    <w:sz w:val="20"/>
                    <w:szCs w:val="20"/>
                  </w:rPr>
                  <m:t>56</m:t>
                </m:r>
              </m:den>
            </m:f>
            <m:r>
              <m:rPr>
                <m:sty m:val="p"/>
              </m:rPr>
              <w:rPr>
                <w:rFonts w:ascii="Cambria Math" w:hAnsi="Cambria Math" w:cstheme="minorHAnsi"/>
                <w:sz w:val="20"/>
                <w:szCs w:val="20"/>
              </w:rPr>
              <m:t>+</m:t>
            </m:r>
            <m:f>
              <m:fPr>
                <m:ctrlPr>
                  <w:rPr>
                    <w:rFonts w:ascii="Cambria Math" w:hAnsi="Cambria Math" w:cstheme="minorHAnsi"/>
                    <w:sz w:val="20"/>
                    <w:szCs w:val="20"/>
                  </w:rPr>
                </m:ctrlPr>
              </m:fPr>
              <m:num>
                <m:r>
                  <m:rPr>
                    <m:sty m:val="p"/>
                  </m:rPr>
                  <w:rPr>
                    <w:rFonts w:ascii="Cambria Math" w:hAnsi="Cambria Math" w:cstheme="minorHAnsi"/>
                    <w:sz w:val="20"/>
                    <w:szCs w:val="20"/>
                  </w:rPr>
                  <m:t>3(</m:t>
                </m:r>
                <m:sSup>
                  <m:sSupPr>
                    <m:ctrlPr>
                      <w:rPr>
                        <w:rFonts w:ascii="Cambria Math" w:hAnsi="Cambria Math" w:cstheme="minorHAnsi"/>
                        <w:sz w:val="20"/>
                        <w:szCs w:val="20"/>
                      </w:rPr>
                    </m:ctrlPr>
                  </m:sSupPr>
                  <m:e>
                    <m:r>
                      <m:rPr>
                        <m:sty m:val="p"/>
                      </m:rPr>
                      <w:rPr>
                        <w:rFonts w:ascii="Cambria Math" w:hAnsi="Cambria Math" w:cstheme="minorHAnsi"/>
                        <w:sz w:val="20"/>
                        <w:szCs w:val="20"/>
                      </w:rPr>
                      <m:t>Fe</m:t>
                    </m:r>
                  </m:e>
                  <m:sup>
                    <m:r>
                      <m:rPr>
                        <m:sty m:val="p"/>
                      </m:rPr>
                      <w:rPr>
                        <w:rFonts w:ascii="Cambria Math" w:hAnsi="Cambria Math" w:cstheme="minorHAnsi"/>
                        <w:sz w:val="20"/>
                        <w:szCs w:val="20"/>
                      </w:rPr>
                      <m:t>3+</m:t>
                    </m:r>
                  </m:sup>
                </m:sSup>
                <m:r>
                  <m:rPr>
                    <m:sty m:val="p"/>
                  </m:rPr>
                  <w:rPr>
                    <w:rFonts w:ascii="Cambria Math" w:hAnsi="Cambria Math" w:cstheme="minorHAnsi"/>
                    <w:sz w:val="20"/>
                    <w:szCs w:val="20"/>
                  </w:rPr>
                  <m:t>)</m:t>
                </m:r>
              </m:num>
              <m:den>
                <m:r>
                  <m:rPr>
                    <m:sty m:val="p"/>
                  </m:rPr>
                  <w:rPr>
                    <w:rFonts w:ascii="Cambria Math" w:hAnsi="Cambria Math" w:cstheme="minorHAnsi"/>
                    <w:sz w:val="20"/>
                    <w:szCs w:val="20"/>
                  </w:rPr>
                  <m:t>56</m:t>
                </m:r>
              </m:den>
            </m:f>
            <m:r>
              <m:rPr>
                <m:sty m:val="p"/>
              </m:rPr>
              <w:rPr>
                <w:rFonts w:ascii="Cambria Math" w:hAnsi="Cambria Math" w:cstheme="minorHAnsi"/>
                <w:sz w:val="20"/>
                <w:szCs w:val="20"/>
              </w:rPr>
              <m:t>+</m:t>
            </m:r>
            <m:f>
              <m:fPr>
                <m:ctrlPr>
                  <w:rPr>
                    <w:rFonts w:ascii="Cambria Math" w:hAnsi="Cambria Math" w:cstheme="minorHAnsi"/>
                    <w:sz w:val="20"/>
                    <w:szCs w:val="20"/>
                  </w:rPr>
                </m:ctrlPr>
              </m:fPr>
              <m:num>
                <m:r>
                  <m:rPr>
                    <m:sty m:val="p"/>
                  </m:rPr>
                  <w:rPr>
                    <w:rFonts w:ascii="Cambria Math" w:hAnsi="Cambria Math" w:cstheme="minorHAnsi"/>
                    <w:sz w:val="20"/>
                    <w:szCs w:val="20"/>
                  </w:rPr>
                  <m:t>2(Mn)</m:t>
                </m:r>
              </m:num>
              <m:den>
                <m:r>
                  <m:rPr>
                    <m:sty m:val="p"/>
                  </m:rPr>
                  <w:rPr>
                    <w:rFonts w:ascii="Cambria Math" w:hAnsi="Cambria Math" w:cstheme="minorHAnsi"/>
                    <w:sz w:val="20"/>
                    <w:szCs w:val="20"/>
                  </w:rPr>
                  <m:t>55</m:t>
                </m:r>
              </m:den>
            </m:f>
            <m:r>
              <m:rPr>
                <m:sty m:val="p"/>
              </m:rPr>
              <w:rPr>
                <w:rFonts w:ascii="Cambria Math" w:hAnsi="Cambria Math" w:cstheme="minorHAnsi"/>
                <w:sz w:val="20"/>
                <w:szCs w:val="20"/>
              </w:rPr>
              <m:t>+</m:t>
            </m:r>
            <m:f>
              <m:fPr>
                <m:ctrlPr>
                  <w:rPr>
                    <w:rFonts w:ascii="Cambria Math" w:hAnsi="Cambria Math" w:cstheme="minorHAnsi"/>
                    <w:sz w:val="20"/>
                    <w:szCs w:val="20"/>
                  </w:rPr>
                </m:ctrlPr>
              </m:fPr>
              <m:num>
                <m:r>
                  <m:rPr>
                    <m:sty m:val="p"/>
                  </m:rPr>
                  <w:rPr>
                    <w:rFonts w:ascii="Cambria Math" w:hAnsi="Cambria Math" w:cstheme="minorHAnsi"/>
                    <w:sz w:val="20"/>
                    <w:szCs w:val="20"/>
                  </w:rPr>
                  <m:t>3(Al)</m:t>
                </m:r>
              </m:num>
              <m:den>
                <m:r>
                  <m:rPr>
                    <m:sty m:val="p"/>
                  </m:rPr>
                  <w:rPr>
                    <w:rFonts w:ascii="Cambria Math" w:hAnsi="Cambria Math" w:cstheme="minorHAnsi"/>
                    <w:sz w:val="20"/>
                    <w:szCs w:val="20"/>
                  </w:rPr>
                  <m:t>27</m:t>
                </m:r>
              </m:den>
            </m:f>
          </m:e>
        </m:d>
        <m:r>
          <m:rPr>
            <m:sty m:val="p"/>
          </m:rPr>
          <w:rPr>
            <w:rFonts w:ascii="Cambria Math" w:hAnsi="Cambria Math" w:cstheme="minorHAnsi"/>
            <w:sz w:val="20"/>
            <w:szCs w:val="20"/>
          </w:rPr>
          <m:t>-Alkalinity</m:t>
        </m:r>
      </m:oMath>
      <w:r w:rsidR="005C42A7">
        <w:rPr>
          <w:rFonts w:eastAsiaTheme="minorEastAsia" w:cs="Arial"/>
          <w:sz w:val="20"/>
        </w:rPr>
        <w:tab/>
        <w:t>(1.1)</w:t>
      </w:r>
    </w:p>
    <w:p w14:paraId="57F3E824" w14:textId="08A54E7E" w:rsidR="00F44970" w:rsidRDefault="009F7B64" w:rsidP="009F7B64">
      <w:pPr>
        <w:spacing w:line="480" w:lineRule="auto"/>
        <w:jc w:val="both"/>
        <w:rPr>
          <w:rFonts w:cs="Arial"/>
        </w:rPr>
      </w:pPr>
      <w:r w:rsidRPr="00CE4B50">
        <w:rPr>
          <w:rFonts w:cs="Arial"/>
        </w:rPr>
        <w:lastRenderedPageBreak/>
        <w:t xml:space="preserve">AMD </w:t>
      </w:r>
      <w:r w:rsidR="00AD44E2">
        <w:rPr>
          <w:rFonts w:cs="Arial"/>
        </w:rPr>
        <w:t>can directly impact</w:t>
      </w:r>
      <w:r w:rsidRPr="00CE4B50">
        <w:rPr>
          <w:rFonts w:cs="Arial"/>
        </w:rPr>
        <w:t xml:space="preserve"> ecosystems by exceeding the buffering capacity of surface water sources via acidification</w:t>
      </w:r>
      <w:r w:rsidR="00AD44E2">
        <w:rPr>
          <w:rFonts w:cs="Arial"/>
        </w:rPr>
        <w:t xml:space="preserve"> if it is net acidic and will require the addition of alkalinity as a component of treatment. Net alkaline waters will lose a fractional amount of their alkalinity to acidity via equilibration with surface conditions, yet some alkalinity remains to buffer pH </w:t>
      </w:r>
      <w:proofErr w:type="spellStart"/>
      <w:r w:rsidR="00F44970">
        <w:rPr>
          <w:rFonts w:cs="Arial"/>
        </w:rPr>
        <w:t>circumneutral</w:t>
      </w:r>
      <w:proofErr w:type="spellEnd"/>
      <w:r w:rsidR="00AD44E2">
        <w:rPr>
          <w:rFonts w:cs="Arial"/>
        </w:rPr>
        <w:t xml:space="preserve"> despite the hydrogen ions produced from metals hydrolysis</w:t>
      </w:r>
      <w:r w:rsidR="00F44970">
        <w:rPr>
          <w:rFonts w:cs="Arial"/>
        </w:rPr>
        <w:t xml:space="preserve"> (Kirby and </w:t>
      </w:r>
      <w:proofErr w:type="spellStart"/>
      <w:r w:rsidR="00F44970">
        <w:rPr>
          <w:rFonts w:cs="Arial"/>
        </w:rPr>
        <w:t>Cravotta</w:t>
      </w:r>
      <w:proofErr w:type="spellEnd"/>
      <w:r w:rsidR="00F44970">
        <w:rPr>
          <w:rFonts w:cs="Arial"/>
        </w:rPr>
        <w:t xml:space="preserve"> 2005)</w:t>
      </w:r>
      <w:r w:rsidRPr="00CE4B50">
        <w:rPr>
          <w:rFonts w:cs="Arial"/>
        </w:rPr>
        <w:t xml:space="preserve">. </w:t>
      </w:r>
      <w:r w:rsidR="00F44970" w:rsidRPr="00CE4B50">
        <w:rPr>
          <w:rFonts w:cs="Arial"/>
        </w:rPr>
        <w:t>Accumulated iron oxides and associated metals have indirect impacts on ecological health such as smothering benthic invertebrates and increas</w:t>
      </w:r>
      <w:r w:rsidR="00F44970">
        <w:rPr>
          <w:rFonts w:cs="Arial"/>
        </w:rPr>
        <w:t>ing</w:t>
      </w:r>
      <w:r w:rsidR="00F44970" w:rsidRPr="00CE4B50">
        <w:rPr>
          <w:rFonts w:cs="Arial"/>
        </w:rPr>
        <w:t xml:space="preserve"> turbidity leading to the attenuation of light for photosynthesis (</w:t>
      </w:r>
      <w:proofErr w:type="spellStart"/>
      <w:r w:rsidR="00F44970" w:rsidRPr="00CE4B50">
        <w:rPr>
          <w:rFonts w:cs="Arial"/>
        </w:rPr>
        <w:t>Blowes</w:t>
      </w:r>
      <w:proofErr w:type="spellEnd"/>
      <w:r w:rsidR="00F44970" w:rsidRPr="00CE4B50">
        <w:rPr>
          <w:rFonts w:cs="Arial"/>
        </w:rPr>
        <w:t xml:space="preserve"> et al. 2007; Jennings et al. 2008).</w:t>
      </w:r>
      <w:r w:rsidR="00F44970">
        <w:rPr>
          <w:rFonts w:cs="Arial"/>
        </w:rPr>
        <w:t xml:space="preserve">  </w:t>
      </w:r>
    </w:p>
    <w:p w14:paraId="39DF48C2" w14:textId="559476AA" w:rsidR="00F44970" w:rsidRDefault="00F44970" w:rsidP="00F44970">
      <w:pPr>
        <w:spacing w:line="480" w:lineRule="auto"/>
        <w:jc w:val="both"/>
        <w:rPr>
          <w:rFonts w:cs="Arial"/>
        </w:rPr>
      </w:pPr>
      <w:r w:rsidRPr="00CE4B50">
        <w:rPr>
          <w:rFonts w:cs="Arial"/>
        </w:rPr>
        <w:t>Treating AMD demands an interdisciplinary approach involving partnerships between scientific, governmental, and academic disciplines along with local agencies and communities to fully understand project goals and scope. The source, matrix, loadings, reaction kinetics, and seasonal influences on AMD must be considered in conjunction with available land dimensions to develop a treatment system design best suited for each location (</w:t>
      </w:r>
      <w:r w:rsidRPr="00CE4B50">
        <w:rPr>
          <w:rStyle w:val="st"/>
          <w:rFonts w:cs="Arial"/>
        </w:rPr>
        <w:t xml:space="preserve">Kirby and </w:t>
      </w:r>
      <w:proofErr w:type="spellStart"/>
      <w:r w:rsidRPr="00CE4B50">
        <w:rPr>
          <w:rStyle w:val="st"/>
          <w:rFonts w:cs="Arial"/>
        </w:rPr>
        <w:t>Cravotta</w:t>
      </w:r>
      <w:proofErr w:type="spellEnd"/>
      <w:r w:rsidRPr="00CE4B50">
        <w:rPr>
          <w:rStyle w:val="st"/>
          <w:rFonts w:cs="Arial"/>
        </w:rPr>
        <w:t xml:space="preserve"> 2005</w:t>
      </w:r>
      <w:r>
        <w:rPr>
          <w:rStyle w:val="st"/>
          <w:rFonts w:cs="Arial"/>
        </w:rPr>
        <w:t xml:space="preserve">; </w:t>
      </w:r>
      <w:proofErr w:type="spellStart"/>
      <w:r>
        <w:rPr>
          <w:rStyle w:val="st"/>
          <w:rFonts w:cs="Arial"/>
        </w:rPr>
        <w:t>Gazea</w:t>
      </w:r>
      <w:proofErr w:type="spellEnd"/>
      <w:r>
        <w:rPr>
          <w:rStyle w:val="st"/>
          <w:rFonts w:cs="Arial"/>
        </w:rPr>
        <w:t xml:space="preserve"> et al. 1996</w:t>
      </w:r>
      <w:r w:rsidRPr="00CE4B50">
        <w:rPr>
          <w:rStyle w:val="st"/>
          <w:rFonts w:cs="Arial"/>
        </w:rPr>
        <w:t>)</w:t>
      </w:r>
      <w:r w:rsidRPr="00CE4B50">
        <w:rPr>
          <w:rFonts w:cs="Arial"/>
        </w:rPr>
        <w:t xml:space="preserve">.  The geology of a region defines the properties and composition of the </w:t>
      </w:r>
      <w:r w:rsidR="001E3B0E">
        <w:rPr>
          <w:rFonts w:cs="Arial"/>
        </w:rPr>
        <w:t>AMD</w:t>
      </w:r>
      <w:r w:rsidRPr="00F44970">
        <w:rPr>
          <w:rFonts w:cs="Arial"/>
        </w:rPr>
        <w:t>; therefore</w:t>
      </w:r>
      <w:r w:rsidRPr="00CE4B50">
        <w:rPr>
          <w:rFonts w:cs="Arial"/>
        </w:rPr>
        <w:t>, a one-solution-fits-all approach to treating AMD is not realistic as the quality and quantity vary based on location (</w:t>
      </w:r>
      <w:proofErr w:type="spellStart"/>
      <w:r w:rsidRPr="00CE4B50">
        <w:rPr>
          <w:rFonts w:cs="Arial"/>
        </w:rPr>
        <w:t>Skousen</w:t>
      </w:r>
      <w:proofErr w:type="spellEnd"/>
      <w:r w:rsidRPr="00CE4B50">
        <w:rPr>
          <w:rFonts w:cs="Arial"/>
        </w:rPr>
        <w:t xml:space="preserve"> 1997).  </w:t>
      </w:r>
    </w:p>
    <w:p w14:paraId="561BB321" w14:textId="65F94F3A" w:rsidR="009F7B64" w:rsidRPr="00CE4B50" w:rsidRDefault="00F44970" w:rsidP="009F7B64">
      <w:pPr>
        <w:spacing w:line="480" w:lineRule="auto"/>
        <w:jc w:val="both"/>
        <w:rPr>
          <w:rFonts w:cs="Arial"/>
        </w:rPr>
      </w:pPr>
      <w:r>
        <w:rPr>
          <w:rFonts w:cs="Arial"/>
        </w:rPr>
        <w:t xml:space="preserve">Active and passive treatment options exist for AMD, and are selected based on site </w:t>
      </w:r>
      <w:r w:rsidR="00333858">
        <w:rPr>
          <w:rFonts w:cs="Arial"/>
        </w:rPr>
        <w:t>specific</w:t>
      </w:r>
      <w:r>
        <w:rPr>
          <w:rFonts w:cs="Arial"/>
        </w:rPr>
        <w:t xml:space="preserve"> requirements that include </w:t>
      </w:r>
      <w:r w:rsidR="00032632">
        <w:rPr>
          <w:rFonts w:cs="Arial"/>
        </w:rPr>
        <w:t>both water quality and</w:t>
      </w:r>
      <w:r>
        <w:rPr>
          <w:rFonts w:cs="Arial"/>
        </w:rPr>
        <w:t xml:space="preserve"> </w:t>
      </w:r>
      <w:r w:rsidR="00032632">
        <w:rPr>
          <w:rFonts w:cs="Arial"/>
        </w:rPr>
        <w:t>quantity</w:t>
      </w:r>
      <w:r>
        <w:rPr>
          <w:rFonts w:cs="Arial"/>
        </w:rPr>
        <w:t xml:space="preserve"> as part of the design criteria</w:t>
      </w:r>
      <w:r w:rsidR="00333858">
        <w:rPr>
          <w:rFonts w:cs="Arial"/>
        </w:rPr>
        <w:t xml:space="preserve"> (Glazer et al 2000; Army Corps 2003). Both active and passive treatment are based on the same principles of physical and chemical control of conditions during the treatment process, yet differ in application. Active systems are effective in treating AMD yet typically have higher operational and maintenance expenses when compared to passive treatment (</w:t>
      </w:r>
      <w:proofErr w:type="spellStart"/>
      <w:r w:rsidR="00333858">
        <w:rPr>
          <w:rFonts w:cs="Arial"/>
        </w:rPr>
        <w:t>Damarisotta</w:t>
      </w:r>
      <w:proofErr w:type="spellEnd"/>
      <w:r w:rsidR="00333858">
        <w:rPr>
          <w:rFonts w:cs="Arial"/>
        </w:rPr>
        <w:t xml:space="preserve"> 2003).  </w:t>
      </w:r>
      <w:r w:rsidR="009F7B64" w:rsidRPr="00CE4B50">
        <w:rPr>
          <w:rFonts w:cs="Arial"/>
        </w:rPr>
        <w:t xml:space="preserve">Growing concern for the AMD problem has led to increased research into treatment and remediation processes suited for long-term, sustainable treatment at remote or </w:t>
      </w:r>
      <w:r w:rsidR="009F7B64" w:rsidRPr="00CE4B50">
        <w:rPr>
          <w:rFonts w:cs="Arial"/>
        </w:rPr>
        <w:lastRenderedPageBreak/>
        <w:t>abandoned sites (Younger et al. 2002).  Passive treatment systems hold particular promise for decreasing AMD impacts via source remediation (</w:t>
      </w:r>
      <w:proofErr w:type="spellStart"/>
      <w:r w:rsidR="009F7B64" w:rsidRPr="00CE4B50">
        <w:rPr>
          <w:rFonts w:cs="Arial"/>
        </w:rPr>
        <w:t>Gazea</w:t>
      </w:r>
      <w:proofErr w:type="spellEnd"/>
      <w:r w:rsidR="009F7B64" w:rsidRPr="00CE4B50">
        <w:rPr>
          <w:rFonts w:cs="Arial"/>
        </w:rPr>
        <w:t xml:space="preserve"> et al. 1996; </w:t>
      </w:r>
      <w:proofErr w:type="spellStart"/>
      <w:r w:rsidR="009F7B64">
        <w:rPr>
          <w:rFonts w:cs="Arial"/>
        </w:rPr>
        <w:t>Sapsford</w:t>
      </w:r>
      <w:proofErr w:type="spellEnd"/>
      <w:r w:rsidR="009F7B64">
        <w:rPr>
          <w:rFonts w:cs="Arial"/>
        </w:rPr>
        <w:t xml:space="preserve"> and Williams, </w:t>
      </w:r>
      <w:r w:rsidR="009F7B64" w:rsidRPr="00CE4B50">
        <w:rPr>
          <w:rFonts w:cs="Arial"/>
        </w:rPr>
        <w:t>2009) when properly selec</w:t>
      </w:r>
      <w:r w:rsidR="00333858">
        <w:rPr>
          <w:rFonts w:cs="Arial"/>
        </w:rPr>
        <w:t>ted and sized for each location</w:t>
      </w:r>
      <w:r w:rsidR="009F7B64" w:rsidRPr="00CE4B50">
        <w:rPr>
          <w:rFonts w:cs="Arial"/>
        </w:rPr>
        <w:t xml:space="preserve"> (</w:t>
      </w:r>
      <w:r w:rsidR="009F7B64">
        <w:rPr>
          <w:rFonts w:cs="Arial"/>
        </w:rPr>
        <w:t xml:space="preserve">Hedin and </w:t>
      </w:r>
      <w:proofErr w:type="spellStart"/>
      <w:r w:rsidR="009F7B64">
        <w:rPr>
          <w:rFonts w:cs="Arial"/>
        </w:rPr>
        <w:t>Nairn</w:t>
      </w:r>
      <w:proofErr w:type="spellEnd"/>
      <w:r w:rsidR="009F7B64">
        <w:rPr>
          <w:rFonts w:cs="Arial"/>
        </w:rPr>
        <w:t>,</w:t>
      </w:r>
      <w:r w:rsidR="009F7B64" w:rsidRPr="00CE4B50">
        <w:rPr>
          <w:rFonts w:cs="Arial"/>
        </w:rPr>
        <w:t xml:space="preserve"> </w:t>
      </w:r>
      <w:r w:rsidR="009F7B64">
        <w:rPr>
          <w:rFonts w:cs="Arial"/>
        </w:rPr>
        <w:t>1992</w:t>
      </w:r>
      <w:r w:rsidR="009F7B64" w:rsidRPr="00CE4B50">
        <w:rPr>
          <w:rFonts w:cs="Arial"/>
        </w:rPr>
        <w:t>).  Lessons learned from the study of passive treatment successes and failures are critical contributions to the body of literature</w:t>
      </w:r>
      <w:r w:rsidR="009F7B64">
        <w:rPr>
          <w:rFonts w:cs="Arial"/>
        </w:rPr>
        <w:t xml:space="preserve"> </w:t>
      </w:r>
      <w:r w:rsidR="009F7B64" w:rsidRPr="00CE4B50">
        <w:rPr>
          <w:rFonts w:cs="Arial"/>
        </w:rPr>
        <w:t>that the scientific and engineering reclamation communities rely upon to make informed decisions in design refinement and process management</w:t>
      </w:r>
      <w:r w:rsidR="009F7B64">
        <w:rPr>
          <w:rFonts w:cs="Arial"/>
        </w:rPr>
        <w:t xml:space="preserve"> (</w:t>
      </w:r>
      <w:r w:rsidR="009F7B64">
        <w:rPr>
          <w:rFonts w:cs="Arial"/>
        </w:rPr>
        <w:fldChar w:fldCharType="begin" w:fldLock="1"/>
      </w:r>
      <w:r w:rsidR="009F7B64">
        <w:rPr>
          <w:rFonts w:cs="Arial"/>
        </w:rPr>
        <w:instrText>ADDIN CSL_CITATION { "citationItems" : [ { "id" : "ITEM-1", "itemData" : { "ISBN" : "9781622760862", "abstract" : "State and federal reclamation programs, mining operators, and citizen-based watershed organizations have constructed hundreds of passive systems in the eastern United States over the past 20 years to provide reliable, low cost, low maintenance mine water treatment in remote locations. In 2000, we evaluated 116 systems comprised of eight system types in eight states. We revisited 14 of these sites in 2004 to confirm results from the earlier study. Each system was monitored for influent and effluent flow, pH, net acidity, and metal concentrations. Performance was normalized among types by calculating acid load removed, and also by converting construction cost, projected service life, and metric tonnes of acid load treated into cost per tonne of acid treated. Of the 116 systems, 105 reduced acid load (90%). Average acid load reductions were 0.8 t/yr for Ponds; about 9 t/yr for open limestone channels (OLC), anaerobic wetlands (AnW), aerobic wetlands (AeW), and vertical flow wetlands (VFW); 76 t/yr for slag leach beds (SLB), and about 15 t/yr for limestone leach beds (LSB) and anoxic limestone drains (ALD). Average removal rates ranged from 18 to 2,334 g/day/t for the limestone systems, and 1.7 to 87 g/m2/day for the Ponds and wetlands. Average costs for acid removal varied from $36/t/yr for SLB to $1,468/t/yr for Ponds. The 2004 data showed slightly greater removal efficiencies for two Ponds, two VFWs, and one LSB. Large declines in removal were found for one AnW, two VFWs, one ALD, and one OLC. Two OLCs greatly increased efficiency. Most passive systems were effective for &gt;5 yrs, yet there was wide variation in performance within each system type.", "author" : [ { "dropping-particle" : "", "family" : "Skousen", "given" : "Jeff", "non-dropping-particle" : "", "parse-names" : false, "suffix" : "" }, { "dropping-particle" : "", "family" : "Ziemkiewicz", "given" : "Paul", "non-dropping-particle" : "", "parse-names" : false, "suffix" : "" } ], "container-title" : "Proceedings, American Society of Mining and Reclamation, Breckenridge, CO", "id" : "ITEM-1", "issued" : { "date-parts" : [ [ "2005" ] ] }, "page" : "1100\u20131133", "title" : "Performance of 116 passive treatment systems for acid mine drainage", "type" : "article-journal" }, "uris" : [ "http://www.mendeley.com/documents/?uuid=a9e5f83d-f4ba-409b-91da-3790651a3c18" ] } ], "mendeley" : { "formattedCitation" : "(Skousen and Ziemkiewicz 2005)", "manualFormatting" : "Skousen and Ziemkiewicz 2005)", "plainTextFormattedCitation" : "(Skousen and Ziemkiewicz 2005)", "previouslyFormattedCitation" : "(Skousen and Ziemkiewicz 2005)" }, "properties" : { "noteIndex" : 0 }, "schema" : "https://github.com/citation-style-language/schema/raw/master/csl-citation.json" }</w:instrText>
      </w:r>
      <w:r w:rsidR="009F7B64">
        <w:rPr>
          <w:rFonts w:cs="Arial"/>
        </w:rPr>
        <w:fldChar w:fldCharType="separate"/>
      </w:r>
      <w:r w:rsidR="009F7B64" w:rsidRPr="003429FF">
        <w:rPr>
          <w:rFonts w:cs="Arial"/>
          <w:noProof/>
        </w:rPr>
        <w:t>Skousen and Ziemkiewicz 2005)</w:t>
      </w:r>
      <w:r w:rsidR="009F7B64">
        <w:rPr>
          <w:rFonts w:cs="Arial"/>
        </w:rPr>
        <w:fldChar w:fldCharType="end"/>
      </w:r>
      <w:r w:rsidR="009F7B64" w:rsidRPr="00CE4B50">
        <w:rPr>
          <w:rFonts w:cs="Arial"/>
        </w:rPr>
        <w:t>.</w:t>
      </w:r>
    </w:p>
    <w:p w14:paraId="7FB3DA2B" w14:textId="77777777" w:rsidR="009F7B64" w:rsidRDefault="009F7B64" w:rsidP="00D95E5B">
      <w:pPr>
        <w:pStyle w:val="Heading2"/>
      </w:pPr>
      <w:r>
        <w:t>Passive Treatment Technology</w:t>
      </w:r>
    </w:p>
    <w:p w14:paraId="31C59404" w14:textId="77777777" w:rsidR="00D95E5B" w:rsidRPr="00D95E5B" w:rsidRDefault="00D95E5B" w:rsidP="00D95E5B"/>
    <w:p w14:paraId="03CC229E" w14:textId="7F99EF40" w:rsidR="009F7B64" w:rsidRPr="00D95E5B" w:rsidRDefault="009F7B64" w:rsidP="00D95E5B">
      <w:pPr>
        <w:autoSpaceDE w:val="0"/>
        <w:autoSpaceDN w:val="0"/>
        <w:adjustRightInd w:val="0"/>
        <w:spacing w:line="480" w:lineRule="auto"/>
        <w:jc w:val="both"/>
      </w:pPr>
      <w:r w:rsidRPr="0073575A">
        <w:rPr>
          <w:rFonts w:cs="Arial"/>
        </w:rPr>
        <w:t xml:space="preserve">Passive treatment systems typically consist of a series of treatment cells </w:t>
      </w:r>
      <w:r>
        <w:rPr>
          <w:rFonts w:cs="Arial"/>
        </w:rPr>
        <w:t xml:space="preserve">that are selected, sized, and </w:t>
      </w:r>
      <w:r w:rsidRPr="0073575A">
        <w:rPr>
          <w:rFonts w:cs="Arial"/>
        </w:rPr>
        <w:t>placed</w:t>
      </w:r>
      <w:r>
        <w:rPr>
          <w:rFonts w:cs="Arial"/>
        </w:rPr>
        <w:t xml:space="preserve"> in series</w:t>
      </w:r>
      <w:r w:rsidRPr="0073575A">
        <w:rPr>
          <w:rFonts w:cs="Arial"/>
        </w:rPr>
        <w:t xml:space="preserve"> based on </w:t>
      </w:r>
      <w:r>
        <w:rPr>
          <w:rFonts w:cs="Arial"/>
        </w:rPr>
        <w:t>the</w:t>
      </w:r>
      <w:r w:rsidRPr="0073575A">
        <w:rPr>
          <w:rFonts w:cs="Arial"/>
        </w:rPr>
        <w:t xml:space="preserve"> </w:t>
      </w:r>
      <w:r w:rsidR="00333858">
        <w:rPr>
          <w:rFonts w:cs="Arial"/>
        </w:rPr>
        <w:t xml:space="preserve">contaminant mass </w:t>
      </w:r>
      <w:r w:rsidRPr="0073575A">
        <w:rPr>
          <w:rFonts w:cs="Arial"/>
        </w:rPr>
        <w:t xml:space="preserve">loading </w:t>
      </w:r>
      <w:r>
        <w:rPr>
          <w:rFonts w:cs="Arial"/>
        </w:rPr>
        <w:t xml:space="preserve">to </w:t>
      </w:r>
      <w:r w:rsidRPr="0073575A">
        <w:rPr>
          <w:rFonts w:cs="Arial"/>
        </w:rPr>
        <w:t>achieve maximum treatment effectiveness</w:t>
      </w:r>
      <w:r>
        <w:rPr>
          <w:rFonts w:cs="Arial"/>
        </w:rPr>
        <w:t xml:space="preserve">. Each cell is </w:t>
      </w:r>
      <w:r w:rsidRPr="0073575A">
        <w:rPr>
          <w:rFonts w:cs="Arial"/>
        </w:rPr>
        <w:t xml:space="preserve">sized conservatively to accommodate </w:t>
      </w:r>
      <w:r w:rsidR="00333858">
        <w:rPr>
          <w:rFonts w:cs="Arial"/>
        </w:rPr>
        <w:t xml:space="preserve">variability </w:t>
      </w:r>
      <w:r w:rsidRPr="0073575A">
        <w:rPr>
          <w:rFonts w:cs="Arial"/>
        </w:rPr>
        <w:t xml:space="preserve">precipitation </w:t>
      </w:r>
      <w:r w:rsidR="00333858">
        <w:rPr>
          <w:rFonts w:cs="Arial"/>
        </w:rPr>
        <w:t>and</w:t>
      </w:r>
      <w:r w:rsidRPr="0073575A">
        <w:rPr>
          <w:rFonts w:cs="Arial"/>
        </w:rPr>
        <w:t xml:space="preserve"> seasonal fluctuations in AMD flow rate (</w:t>
      </w:r>
      <w:proofErr w:type="spellStart"/>
      <w:r w:rsidRPr="0073575A">
        <w:rPr>
          <w:rFonts w:cs="Arial"/>
        </w:rPr>
        <w:t>Tarutis</w:t>
      </w:r>
      <w:proofErr w:type="spellEnd"/>
      <w:r w:rsidRPr="0073575A">
        <w:rPr>
          <w:rFonts w:cs="Arial"/>
        </w:rPr>
        <w:t xml:space="preserve"> et al., 1999; </w:t>
      </w:r>
      <w:proofErr w:type="spellStart"/>
      <w:r w:rsidRPr="0073575A">
        <w:rPr>
          <w:rFonts w:cs="Arial"/>
        </w:rPr>
        <w:t>Sapsford</w:t>
      </w:r>
      <w:proofErr w:type="spellEnd"/>
      <w:r w:rsidRPr="0073575A">
        <w:rPr>
          <w:rFonts w:cs="Arial"/>
        </w:rPr>
        <w:t xml:space="preserve"> and Williams, 2009). </w:t>
      </w:r>
      <w:r>
        <w:rPr>
          <w:rFonts w:cs="Arial"/>
        </w:rPr>
        <w:t xml:space="preserve">The hydrology of passive treatment systems is controlled utilizing </w:t>
      </w:r>
      <w:r w:rsidRPr="0073575A">
        <w:rPr>
          <w:rFonts w:cs="Arial"/>
        </w:rPr>
        <w:t xml:space="preserve">elevation </w:t>
      </w:r>
      <w:r w:rsidR="00333858">
        <w:rPr>
          <w:rFonts w:cs="Arial"/>
        </w:rPr>
        <w:t xml:space="preserve">head </w:t>
      </w:r>
      <w:r w:rsidRPr="0073575A">
        <w:rPr>
          <w:rFonts w:cs="Arial"/>
        </w:rPr>
        <w:t xml:space="preserve">changes </w:t>
      </w:r>
      <w:r>
        <w:rPr>
          <w:rFonts w:cs="Arial"/>
        </w:rPr>
        <w:t xml:space="preserve">to move water from cell to cell </w:t>
      </w:r>
      <w:r w:rsidRPr="0073575A">
        <w:rPr>
          <w:rFonts w:cs="Arial"/>
        </w:rPr>
        <w:t xml:space="preserve">without pumps, grid electricity, </w:t>
      </w:r>
      <w:r>
        <w:rPr>
          <w:rFonts w:cs="Arial"/>
        </w:rPr>
        <w:t>or</w:t>
      </w:r>
      <w:r w:rsidRPr="0073575A">
        <w:rPr>
          <w:rFonts w:cs="Arial"/>
        </w:rPr>
        <w:t xml:space="preserve"> fossil fuels</w:t>
      </w:r>
      <w:r>
        <w:rPr>
          <w:rFonts w:cs="Arial"/>
        </w:rPr>
        <w:t xml:space="preserve">. </w:t>
      </w:r>
      <w:r w:rsidRPr="0073575A">
        <w:rPr>
          <w:rFonts w:cs="Arial"/>
        </w:rPr>
        <w:t xml:space="preserve"> </w:t>
      </w:r>
      <w:r>
        <w:rPr>
          <w:rFonts w:cs="Arial"/>
        </w:rPr>
        <w:t xml:space="preserve">The absence of active chemical dosing or pumped flow regimes </w:t>
      </w:r>
      <w:r w:rsidR="00BB620F">
        <w:rPr>
          <w:rFonts w:cs="Arial"/>
        </w:rPr>
        <w:t>in</w:t>
      </w:r>
      <w:r>
        <w:rPr>
          <w:rFonts w:cs="Arial"/>
        </w:rPr>
        <w:t xml:space="preserve"> passive treatment systems makes them</w:t>
      </w:r>
      <w:r w:rsidRPr="0073575A">
        <w:rPr>
          <w:rFonts w:cs="Arial"/>
        </w:rPr>
        <w:t xml:space="preserve"> increasing</w:t>
      </w:r>
      <w:r>
        <w:rPr>
          <w:rFonts w:cs="Arial"/>
        </w:rPr>
        <w:t>ly</w:t>
      </w:r>
      <w:r w:rsidRPr="0073575A">
        <w:rPr>
          <w:rFonts w:cs="Arial"/>
        </w:rPr>
        <w:t xml:space="preserve"> </w:t>
      </w:r>
      <w:r>
        <w:rPr>
          <w:rFonts w:cs="Arial"/>
        </w:rPr>
        <w:t>attractive options for</w:t>
      </w:r>
      <w:r w:rsidRPr="0073575A">
        <w:rPr>
          <w:rFonts w:cs="Arial"/>
        </w:rPr>
        <w:t xml:space="preserve"> </w:t>
      </w:r>
      <w:r w:rsidR="00BB620F">
        <w:rPr>
          <w:rFonts w:cs="Arial"/>
        </w:rPr>
        <w:t xml:space="preserve">derelict or </w:t>
      </w:r>
      <w:r w:rsidRPr="0073575A">
        <w:rPr>
          <w:rFonts w:cs="Arial"/>
        </w:rPr>
        <w:t xml:space="preserve">remote sites where </w:t>
      </w:r>
      <w:r>
        <w:rPr>
          <w:rFonts w:cs="Arial"/>
        </w:rPr>
        <w:t>active/</w:t>
      </w:r>
      <w:r w:rsidRPr="0073575A">
        <w:rPr>
          <w:rFonts w:cs="Arial"/>
        </w:rPr>
        <w:t xml:space="preserve">conventional treatment </w:t>
      </w:r>
      <w:r>
        <w:rPr>
          <w:rFonts w:cs="Arial"/>
        </w:rPr>
        <w:t>is</w:t>
      </w:r>
      <w:r w:rsidRPr="0073575A">
        <w:rPr>
          <w:rFonts w:cs="Arial"/>
        </w:rPr>
        <w:t xml:space="preserve"> not practical due to financial restrictions and resource availability (</w:t>
      </w:r>
      <w:proofErr w:type="spellStart"/>
      <w:r w:rsidRPr="0073575A">
        <w:rPr>
          <w:rFonts w:cs="Arial"/>
        </w:rPr>
        <w:t>Cravotta</w:t>
      </w:r>
      <w:proofErr w:type="spellEnd"/>
      <w:r w:rsidRPr="0073575A">
        <w:rPr>
          <w:rFonts w:cs="Arial"/>
        </w:rPr>
        <w:t xml:space="preserve">, 2008a; </w:t>
      </w:r>
      <w:proofErr w:type="spellStart"/>
      <w:r w:rsidRPr="0073575A">
        <w:rPr>
          <w:rFonts w:cs="Arial"/>
        </w:rPr>
        <w:t>Cravotta</w:t>
      </w:r>
      <w:proofErr w:type="spellEnd"/>
      <w:r w:rsidRPr="0073575A">
        <w:rPr>
          <w:rFonts w:cs="Arial"/>
        </w:rPr>
        <w:t xml:space="preserve">, 2008b). </w:t>
      </w:r>
      <w:r w:rsidRPr="00C71D6A">
        <w:rPr>
          <w:rFonts w:eastAsia="Calibri" w:cs="TimesNRMT"/>
        </w:rPr>
        <w:t>Federal</w:t>
      </w:r>
      <w:r>
        <w:rPr>
          <w:rFonts w:eastAsia="Calibri" w:cs="TimesNRMT"/>
        </w:rPr>
        <w:t xml:space="preserve"> </w:t>
      </w:r>
      <w:r w:rsidRPr="00C71D6A">
        <w:rPr>
          <w:rFonts w:eastAsia="Calibri" w:cs="TimesNRMT"/>
        </w:rPr>
        <w:t>regulations emphasize the</w:t>
      </w:r>
      <w:r w:rsidRPr="00C71D6A">
        <w:t xml:space="preserve"> limit of</w:t>
      </w:r>
      <w:r w:rsidR="00F84895">
        <w:t xml:space="preserve"> 1</w:t>
      </w:r>
      <w:r w:rsidRPr="00C71D6A">
        <w:t>.0 mg/</w:t>
      </w:r>
      <w:proofErr w:type="gramStart"/>
      <w:r w:rsidRPr="00C71D6A">
        <w:t>L</w:t>
      </w:r>
      <w:r w:rsidR="00F84895">
        <w:t xml:space="preserve"> </w:t>
      </w:r>
      <w:r w:rsidRPr="00C71D6A">
        <w:t xml:space="preserve"> (</w:t>
      </w:r>
      <w:proofErr w:type="gramEnd"/>
      <w:r w:rsidRPr="00C71D6A">
        <w:t>30-day average)</w:t>
      </w:r>
      <w:r w:rsidR="00F84895">
        <w:t xml:space="preserve"> and 2</w:t>
      </w:r>
      <w:r w:rsidRPr="00C71D6A">
        <w:t>.0 mg/L (daily maximum) for total iron in surface water discharges</w:t>
      </w:r>
      <w:r>
        <w:t xml:space="preserve"> </w:t>
      </w:r>
      <w:r w:rsidR="00F84895">
        <w:t>for ore mining</w:t>
      </w:r>
      <w:r w:rsidRPr="00C71D6A">
        <w:t xml:space="preserve"> (</w:t>
      </w:r>
      <w:r w:rsidR="00F84895">
        <w:rPr>
          <w:rFonts w:ascii="Arial" w:hAnsi="Arial" w:cs="Arial"/>
          <w:color w:val="000000"/>
          <w:sz w:val="20"/>
          <w:szCs w:val="20"/>
          <w:shd w:val="clear" w:color="auto" w:fill="FFFFFF"/>
        </w:rPr>
        <w:t>40 CFR 125.30</w:t>
      </w:r>
      <w:r w:rsidRPr="00C71D6A">
        <w:t>)</w:t>
      </w:r>
      <w:r>
        <w:t xml:space="preserve"> with increasingly lower thresholds</w:t>
      </w:r>
      <w:r w:rsidR="00F84895">
        <w:t xml:space="preserve"> for other trace metals from </w:t>
      </w:r>
      <w:r>
        <w:t>hard rock sites via the Clean Water Act</w:t>
      </w:r>
      <w:r w:rsidRPr="00C71D6A">
        <w:t>.</w:t>
      </w:r>
    </w:p>
    <w:p w14:paraId="4958AD9D" w14:textId="33508613" w:rsidR="009F7B64" w:rsidRDefault="009F7B64" w:rsidP="009F7B64">
      <w:pPr>
        <w:spacing w:line="480" w:lineRule="auto"/>
        <w:jc w:val="both"/>
        <w:rPr>
          <w:rFonts w:cs="Arial"/>
        </w:rPr>
      </w:pPr>
      <w:r>
        <w:rPr>
          <w:rFonts w:cs="Arial"/>
        </w:rPr>
        <w:t xml:space="preserve"> Net-acidic waters require an alkalinity generation treatment step prior to iron removal, while net-alkaline waters have enough alkalinity present to buffer the latent acidity released via </w:t>
      </w:r>
      <w:r>
        <w:rPr>
          <w:rFonts w:cs="Arial"/>
        </w:rPr>
        <w:lastRenderedPageBreak/>
        <w:t>oxidation and hydroly</w:t>
      </w:r>
      <w:r w:rsidR="00F84895">
        <w:rPr>
          <w:rFonts w:cs="Arial"/>
        </w:rPr>
        <w:t xml:space="preserve">sis </w:t>
      </w:r>
      <w:r>
        <w:rPr>
          <w:rFonts w:cs="Arial"/>
        </w:rPr>
        <w:t xml:space="preserve">processes. </w:t>
      </w:r>
      <w:r w:rsidRPr="0073575A">
        <w:rPr>
          <w:rFonts w:cs="Arial"/>
        </w:rPr>
        <w:t>Each unit</w:t>
      </w:r>
      <w:r>
        <w:rPr>
          <w:rFonts w:cs="Arial"/>
        </w:rPr>
        <w:t xml:space="preserve"> of a passive treatment system</w:t>
      </w:r>
      <w:r w:rsidRPr="0073575A">
        <w:rPr>
          <w:rFonts w:cs="Arial"/>
        </w:rPr>
        <w:t xml:space="preserve"> </w:t>
      </w:r>
      <w:r>
        <w:rPr>
          <w:rFonts w:cs="Arial"/>
        </w:rPr>
        <w:t>is</w:t>
      </w:r>
      <w:r w:rsidRPr="0073575A">
        <w:rPr>
          <w:rFonts w:cs="Arial"/>
        </w:rPr>
        <w:t xml:space="preserve"> designed for </w:t>
      </w:r>
      <w:r>
        <w:rPr>
          <w:rFonts w:cs="Arial"/>
        </w:rPr>
        <w:t xml:space="preserve">a </w:t>
      </w:r>
      <w:r w:rsidRPr="0073575A">
        <w:rPr>
          <w:rFonts w:cs="Arial"/>
        </w:rPr>
        <w:t xml:space="preserve">specific </w:t>
      </w:r>
      <w:r>
        <w:rPr>
          <w:rFonts w:cs="Arial"/>
        </w:rPr>
        <w:t xml:space="preserve">type of </w:t>
      </w:r>
      <w:r w:rsidRPr="0073575A">
        <w:rPr>
          <w:rFonts w:cs="Arial"/>
        </w:rPr>
        <w:t>water quality improvement</w:t>
      </w:r>
      <w:r>
        <w:rPr>
          <w:rFonts w:cs="Arial"/>
        </w:rPr>
        <w:t xml:space="preserve">, wherein the oxidative units consist of aerobic sedimentation basins, surface flow wetlands, or hybrid designs of pond-marsh-pond bathymetry </w:t>
      </w:r>
      <w:r>
        <w:rPr>
          <w:rFonts w:cs="Arial"/>
        </w:rPr>
        <w:fldChar w:fldCharType="begin" w:fldLock="1"/>
      </w:r>
      <w:r>
        <w:rPr>
          <w:rFonts w:cs="Arial"/>
        </w:rPr>
        <w:instrText>ADDIN CSL_CITATION { "citationItems" : [ { "id" : "ITEM-1", "itemData" : { "ISBN" : "DOE/NETL-2004/1202", "ISSN" : "0096-1914", "PMID" : "1109", "abstract" : "Passive treatment of mine water uses chemical and biological processes to decrease metal concentrations and neutralize acidity. Compared to conventional chemical treatment, passive methods generally require more land area, but use less costly reagents, and require less operational attention and maintenance. Currently, the three most common types of passive technologies are aerobic ponds and wetlands, anoxic limestone drains (ALDs), and reducing and alkalinity-producing systems (RAPS). Aerobic wetlands promote mixed oxidation and hydrolysis reactions, and are effective when the raw mine water is net alkaline. Anoxic limestone drains generate bicarbonate alkalinity and can be used to convert water that is net acidic into net- alkaline water for treatment in aerobic ponds and wetlands. RAPS promote reducing conditions and limestone dissolution. They extend the concept of ALDs by pre-treating the water before it contacts the limestone, to eliminate dissolved oxygen and reduce dissolved ferric iron to ferrous iron. These systems can generally be used to treat more acidic water than ALDs, and can better treat water with significant aluminum concentrations. In passive treatment systems, rates of metal and acidity removal and alkalinity generation have been developed empirically. Aerobic wetlands remove iron from alkaline water at rates of 10 to 20 g m&amp;2 d&amp;1. Anoxic limestone drains add 150 to 300 mg/L of alkalinity in about 15 hours of contact, imparting 5 to 20 mg/L of alkalinity per hour of contact. Reducing and alkalinity- producing systems add 15 to 60 g m&amp;2 d&amp;1 of alkalinity, depending on influent water quality and contact time. Selection and sizing criteria for the design of passive treatment systems are presented in this report.", "author" : [ { "dropping-particle" : "", "family" : "Watzlaf", "given" : "George R", "non-dropping-particle" : "", "parse-names" : false, "suffix" : "" }, { "dropping-particle" : "", "family" : "Schroeder", "given" : "Karl T", "non-dropping-particle" : "", "parse-names" : false, "suffix" : "" }, { "dropping-particle" : "", "family" : "Kleinmann", "given" : "Robert L P", "non-dropping-particle" : "", "parse-names" : false, "suffix" : "" }, { "dropping-particle" : "", "family" : "Kairies", "given" : "Candace L", "non-dropping-particle" : "", "parse-names" : false, "suffix" : "" }, { "dropping-particle" : "", "family" : "Nairn", "given" : "Robert W", "non-dropping-particle" : "", "parse-names" : false, "suffix" : "" }, { "dropping-particle" : "", "family" : "Street", "given" : "West Boyd", "non-dropping-particle" : "", "parse-names" : false, "suffix" : "" } ], "id" : "ITEM-1", "issued" : { "date-parts" : [ [ "2004" ] ] }, "page" : "1-72", "title" : "The Passive Treatment of Coal Mine Drainage", "type" : "article-journal" }, "uris" : [ "http://www.mendeley.com/documents/?uuid=07eb5f1f-654d-440c-9666-463949032060" ] } ], "mendeley" : { "formattedCitation" : "(Watzlaf et al. 2004)", "plainTextFormattedCitation" : "(Watzlaf et al. 2004)", "previouslyFormattedCitation" : "(Watzlaf et al. 2004)" }, "properties" : { "noteIndex" : 0 }, "schema" : "https://github.com/citation-style-language/schema/raw/master/csl-citation.json" }</w:instrText>
      </w:r>
      <w:r>
        <w:rPr>
          <w:rFonts w:cs="Arial"/>
        </w:rPr>
        <w:fldChar w:fldCharType="separate"/>
      </w:r>
      <w:r w:rsidRPr="00620E0F">
        <w:rPr>
          <w:rFonts w:cs="Arial"/>
          <w:noProof/>
        </w:rPr>
        <w:t>(Watzlaf et al. 2004)</w:t>
      </w:r>
      <w:r>
        <w:rPr>
          <w:rFonts w:cs="Arial"/>
        </w:rPr>
        <w:fldChar w:fldCharType="end"/>
      </w:r>
      <w:r w:rsidRPr="0073575A">
        <w:rPr>
          <w:rFonts w:cs="Arial"/>
        </w:rPr>
        <w:t>.</w:t>
      </w:r>
      <w:r>
        <w:rPr>
          <w:rFonts w:cs="Arial"/>
        </w:rPr>
        <w:t xml:space="preserve"> These cells are </w:t>
      </w:r>
      <w:r w:rsidR="00F84895">
        <w:rPr>
          <w:rFonts w:cs="Arial"/>
        </w:rPr>
        <w:t xml:space="preserve">typically </w:t>
      </w:r>
      <w:r>
        <w:rPr>
          <w:rFonts w:cs="Arial"/>
        </w:rPr>
        <w:t xml:space="preserve">positioned first in the treatment series when the influent AMD is net-alkaline with a pH &gt; 6, and iron is a principle component of the AMD matrix (Younger et al. 2002). </w:t>
      </w:r>
      <w:r w:rsidR="00F84895">
        <w:rPr>
          <w:rFonts w:cs="Arial"/>
        </w:rPr>
        <w:t>If the water is net acidic</w:t>
      </w:r>
      <w:r>
        <w:rPr>
          <w:rFonts w:cs="Arial"/>
        </w:rPr>
        <w:t xml:space="preserve">, then an anoxic limestone drain (ALD) is used to generate alkalinity prior to iron oxidation and hydrolysis cells. </w:t>
      </w:r>
      <w:r w:rsidRPr="0037280D">
        <w:rPr>
          <w:rFonts w:cs="Arial"/>
        </w:rPr>
        <w:t>The targeted removal of iron from net-alkaline AMD decreases the concentration of secondary dissolved species like zinc, lead, and arsenic thro</w:t>
      </w:r>
      <w:r>
        <w:rPr>
          <w:rFonts w:cs="Arial"/>
        </w:rPr>
        <w:t>ugh adsorption (</w:t>
      </w:r>
      <w:proofErr w:type="spellStart"/>
      <w:r>
        <w:rPr>
          <w:rFonts w:cs="Arial"/>
        </w:rPr>
        <w:t>Swedlund</w:t>
      </w:r>
      <w:proofErr w:type="spellEnd"/>
      <w:r>
        <w:rPr>
          <w:rFonts w:cs="Arial"/>
        </w:rPr>
        <w:t xml:space="preserve"> et al. 2009; </w:t>
      </w:r>
      <w:proofErr w:type="spellStart"/>
      <w:r>
        <w:rPr>
          <w:rFonts w:cs="Arial"/>
        </w:rPr>
        <w:t>Lenoble</w:t>
      </w:r>
      <w:proofErr w:type="spellEnd"/>
      <w:r>
        <w:rPr>
          <w:rFonts w:cs="Arial"/>
        </w:rPr>
        <w:t xml:space="preserve"> et al.</w:t>
      </w:r>
      <w:r w:rsidRPr="0037280D">
        <w:rPr>
          <w:rFonts w:cs="Arial"/>
        </w:rPr>
        <w:t xml:space="preserve"> 2002), while the retention of precipitated iron solids within the designed storage volume of the oxidative cells prevents flow attenuation </w:t>
      </w:r>
      <w:r>
        <w:rPr>
          <w:rFonts w:cs="Arial"/>
        </w:rPr>
        <w:t>from</w:t>
      </w:r>
      <w:r w:rsidRPr="0037280D">
        <w:rPr>
          <w:rFonts w:cs="Arial"/>
        </w:rPr>
        <w:t xml:space="preserve"> accumulation on the surface of vertical flow bioreactors</w:t>
      </w:r>
      <w:r>
        <w:rPr>
          <w:rFonts w:cs="Arial"/>
        </w:rPr>
        <w:t xml:space="preserve"> (VFBR)</w:t>
      </w:r>
      <w:r w:rsidRPr="0037280D">
        <w:rPr>
          <w:rFonts w:cs="Arial"/>
        </w:rPr>
        <w:t>.</w:t>
      </w:r>
      <w:r>
        <w:rPr>
          <w:rFonts w:cs="Arial"/>
        </w:rPr>
        <w:t xml:space="preserve">  The installation of a preliminary sedimentation basin paired with a secondary aerobic surface flow wetland is a proposed solution to mitigate iron solids transfer onto the compost layer of a VFBR (Jarvis and Younger, 2001; Stark and Williams, 1995</w:t>
      </w:r>
      <w:r w:rsidRPr="0073575A">
        <w:rPr>
          <w:rFonts w:cs="Arial"/>
        </w:rPr>
        <w:t>)</w:t>
      </w:r>
      <w:r>
        <w:rPr>
          <w:rFonts w:cs="Arial"/>
        </w:rPr>
        <w:t xml:space="preserve">.  Any dissolved iron (II) species transported into the VFBRs will be removed </w:t>
      </w:r>
      <w:r w:rsidR="00F855BF">
        <w:rPr>
          <w:rFonts w:cs="Arial"/>
        </w:rPr>
        <w:t xml:space="preserve">as iron sulfides, yet this is not the most efficient approach for iron removal. </w:t>
      </w:r>
      <w:r>
        <w:rPr>
          <w:rFonts w:cs="Arial"/>
        </w:rPr>
        <w:t xml:space="preserve">Reduction to an iron sulfide is favored over other metals species such as Ni, Cd, Zn, </w:t>
      </w:r>
      <w:proofErr w:type="spellStart"/>
      <w:r>
        <w:rPr>
          <w:rFonts w:cs="Arial"/>
        </w:rPr>
        <w:t>Pb</w:t>
      </w:r>
      <w:proofErr w:type="spellEnd"/>
      <w:r>
        <w:rPr>
          <w:rFonts w:cs="Arial"/>
        </w:rPr>
        <w:t xml:space="preserve">, and Cu due to their relative reduction potentials </w:t>
      </w:r>
      <w:r w:rsidR="00F855BF">
        <w:rPr>
          <w:rFonts w:cs="Arial"/>
        </w:rPr>
        <w:t xml:space="preserve">and may impact the removal efficiencies of other metals </w:t>
      </w:r>
      <w:r>
        <w:rPr>
          <w:rFonts w:cs="Arial"/>
        </w:rPr>
        <w:t>(</w:t>
      </w:r>
      <w:proofErr w:type="spellStart"/>
      <w:r>
        <w:rPr>
          <w:rFonts w:cs="Arial"/>
        </w:rPr>
        <w:t>Watzlaf</w:t>
      </w:r>
      <w:proofErr w:type="spellEnd"/>
      <w:r>
        <w:rPr>
          <w:rFonts w:cs="Arial"/>
        </w:rPr>
        <w:t xml:space="preserve"> et al. 2004).  Therefore, the efficiency of metals removal for the passive treatment system overall is dependent on the removal and retention of iron species early within the system to minimize physical and chemical impacts on down-stream treatment processes </w:t>
      </w:r>
      <w:r>
        <w:rPr>
          <w:rFonts w:cs="Arial"/>
        </w:rPr>
        <w:fldChar w:fldCharType="begin" w:fldLock="1"/>
      </w:r>
      <w:r>
        <w:rPr>
          <w:rFonts w:cs="Arial"/>
        </w:rPr>
        <w:instrText>ADDIN CSL_CITATION { "citationItems" : [ { "id" : "ITEM-1", "itemData" : { "DOI" : "10.1144/geochem.1.1.71", "ISSN" : "1467-7873", "abstract" : "Acid mine drainage (AMD) is a serious problem in many watersheds where coal is mined. Passive treatments, such as wetlands and anoxic limestone drains (ALDs), have been developed, but these technologies show varying treatment efficiencies. A new passive treatment technique is a vertical flow wetland or successive alkalinity producing system (SAPS). Four SAPS in Pennsylvania were studied to determine changes in water chemistry from inflow to outflow. The Howe Bridge SAPS removed about 130 mg l (super -1) (40%) of the inflow acidity concentration and about 100 mg l (super -1) (60%) iron (Fe). The Filson 1 SAPS removed 68 mg l (super -1) (26%) acidity, 20 mg l (super -1) (83%) Fe and 6 mg l (super -1) (35%) aluminium (Al). The Sommerville SAPS removed 112 mg l (super -1) (31%) acidity, exported Fe, and removed 13 mg l (super -1) (30%) Al. The McKinley SAPS removed 54 mg l (super -1) (91%) acidity and 5 mg l (super -1) (90%) Fe. Acid removal rates at our four sites were 17 (HB), 52 (Filson1), 18 (Sommerville) and 11 (McKinley) g of acid per m (super 2) of surface wetland area per day (g/m (super 2) d (super -1) ). Calcium (Ca) concentrations in the SAPS effluents were increased between 8 and 57 mg l (super -1) at these sites. Equilibrators, which were inserted into compost layers to evaluate redox conditions at our sites, showed that reducing conditions were generally found at 60 cm compost depths and oxidized conditions were found at 30 cm compost depths. Deeply oxidized zones substantiated observations that channel flow was occurring through some parts of the compost. The Howe Bridge site has not declined in treatment efficiency over a six year treatment life. The SAPS construction costs were equal to about seven years of NaOH chemical treatment costs and 30 years of lime treatment costs. So, if the SAPS treatment longevity is seven years or greater and comparable effluent water quality was achieved, the SAPS construction was cost effective compared to NaOH chemical treatment. Construction recommendations for SAPS include a minimum of 50 cm of compost thickness, periodic replacement or addition of fresh compost material, and increasing the number of drainage pipes underlying the limestone.", "author" : [ { "dropping-particle" : "", "family" : "Demchak", "given" : "J.", "non-dropping-particle" : "", "parse-names" : false, "suffix" : "" }, { "dropping-particle" : "", "family" : "Morrow", "given" : "T.", "non-dropping-particle" : "", "parse-names" : false, "suffix" : "" }, { "dropping-particle" : "", "family" : "Skousen", "given" : "J.", "non-dropping-particle" : "", "parse-names" : false, "suffix" : "" } ], "container-title" : "Geochemistry: Exploration, Environment, Analysis", "id" : "ITEM-1", "issued" : { "date-parts" : [ [ "2001" ] ] }, "page" : "71-80", "title" : "Treatment of acid mine drainage by four vertical flow wetlands in Pennsylvania", "type" : "article-journal", "volume" : "1" }, "uris" : [ "http://www.mendeley.com/documents/?uuid=24376cf1-1c6c-4117-8749-edd947db8af0" ] } ], "mendeley" : { "formattedCitation" : "(Demchak et al. 2001)", "plainTextFormattedCitation" : "(Demchak et al. 2001)", "previouslyFormattedCitation" : "(Demchak et al. 2001)" }, "properties" : { "noteIndex" : 0 }, "schema" : "https://github.com/citation-style-language/schema/raw/master/csl-citation.json" }</w:instrText>
      </w:r>
      <w:r>
        <w:rPr>
          <w:rFonts w:cs="Arial"/>
        </w:rPr>
        <w:fldChar w:fldCharType="separate"/>
      </w:r>
      <w:r w:rsidRPr="00620E0F">
        <w:rPr>
          <w:rFonts w:cs="Arial"/>
          <w:noProof/>
        </w:rPr>
        <w:t>(Demchak et al. 2001)</w:t>
      </w:r>
      <w:r>
        <w:rPr>
          <w:rFonts w:cs="Arial"/>
        </w:rPr>
        <w:fldChar w:fldCharType="end"/>
      </w:r>
      <w:r>
        <w:rPr>
          <w:rFonts w:cs="Arial"/>
        </w:rPr>
        <w:t xml:space="preserve">. </w:t>
      </w:r>
    </w:p>
    <w:p w14:paraId="6A092BEF" w14:textId="6752FFFD" w:rsidR="00D95E5B" w:rsidRDefault="009F7B64" w:rsidP="009F7B64">
      <w:pPr>
        <w:spacing w:line="480" w:lineRule="auto"/>
        <w:jc w:val="both"/>
        <w:rPr>
          <w:rFonts w:cs="Arial"/>
        </w:rPr>
      </w:pPr>
      <w:r w:rsidRPr="0073575A">
        <w:rPr>
          <w:rFonts w:cs="Arial"/>
        </w:rPr>
        <w:t xml:space="preserve">Although passive treatment systems continue to show promise in increasingly challenging situations, they still have not been fully accepted as </w:t>
      </w:r>
      <w:r w:rsidR="00F855BF">
        <w:rPr>
          <w:rFonts w:cs="Arial"/>
        </w:rPr>
        <w:t>competitive</w:t>
      </w:r>
      <w:r w:rsidRPr="0073575A">
        <w:rPr>
          <w:rFonts w:cs="Arial"/>
        </w:rPr>
        <w:t xml:space="preserve"> treatment option</w:t>
      </w:r>
      <w:r w:rsidR="00F855BF">
        <w:rPr>
          <w:rFonts w:cs="Arial"/>
        </w:rPr>
        <w:t>s</w:t>
      </w:r>
      <w:r>
        <w:rPr>
          <w:rFonts w:cs="Arial"/>
        </w:rPr>
        <w:t xml:space="preserve"> due to </w:t>
      </w:r>
      <w:r w:rsidRPr="0073575A">
        <w:rPr>
          <w:rFonts w:cs="Arial"/>
        </w:rPr>
        <w:t xml:space="preserve">performance efficiency </w:t>
      </w:r>
      <w:r>
        <w:rPr>
          <w:rFonts w:cs="Arial"/>
        </w:rPr>
        <w:t>being impacted by</w:t>
      </w:r>
      <w:r w:rsidRPr="0073575A">
        <w:rPr>
          <w:rFonts w:cs="Arial"/>
        </w:rPr>
        <w:t xml:space="preserve"> spatial and seasonal variability (Johnson and </w:t>
      </w:r>
      <w:proofErr w:type="spellStart"/>
      <w:r w:rsidRPr="0073575A">
        <w:rPr>
          <w:rFonts w:cs="Arial"/>
        </w:rPr>
        <w:lastRenderedPageBreak/>
        <w:t>Hallberg</w:t>
      </w:r>
      <w:proofErr w:type="spellEnd"/>
      <w:r w:rsidRPr="0073575A">
        <w:rPr>
          <w:rFonts w:cs="Arial"/>
        </w:rPr>
        <w:t xml:space="preserve">, 2005; </w:t>
      </w:r>
      <w:proofErr w:type="spellStart"/>
      <w:r w:rsidRPr="0073575A">
        <w:rPr>
          <w:rFonts w:cs="Arial"/>
        </w:rPr>
        <w:t>Watzlaf</w:t>
      </w:r>
      <w:proofErr w:type="spellEnd"/>
      <w:r w:rsidRPr="0073575A">
        <w:rPr>
          <w:rFonts w:cs="Arial"/>
        </w:rPr>
        <w:t xml:space="preserve"> et al</w:t>
      </w:r>
      <w:r>
        <w:rPr>
          <w:rFonts w:cs="Arial"/>
        </w:rPr>
        <w:t>.</w:t>
      </w:r>
      <w:r w:rsidRPr="0073575A">
        <w:rPr>
          <w:rFonts w:cs="Arial"/>
        </w:rPr>
        <w:t xml:space="preserve"> 2004; Hedin </w:t>
      </w:r>
      <w:r>
        <w:rPr>
          <w:rFonts w:cs="Arial"/>
        </w:rPr>
        <w:t xml:space="preserve">2008, Zipper and </w:t>
      </w:r>
      <w:proofErr w:type="spellStart"/>
      <w:r>
        <w:rPr>
          <w:rFonts w:cs="Arial"/>
        </w:rPr>
        <w:t>Skousen</w:t>
      </w:r>
      <w:proofErr w:type="spellEnd"/>
      <w:r>
        <w:rPr>
          <w:rFonts w:cs="Arial"/>
        </w:rPr>
        <w:t xml:space="preserve"> 2010</w:t>
      </w:r>
      <w:r w:rsidRPr="0073575A">
        <w:rPr>
          <w:rFonts w:cs="Arial"/>
        </w:rPr>
        <w:t xml:space="preserve">).  There are many questions that remain regarding the performance of passive treatment systems over short-term seasonal periods and </w:t>
      </w:r>
      <w:r w:rsidR="007C24E6">
        <w:rPr>
          <w:rFonts w:cs="Arial"/>
        </w:rPr>
        <w:t>for long-</w:t>
      </w:r>
      <w:r>
        <w:rPr>
          <w:rFonts w:cs="Arial"/>
        </w:rPr>
        <w:t xml:space="preserve">term operation leading to issues associated with estimated design life of each process unit.  </w:t>
      </w:r>
      <w:r w:rsidRPr="0073575A">
        <w:rPr>
          <w:rFonts w:cs="Arial"/>
        </w:rPr>
        <w:t>Performance prediction</w:t>
      </w:r>
      <w:r>
        <w:rPr>
          <w:rFonts w:cs="Arial"/>
        </w:rPr>
        <w:t xml:space="preserve"> methodologies </w:t>
      </w:r>
      <w:r w:rsidRPr="0073575A">
        <w:rPr>
          <w:rFonts w:cs="Arial"/>
        </w:rPr>
        <w:t>based on design parameters ha</w:t>
      </w:r>
      <w:r>
        <w:rPr>
          <w:rFonts w:cs="Arial"/>
        </w:rPr>
        <w:t>ve</w:t>
      </w:r>
      <w:r w:rsidRPr="0073575A">
        <w:rPr>
          <w:rFonts w:cs="Arial"/>
        </w:rPr>
        <w:t xml:space="preserve"> been well defined in the literature through </w:t>
      </w:r>
      <w:r w:rsidR="007C24E6">
        <w:rPr>
          <w:rFonts w:cs="Arial"/>
        </w:rPr>
        <w:t xml:space="preserve">a “black box” approach to </w:t>
      </w:r>
      <w:r w:rsidRPr="0073575A">
        <w:rPr>
          <w:rFonts w:cs="Arial"/>
        </w:rPr>
        <w:t xml:space="preserve">AMD </w:t>
      </w:r>
      <w:r w:rsidR="007C24E6">
        <w:rPr>
          <w:rFonts w:cs="Arial"/>
        </w:rPr>
        <w:t>source monitoring</w:t>
      </w:r>
      <w:r w:rsidRPr="0073575A">
        <w:rPr>
          <w:rFonts w:cs="Arial"/>
        </w:rPr>
        <w:t>, as well as through the use of</w:t>
      </w:r>
      <w:r>
        <w:rPr>
          <w:rFonts w:cs="Arial"/>
        </w:rPr>
        <w:t xml:space="preserve"> modeling (</w:t>
      </w:r>
      <w:proofErr w:type="spellStart"/>
      <w:r>
        <w:rPr>
          <w:rFonts w:cs="Arial"/>
        </w:rPr>
        <w:t>Mitsch</w:t>
      </w:r>
      <w:proofErr w:type="spellEnd"/>
      <w:r>
        <w:rPr>
          <w:rFonts w:cs="Arial"/>
        </w:rPr>
        <w:t xml:space="preserve"> and Wise, 1997</w:t>
      </w:r>
      <w:r w:rsidRPr="0073575A">
        <w:rPr>
          <w:rFonts w:cs="Arial"/>
        </w:rPr>
        <w:t xml:space="preserve">; </w:t>
      </w:r>
      <w:proofErr w:type="spellStart"/>
      <w:r w:rsidRPr="0073575A">
        <w:rPr>
          <w:rFonts w:cs="Arial"/>
        </w:rPr>
        <w:t>Sapsford</w:t>
      </w:r>
      <w:proofErr w:type="spellEnd"/>
      <w:r w:rsidRPr="0073575A">
        <w:rPr>
          <w:rFonts w:cs="Arial"/>
        </w:rPr>
        <w:t xml:space="preserve"> and Watson, 2011; Stark and W</w:t>
      </w:r>
      <w:r>
        <w:rPr>
          <w:rFonts w:cs="Arial"/>
        </w:rPr>
        <w:t>illiams, 1995; Flanagan et al. 1994)</w:t>
      </w:r>
      <w:r w:rsidRPr="0073575A">
        <w:rPr>
          <w:rFonts w:cs="Arial"/>
        </w:rPr>
        <w:t xml:space="preserve">. </w:t>
      </w:r>
      <w:r w:rsidR="007C24E6">
        <w:rPr>
          <w:rFonts w:cs="Arial"/>
        </w:rPr>
        <w:t>However,</w:t>
      </w:r>
      <w:r w:rsidR="007C24E6" w:rsidRPr="0073575A">
        <w:rPr>
          <w:rFonts w:cs="Arial"/>
        </w:rPr>
        <w:t xml:space="preserve"> there is a lack of information regarding </w:t>
      </w:r>
      <w:r w:rsidR="007C24E6">
        <w:rPr>
          <w:rFonts w:cs="Arial"/>
        </w:rPr>
        <w:t xml:space="preserve">the use of </w:t>
      </w:r>
      <w:r w:rsidR="007C24E6" w:rsidRPr="0073575A">
        <w:rPr>
          <w:rFonts w:cs="Arial"/>
        </w:rPr>
        <w:t>spatial</w:t>
      </w:r>
      <w:r w:rsidR="007C24E6">
        <w:rPr>
          <w:rFonts w:cs="Arial"/>
        </w:rPr>
        <w:t xml:space="preserve"> and</w:t>
      </w:r>
      <w:r w:rsidR="007C24E6" w:rsidRPr="0073575A">
        <w:rPr>
          <w:rFonts w:cs="Arial"/>
        </w:rPr>
        <w:t xml:space="preserve"> temporal</w:t>
      </w:r>
      <w:r w:rsidR="007C24E6">
        <w:rPr>
          <w:rFonts w:cs="Arial"/>
        </w:rPr>
        <w:t xml:space="preserve"> profiling within a treatment cell to assess performance mechanisms from an empirical perspective.  Since t</w:t>
      </w:r>
      <w:r w:rsidR="007C24E6" w:rsidRPr="0073575A">
        <w:rPr>
          <w:rFonts w:cs="Arial"/>
        </w:rPr>
        <w:t xml:space="preserve">he efficiency of iron removal </w:t>
      </w:r>
      <w:r w:rsidR="007C24E6">
        <w:rPr>
          <w:rFonts w:cs="Arial"/>
        </w:rPr>
        <w:t>within</w:t>
      </w:r>
      <w:r w:rsidR="007C24E6" w:rsidRPr="0073575A">
        <w:rPr>
          <w:rFonts w:cs="Arial"/>
        </w:rPr>
        <w:t xml:space="preserve"> the </w:t>
      </w:r>
      <w:r w:rsidR="007C24E6">
        <w:rPr>
          <w:rFonts w:cs="Arial"/>
        </w:rPr>
        <w:t xml:space="preserve">primary </w:t>
      </w:r>
      <w:r w:rsidR="007C24E6" w:rsidRPr="0073575A">
        <w:rPr>
          <w:rFonts w:cs="Arial"/>
        </w:rPr>
        <w:t>oxidative</w:t>
      </w:r>
      <w:r w:rsidR="007C24E6">
        <w:rPr>
          <w:rFonts w:cs="Arial"/>
        </w:rPr>
        <w:t xml:space="preserve"> treatment </w:t>
      </w:r>
      <w:r w:rsidR="007C24E6" w:rsidRPr="0073575A">
        <w:rPr>
          <w:rFonts w:cs="Arial"/>
        </w:rPr>
        <w:t>unit is essential f</w:t>
      </w:r>
      <w:r w:rsidR="007C24E6">
        <w:rPr>
          <w:rFonts w:cs="Arial"/>
        </w:rPr>
        <w:t>or</w:t>
      </w:r>
      <w:r w:rsidR="007C24E6" w:rsidRPr="0073575A">
        <w:rPr>
          <w:rFonts w:cs="Arial"/>
        </w:rPr>
        <w:t xml:space="preserve"> optimized </w:t>
      </w:r>
      <w:r w:rsidR="007C24E6">
        <w:rPr>
          <w:rFonts w:cs="Arial"/>
        </w:rPr>
        <w:t xml:space="preserve">system-level </w:t>
      </w:r>
      <w:r w:rsidR="007C24E6" w:rsidRPr="0073575A">
        <w:rPr>
          <w:rFonts w:cs="Arial"/>
        </w:rPr>
        <w:t>performance</w:t>
      </w:r>
      <w:r w:rsidR="007C24E6">
        <w:rPr>
          <w:rFonts w:cs="Arial"/>
        </w:rPr>
        <w:t xml:space="preserve"> (Hall 2005), a detailed survey of oxidative unit function is a valuable contribution </w:t>
      </w:r>
      <w:r w:rsidR="007C24E6" w:rsidRPr="0073575A">
        <w:rPr>
          <w:rFonts w:cs="Arial"/>
        </w:rPr>
        <w:t>for long</w:t>
      </w:r>
      <w:r w:rsidR="007C24E6">
        <w:rPr>
          <w:rFonts w:cs="Arial"/>
        </w:rPr>
        <w:t>-</w:t>
      </w:r>
      <w:r w:rsidR="007C24E6" w:rsidRPr="0073575A">
        <w:rPr>
          <w:rFonts w:cs="Arial"/>
        </w:rPr>
        <w:t>term performance estimates and maintenance decisions</w:t>
      </w:r>
      <w:r w:rsidR="007C24E6">
        <w:rPr>
          <w:rFonts w:cs="Arial"/>
        </w:rPr>
        <w:t xml:space="preserve"> regarding solids accumulation and volume displacement. Some detailed descriptions of mechanistic processes exist, but they are typically limited to bench- or pilot-scale operations due to time and cost constraints </w:t>
      </w:r>
      <w:r w:rsidR="007C24E6">
        <w:rPr>
          <w:rFonts w:cs="Arial"/>
        </w:rPr>
        <w:fldChar w:fldCharType="begin" w:fldLock="1"/>
      </w:r>
      <w:r w:rsidR="007C24E6">
        <w:rPr>
          <w:rFonts w:cs="Arial"/>
        </w:rPr>
        <w:instrText>ADDIN CSL_CITATION { "citationItems" : [ { "id" : "ITEM-1", "itemData" : { "DOI" : "10.1007/s10230-005-0083-1", "ISSN" : "10259112", "author" : [ { "dropping-particle" : "", "family" : "Champagne", "given" : "P.", "non-dropping-particle" : "", "parse-names" : false, "suffix" : "" }, { "dropping-particle" : "", "family" : "Geel", "given" : "P.", "non-dropping-particle" : "Van", "parse-names" : false, "suffix" : "" }, { "dropping-particle" : "", "family" : "Parker", "given" : "W.", "non-dropping-particle" : "", "parse-names" : false, "suffix" : "" } ], "container-title" : "Mine Water and the Environment", "id" : "ITEM-1", "issue" : "3", "issued" : { "date-parts" : [ [ "2005" ] ] }, "page" : "124-133", "title" : "A bench-scale assessment of a combined passive system to reduce concentrations of metals and sulphate in acid mine drainage", "type" : "article-journal", "volume" : "24" }, "uris" : [ "http://www.mendeley.com/documents/?uuid=240a80c6-b9ec-4d4f-bfd1-2f09cfe0b591" ] } ], "mendeley" : { "formattedCitation" : "(Champagne et al. 2005)", "plainTextFormattedCitation" : "(Champagne et al. 2005)", "previouslyFormattedCitation" : "(Champagne et al. 2005)" }, "properties" : { "noteIndex" : 0 }, "schema" : "https://github.com/citation-style-language/schema/raw/master/csl-citation.json" }</w:instrText>
      </w:r>
      <w:r w:rsidR="007C24E6">
        <w:rPr>
          <w:rFonts w:cs="Arial"/>
        </w:rPr>
        <w:fldChar w:fldCharType="separate"/>
      </w:r>
      <w:r w:rsidR="007C24E6" w:rsidRPr="009D474D">
        <w:rPr>
          <w:rFonts w:cs="Arial"/>
          <w:noProof/>
        </w:rPr>
        <w:t>(Champagne et al. 2005)</w:t>
      </w:r>
      <w:r w:rsidR="007C24E6">
        <w:rPr>
          <w:rFonts w:cs="Arial"/>
        </w:rPr>
        <w:fldChar w:fldCharType="end"/>
      </w:r>
      <w:r w:rsidR="007C24E6">
        <w:rPr>
          <w:rFonts w:cs="Arial"/>
        </w:rPr>
        <w:t>. Therefore, the spatial and temporal profiling of the oxidative unit of a full-scale passive treatment system will compliment this growing body of knowledge and better support</w:t>
      </w:r>
      <w:r w:rsidR="007C24E6" w:rsidRPr="0073575A">
        <w:rPr>
          <w:rFonts w:cs="Arial"/>
        </w:rPr>
        <w:t xml:space="preserve"> </w:t>
      </w:r>
      <w:r w:rsidR="007C24E6">
        <w:rPr>
          <w:rFonts w:cs="Arial"/>
        </w:rPr>
        <w:t xml:space="preserve">design decisions for </w:t>
      </w:r>
      <w:r w:rsidR="007C24E6" w:rsidRPr="0073575A">
        <w:rPr>
          <w:rFonts w:cs="Arial"/>
        </w:rPr>
        <w:t xml:space="preserve">future </w:t>
      </w:r>
      <w:r w:rsidR="007C24E6">
        <w:rPr>
          <w:rFonts w:cs="Arial"/>
        </w:rPr>
        <w:t xml:space="preserve">full-scale </w:t>
      </w:r>
      <w:r w:rsidR="007C24E6" w:rsidRPr="0073575A">
        <w:rPr>
          <w:rFonts w:cs="Arial"/>
        </w:rPr>
        <w:t xml:space="preserve">development projects. </w:t>
      </w:r>
    </w:p>
    <w:p w14:paraId="709FDB04" w14:textId="4C545595" w:rsidR="00F434CD" w:rsidRDefault="009F7B64" w:rsidP="00BF61EF">
      <w:pPr>
        <w:pStyle w:val="Heading2"/>
      </w:pPr>
      <w:r>
        <w:t>Mayer Ranch Passive Treatment System</w:t>
      </w:r>
    </w:p>
    <w:p w14:paraId="5A6406B9" w14:textId="77777777" w:rsidR="00BF61EF" w:rsidRPr="00BF61EF" w:rsidRDefault="00BF61EF" w:rsidP="00BF61EF"/>
    <w:p w14:paraId="480CB9C8" w14:textId="102BBB69" w:rsidR="00887BE5" w:rsidRPr="00CE4B50" w:rsidRDefault="00887BE5" w:rsidP="00887BE5">
      <w:pPr>
        <w:spacing w:line="480" w:lineRule="auto"/>
        <w:jc w:val="both"/>
        <w:rPr>
          <w:rFonts w:cs="Arial"/>
        </w:rPr>
      </w:pPr>
      <w:r w:rsidRPr="00A20824">
        <w:t xml:space="preserve">The Mayer Ranch Passive Treatment System (MRPTS) is located within the Tri-State Mining District near Commerce, OK in association with the Tar Creek Superfund Site (36°55'18.58"N, 94°52'22.64"W). This collaborative </w:t>
      </w:r>
      <w:r>
        <w:t xml:space="preserve">research demonstration </w:t>
      </w:r>
      <w:r w:rsidRPr="00A20824">
        <w:t xml:space="preserve">project between academic, state, federal, private, municipal, and tribal interests has direct application to primary research and </w:t>
      </w:r>
      <w:r>
        <w:t xml:space="preserve">ongoing </w:t>
      </w:r>
      <w:r w:rsidRPr="00A20824">
        <w:t xml:space="preserve">development projects.  The mission of the MRPTS is water quality improvement of </w:t>
      </w:r>
      <w:r w:rsidRPr="00A20824">
        <w:lastRenderedPageBreak/>
        <w:t>artesian flow</w:t>
      </w:r>
      <w:r>
        <w:t>ing</w:t>
      </w:r>
      <w:r w:rsidRPr="00A20824">
        <w:t xml:space="preserve"> </w:t>
      </w:r>
      <w:r w:rsidRPr="00A20824">
        <w:rPr>
          <w:rFonts w:cs="Arial"/>
        </w:rPr>
        <w:t>net-alkaline ferruginous lead-zinc mine waters</w:t>
      </w:r>
      <w:r w:rsidRPr="00A20824">
        <w:t xml:space="preserve"> by </w:t>
      </w:r>
      <w:r>
        <w:t xml:space="preserve">decreasing </w:t>
      </w:r>
      <w:r w:rsidRPr="00DD364B">
        <w:t xml:space="preserve">metals </w:t>
      </w:r>
      <w:r>
        <w:t>concentrations</w:t>
      </w:r>
      <w:r w:rsidRPr="00DD364B">
        <w:t xml:space="preserve"> through precipitation and sequestration as hydroxide, oxide, sulfide, or carbonate minerals </w:t>
      </w:r>
      <w:r w:rsidRPr="00DD364B">
        <w:rPr>
          <w:rFonts w:cs="Arial"/>
        </w:rPr>
        <w:t xml:space="preserve">to the criteria continuous concentrations recommended by USEPA’s </w:t>
      </w:r>
      <w:r>
        <w:rPr>
          <w:rFonts w:cs="Arial"/>
        </w:rPr>
        <w:t>N</w:t>
      </w:r>
      <w:r w:rsidRPr="00DD364B">
        <w:rPr>
          <w:rFonts w:cs="Arial"/>
        </w:rPr>
        <w:t xml:space="preserve">ational </w:t>
      </w:r>
      <w:r>
        <w:rPr>
          <w:rFonts w:cs="Arial"/>
        </w:rPr>
        <w:t>R</w:t>
      </w:r>
      <w:r w:rsidRPr="00DD364B">
        <w:rPr>
          <w:rFonts w:cs="Arial"/>
        </w:rPr>
        <w:t xml:space="preserve">ecommended </w:t>
      </w:r>
      <w:r>
        <w:rPr>
          <w:rFonts w:cs="Arial"/>
        </w:rPr>
        <w:t>W</w:t>
      </w:r>
      <w:r w:rsidRPr="00DD364B">
        <w:rPr>
          <w:rFonts w:cs="Arial"/>
        </w:rPr>
        <w:t xml:space="preserve">ater </w:t>
      </w:r>
      <w:r>
        <w:rPr>
          <w:rFonts w:cs="Arial"/>
        </w:rPr>
        <w:t>Q</w:t>
      </w:r>
      <w:r w:rsidRPr="00DD364B">
        <w:rPr>
          <w:rFonts w:cs="Arial"/>
        </w:rPr>
        <w:t xml:space="preserve">uality </w:t>
      </w:r>
      <w:r>
        <w:rPr>
          <w:rFonts w:cs="Arial"/>
        </w:rPr>
        <w:t>C</w:t>
      </w:r>
      <w:r w:rsidRPr="00DD364B">
        <w:rPr>
          <w:rFonts w:cs="Arial"/>
        </w:rPr>
        <w:t>riteria (</w:t>
      </w:r>
      <w:r w:rsidR="00B55B66">
        <w:rPr>
          <w:rFonts w:cs="Arial"/>
        </w:rPr>
        <w:t>EPA 1986)</w:t>
      </w:r>
      <w:r w:rsidRPr="00DD364B">
        <w:rPr>
          <w:rFonts w:cs="Arial"/>
        </w:rPr>
        <w:t>.</w:t>
      </w:r>
    </w:p>
    <w:p w14:paraId="434C13CF" w14:textId="5B0418DA" w:rsidR="009F7B64" w:rsidRPr="00F97215" w:rsidRDefault="00887BE5" w:rsidP="00887BE5">
      <w:pPr>
        <w:spacing w:line="480" w:lineRule="auto"/>
        <w:jc w:val="both"/>
      </w:pPr>
      <w:r w:rsidRPr="00A20824">
        <w:t xml:space="preserve">This site was selected for </w:t>
      </w:r>
      <w:r>
        <w:t xml:space="preserve">the </w:t>
      </w:r>
      <w:r w:rsidRPr="00A20824">
        <w:t xml:space="preserve">intensive performance analysis </w:t>
      </w:r>
      <w:r>
        <w:t xml:space="preserve">of the oxidative unit </w:t>
      </w:r>
      <w:r w:rsidRPr="00A20824">
        <w:t xml:space="preserve">as it </w:t>
      </w:r>
      <w:r>
        <w:t xml:space="preserve">was designed to be a long-term ecological engineering research site, </w:t>
      </w:r>
      <w:r w:rsidRPr="00A20824">
        <w:t>represents the implementation of a full</w:t>
      </w:r>
      <w:r w:rsidRPr="00D5620D">
        <w:t>-</w:t>
      </w:r>
      <w:r w:rsidRPr="00A20824">
        <w:t>size</w:t>
      </w:r>
      <w:r w:rsidRPr="00D5620D">
        <w:t>d</w:t>
      </w:r>
      <w:r w:rsidRPr="00A20824">
        <w:t xml:space="preserve"> passive treatment </w:t>
      </w:r>
      <w:r>
        <w:t>system</w:t>
      </w:r>
      <w:r w:rsidRPr="00A20824">
        <w:t xml:space="preserve">, </w:t>
      </w:r>
      <w:r>
        <w:t>and</w:t>
      </w:r>
      <w:r w:rsidRPr="00A20824">
        <w:t xml:space="preserve"> </w:t>
      </w:r>
      <w:r>
        <w:t xml:space="preserve">presents </w:t>
      </w:r>
      <w:r w:rsidRPr="00A20824">
        <w:t xml:space="preserve">the challenges associated with </w:t>
      </w:r>
      <w:r>
        <w:t>long term</w:t>
      </w:r>
      <w:r w:rsidRPr="00A20824">
        <w:t xml:space="preserve"> operation and maintenance.</w:t>
      </w:r>
      <w:r>
        <w:t xml:space="preserve"> </w:t>
      </w:r>
      <w:r w:rsidR="009F7B64" w:rsidRPr="00A20824">
        <w:t xml:space="preserve">The MRPTS </w:t>
      </w:r>
      <w:r w:rsidR="009F7B64">
        <w:t>was designed based on</w:t>
      </w:r>
      <w:r w:rsidR="009F7B64" w:rsidRPr="00A20824">
        <w:t xml:space="preserve"> the current </w:t>
      </w:r>
      <w:r w:rsidR="009F7B64" w:rsidRPr="00501910">
        <w:t xml:space="preserve">approach </w:t>
      </w:r>
      <w:r w:rsidR="009F7B64">
        <w:t>for</w:t>
      </w:r>
      <w:r w:rsidR="009F7B64" w:rsidRPr="00501910">
        <w:t xml:space="preserve"> treating </w:t>
      </w:r>
      <w:r w:rsidR="009F7B64" w:rsidRPr="00501910">
        <w:rPr>
          <w:rFonts w:cs="Arial"/>
        </w:rPr>
        <w:t>net-alkaline ferruginous lead-zinc mine waters</w:t>
      </w:r>
      <w:r w:rsidR="009F7B64" w:rsidRPr="00501910">
        <w:t xml:space="preserve"> with the passive strategy</w:t>
      </w:r>
      <w:r w:rsidR="0001018F">
        <w:t xml:space="preserve"> (Younger et al 2002; </w:t>
      </w:r>
      <w:proofErr w:type="spellStart"/>
      <w:r w:rsidR="000E1A9D">
        <w:t>Cravotta</w:t>
      </w:r>
      <w:proofErr w:type="spellEnd"/>
      <w:r w:rsidR="000E1A9D">
        <w:t xml:space="preserve"> 2007</w:t>
      </w:r>
      <w:r w:rsidR="00B55B66">
        <w:t xml:space="preserve">) </w:t>
      </w:r>
      <w:r w:rsidR="009F7B64" w:rsidRPr="00501910">
        <w:t xml:space="preserve">The challenges of </w:t>
      </w:r>
      <w:r w:rsidR="009F7B64">
        <w:t xml:space="preserve">balancing </w:t>
      </w:r>
      <w:r w:rsidR="009F7B64" w:rsidRPr="00501910">
        <w:t xml:space="preserve">optimized system function </w:t>
      </w:r>
      <w:r w:rsidR="009F7B64">
        <w:t>with</w:t>
      </w:r>
      <w:r w:rsidR="009F7B64" w:rsidRPr="00501910">
        <w:t xml:space="preserve"> land availability led to design modifications including a uniquely shaped oxidative unit with a layout that accommodates a compromise between system form and function </w:t>
      </w:r>
      <w:r w:rsidR="000E1A9D">
        <w:t xml:space="preserve">with large scale equipment </w:t>
      </w:r>
      <w:r w:rsidR="00147A98">
        <w:t>accessibility</w:t>
      </w:r>
      <w:r w:rsidR="009F7B64" w:rsidRPr="00501910">
        <w:t xml:space="preserve">.  </w:t>
      </w:r>
    </w:p>
    <w:p w14:paraId="58A0D6D2" w14:textId="767344B1" w:rsidR="009F7B64" w:rsidRDefault="009F7B64" w:rsidP="009F7B64">
      <w:pPr>
        <w:spacing w:line="480" w:lineRule="auto"/>
        <w:jc w:val="both"/>
      </w:pPr>
      <w:r w:rsidRPr="00501910">
        <w:t xml:space="preserve">The MRPTS </w:t>
      </w:r>
      <w:r>
        <w:t>is</w:t>
      </w:r>
      <w:r w:rsidRPr="00501910">
        <w:t xml:space="preserve"> sized in accordance with the relationship</w:t>
      </w:r>
      <w:r>
        <w:t>s</w:t>
      </w:r>
      <w:r w:rsidRPr="00501910">
        <w:t xml:space="preserve"> between</w:t>
      </w:r>
      <w:r>
        <w:t xml:space="preserve"> </w:t>
      </w:r>
      <w:proofErr w:type="spellStart"/>
      <w:r>
        <w:t>analyte</w:t>
      </w:r>
      <w:proofErr w:type="spellEnd"/>
      <w:r>
        <w:t xml:space="preserve"> mass loading, </w:t>
      </w:r>
      <w:r w:rsidRPr="00501910">
        <w:t>and</w:t>
      </w:r>
      <w:r>
        <w:t xml:space="preserve"> the </w:t>
      </w:r>
      <w:r w:rsidRPr="00501910">
        <w:t>kinetics of contaminant removal</w:t>
      </w:r>
      <w:r>
        <w:t xml:space="preserve"> based on surface water chemistry</w:t>
      </w:r>
      <w:r w:rsidRPr="00501910">
        <w:t xml:space="preserve">. </w:t>
      </w:r>
      <w:r w:rsidRPr="00C60AA4">
        <w:t xml:space="preserve">The available area of 3.6 ha is framed by </w:t>
      </w:r>
      <w:r w:rsidR="000E1A9D">
        <w:t xml:space="preserve">private </w:t>
      </w:r>
      <w:r w:rsidRPr="00C60AA4">
        <w:t>landowners in ad</w:t>
      </w:r>
      <w:r w:rsidRPr="00A20824">
        <w:t xml:space="preserve">dition to a natural gas pipeline corridor, with approximately </w:t>
      </w:r>
      <w:r>
        <w:t>&lt;1.5</w:t>
      </w:r>
      <w:r w:rsidRPr="00A20824">
        <w:t xml:space="preserve"> ha reserved for the system itself (</w:t>
      </w:r>
      <w:proofErr w:type="spellStart"/>
      <w:r w:rsidRPr="00A20824">
        <w:t>Nairn</w:t>
      </w:r>
      <w:proofErr w:type="spellEnd"/>
      <w:r w:rsidRPr="00A20824">
        <w:t xml:space="preserve"> et al. 2009). Table </w:t>
      </w:r>
      <w:r>
        <w:t>1.2</w:t>
      </w:r>
      <w:r w:rsidRPr="00A20824">
        <w:t xml:space="preserve"> summarizes a four-year survey of water quality and quantity measurements from </w:t>
      </w:r>
      <w:r>
        <w:t xml:space="preserve">Mayer Ranch </w:t>
      </w:r>
      <w:r w:rsidRPr="00A20824">
        <w:t>AMD seeps (2004-2008) to determine treatment system design features</w:t>
      </w:r>
      <w:r>
        <w:t xml:space="preserve"> including</w:t>
      </w:r>
      <w:r w:rsidRPr="00A20824">
        <w:t>: (1) treatment cell type, (2) cell</w:t>
      </w:r>
      <w:r>
        <w:t xml:space="preserve"> order and placement within the treatment system</w:t>
      </w:r>
      <w:r w:rsidRPr="00A20824">
        <w:t xml:space="preserve">, (3) treatment cell size (surface area), (4) bathymetry of cell design, and (5) hydraulic retention time (HRT) for each cell and the </w:t>
      </w:r>
      <w:r>
        <w:t xml:space="preserve">full </w:t>
      </w:r>
      <w:r w:rsidRPr="00A20824">
        <w:t>system (</w:t>
      </w:r>
      <w:proofErr w:type="spellStart"/>
      <w:r w:rsidRPr="00A20824">
        <w:t>Nairn</w:t>
      </w:r>
      <w:proofErr w:type="spellEnd"/>
      <w:r w:rsidRPr="00A20824">
        <w:t xml:space="preserve"> et al. 2010).  Figure </w:t>
      </w:r>
      <w:r>
        <w:t>1.1</w:t>
      </w:r>
      <w:r w:rsidRPr="00A20824">
        <w:t xml:space="preserve"> is an aerial photo of the treatment system layout after startup in </w:t>
      </w:r>
      <w:r>
        <w:t>Novem</w:t>
      </w:r>
      <w:r w:rsidRPr="00A20824">
        <w:t>ber 2008, while Table</w:t>
      </w:r>
      <w:r>
        <w:t xml:space="preserve"> 1.3</w:t>
      </w:r>
      <w:r w:rsidRPr="00A20824">
        <w:t xml:space="preserve"> summarizes cell size and function for each </w:t>
      </w:r>
      <w:r>
        <w:t xml:space="preserve">treatment process </w:t>
      </w:r>
      <w:r w:rsidRPr="00A20824">
        <w:t xml:space="preserve">unit.   </w:t>
      </w:r>
      <w:r>
        <w:t>T</w:t>
      </w:r>
      <w:r w:rsidRPr="00A20824">
        <w:t>he location of the system in its</w:t>
      </w:r>
      <w:r>
        <w:t xml:space="preserve"> particular region / climate also makes </w:t>
      </w:r>
      <w:r>
        <w:lastRenderedPageBreak/>
        <w:t>it an ideal research site for determining how storm-induced and seasonal removal dynamics impacts passive treatment success indicators such as effluent water quality.</w:t>
      </w:r>
    </w:p>
    <w:p w14:paraId="0F58143D" w14:textId="0C23FA70" w:rsidR="00D95E5B" w:rsidRPr="00550E7C" w:rsidRDefault="009F7B64" w:rsidP="00550E7C">
      <w:pPr>
        <w:spacing w:line="480" w:lineRule="auto"/>
        <w:jc w:val="both"/>
      </w:pPr>
      <w:r>
        <w:rPr>
          <w:szCs w:val="20"/>
        </w:rPr>
        <w:t xml:space="preserve">The AMD emerges at Mayer Ranch from </w:t>
      </w:r>
      <w:r w:rsidR="000E1A9D">
        <w:rPr>
          <w:szCs w:val="20"/>
        </w:rPr>
        <w:t>two</w:t>
      </w:r>
      <w:r>
        <w:rPr>
          <w:szCs w:val="20"/>
        </w:rPr>
        <w:t xml:space="preserve"> exploratory bore holes</w:t>
      </w:r>
      <w:r w:rsidR="000E1A9D">
        <w:rPr>
          <w:szCs w:val="20"/>
        </w:rPr>
        <w:t xml:space="preserve"> (Seeps A and B) and a collapsed shaft (Seep D). </w:t>
      </w:r>
      <w:r>
        <w:rPr>
          <w:szCs w:val="20"/>
        </w:rPr>
        <w:t xml:space="preserve"> </w:t>
      </w:r>
      <w:r w:rsidR="000E1A9D">
        <w:rPr>
          <w:szCs w:val="20"/>
        </w:rPr>
        <w:t>All three seeps are within close proximity to each other and are likely</w:t>
      </w:r>
      <w:r>
        <w:rPr>
          <w:szCs w:val="20"/>
        </w:rPr>
        <w:t xml:space="preserve"> supplied by the same source based on the consistency between influent seep water quality data; thus, only flow adjusted average seep data </w:t>
      </w:r>
      <w:r w:rsidR="000E1A9D">
        <w:rPr>
          <w:szCs w:val="20"/>
        </w:rPr>
        <w:t xml:space="preserve">are </w:t>
      </w:r>
      <w:r>
        <w:rPr>
          <w:szCs w:val="20"/>
        </w:rPr>
        <w:t xml:space="preserve">represented. </w:t>
      </w:r>
      <w:r w:rsidR="00644803">
        <w:rPr>
          <w:szCs w:val="20"/>
        </w:rPr>
        <w:t xml:space="preserve">Reducing conditions prior to surface discharge maintain the dissolved metals species in solution until surface conditions favor oxidative processes supporting the precipitation of iron </w:t>
      </w:r>
      <w:proofErr w:type="spellStart"/>
      <w:r w:rsidR="00644803">
        <w:rPr>
          <w:szCs w:val="20"/>
        </w:rPr>
        <w:t>oxyhydroxides</w:t>
      </w:r>
      <w:proofErr w:type="spellEnd"/>
      <w:r w:rsidR="00644803">
        <w:rPr>
          <w:szCs w:val="20"/>
        </w:rPr>
        <w:t xml:space="preserve">.  Prior to the construction of the Mayer Ranch Passive Treatment System, a cattail marsh served to mitigate impacts of AMD on the stream tributary as it promoted conditions for the oxidation and hydrolysis of iron to form iron </w:t>
      </w:r>
      <w:proofErr w:type="spellStart"/>
      <w:r w:rsidR="00644803">
        <w:rPr>
          <w:szCs w:val="20"/>
        </w:rPr>
        <w:t>oxyhydroxides</w:t>
      </w:r>
      <w:proofErr w:type="spellEnd"/>
      <w:r w:rsidR="00644803">
        <w:rPr>
          <w:szCs w:val="20"/>
        </w:rPr>
        <w:t xml:space="preserve"> (35% natural attenuation of loaded total iron – see Table 1.2). Trace metals like </w:t>
      </w:r>
      <w:proofErr w:type="gramStart"/>
      <w:r w:rsidR="00644803">
        <w:rPr>
          <w:szCs w:val="20"/>
        </w:rPr>
        <w:t>As</w:t>
      </w:r>
      <w:proofErr w:type="gramEnd"/>
      <w:r w:rsidR="00644803">
        <w:rPr>
          <w:szCs w:val="20"/>
        </w:rPr>
        <w:t xml:space="preserve">, Zn, </w:t>
      </w:r>
      <w:proofErr w:type="spellStart"/>
      <w:r w:rsidR="00644803">
        <w:rPr>
          <w:szCs w:val="20"/>
        </w:rPr>
        <w:t>Pb</w:t>
      </w:r>
      <w:proofErr w:type="spellEnd"/>
      <w:r w:rsidR="00644803">
        <w:rPr>
          <w:szCs w:val="20"/>
        </w:rPr>
        <w:t xml:space="preserve">, Ni, and Cd have been observed to sorb to iron oxide precipitates, resulting in a fraction of these constituents being removed from solution as the iron settles out of the water column. The water quality of the receiving tributary indicates that it was impacted by AMD before the confluence of flow from Mayer Ranch, yet the addition of Mayer Ranch water further reinforced the impact with elevated metals </w:t>
      </w:r>
      <w:r w:rsidR="00644803" w:rsidRPr="00550E7C">
        <w:t xml:space="preserve">concentrations, turbidity, and a decrease in pH and dissolved oxygen.    </w:t>
      </w:r>
    </w:p>
    <w:p w14:paraId="13D7D7F2" w14:textId="5AF63C64" w:rsidR="00550E7C" w:rsidRDefault="00550E7C" w:rsidP="00550E7C">
      <w:pPr>
        <w:spacing w:line="480" w:lineRule="auto"/>
        <w:jc w:val="both"/>
      </w:pPr>
      <w:r w:rsidRPr="00550E7C">
        <w:t>The Mayer Ranch Passive Treatment System was constructed in 2008 to remediate the AMD from the seeps before it reaches the tributary steam, thus reducing the metals loading and impact on the downstream ecosystems.</w:t>
      </w:r>
    </w:p>
    <w:p w14:paraId="3377B593" w14:textId="77777777" w:rsidR="00550E7C" w:rsidRPr="00550E7C" w:rsidRDefault="00550E7C" w:rsidP="00550E7C">
      <w:pPr>
        <w:spacing w:line="480" w:lineRule="auto"/>
        <w:jc w:val="both"/>
      </w:pPr>
    </w:p>
    <w:p w14:paraId="02C8D4E5" w14:textId="1DF0446B" w:rsidR="00550E7C" w:rsidRPr="000837FB" w:rsidRDefault="009F1B2B" w:rsidP="00550E7C">
      <w:pPr>
        <w:pStyle w:val="Heading3"/>
        <w:rPr>
          <w:rFonts w:asciiTheme="minorHAnsi" w:hAnsiTheme="minorHAnsi" w:cstheme="minorHAnsi"/>
          <w:szCs w:val="20"/>
        </w:rPr>
      </w:pPr>
      <w:r w:rsidRPr="009F1B2B">
        <w:rPr>
          <w:szCs w:val="20"/>
        </w:rPr>
        <w:lastRenderedPageBreak/>
        <w:t xml:space="preserve"> </w:t>
      </w:r>
      <w:r w:rsidR="00550E7C" w:rsidRPr="000837FB">
        <w:rPr>
          <w:rFonts w:asciiTheme="minorHAnsi" w:hAnsiTheme="minorHAnsi" w:cstheme="minorHAnsi"/>
          <w:szCs w:val="20"/>
        </w:rPr>
        <w:t xml:space="preserve">Table 1.2: Water Quality Parameters That Influenced the Design of the </w:t>
      </w:r>
      <w:r w:rsidR="00550E7C">
        <w:rPr>
          <w:rFonts w:asciiTheme="minorHAnsi" w:hAnsiTheme="minorHAnsi" w:cstheme="minorHAnsi"/>
          <w:szCs w:val="20"/>
        </w:rPr>
        <w:t xml:space="preserve">Mayer Ranch Passive </w:t>
      </w:r>
      <w:r w:rsidR="00550E7C" w:rsidRPr="000837FB">
        <w:rPr>
          <w:rFonts w:asciiTheme="minorHAnsi" w:hAnsiTheme="minorHAnsi" w:cstheme="minorHAnsi"/>
          <w:szCs w:val="20"/>
        </w:rPr>
        <w:t>Treatment System: mean</w:t>
      </w:r>
      <w:r w:rsidR="00550E7C">
        <w:rPr>
          <w:rFonts w:asciiTheme="minorHAnsi" w:hAnsiTheme="minorHAnsi" w:cstheme="minorHAnsi"/>
          <w:szCs w:val="20"/>
        </w:rPr>
        <w:t xml:space="preserve"> c</w:t>
      </w:r>
      <w:r w:rsidR="00550E7C" w:rsidRPr="000837FB">
        <w:rPr>
          <w:rFonts w:asciiTheme="minorHAnsi" w:hAnsiTheme="minorHAnsi" w:cstheme="minorHAnsi"/>
          <w:szCs w:val="20"/>
        </w:rPr>
        <w:t xml:space="preserve">oncentration ± standard deviation </w:t>
      </w:r>
      <w:r w:rsidR="00550E7C">
        <w:rPr>
          <w:rFonts w:asciiTheme="minorHAnsi" w:hAnsiTheme="minorHAnsi" w:cstheme="minorHAnsi"/>
          <w:szCs w:val="20"/>
        </w:rPr>
        <w:t>impacting the tributary</w:t>
      </w:r>
    </w:p>
    <w:tbl>
      <w:tblPr>
        <w:tblW w:w="8316" w:type="dxa"/>
        <w:tblLook w:val="04A0" w:firstRow="1" w:lastRow="0" w:firstColumn="1" w:lastColumn="0" w:noHBand="0" w:noVBand="1"/>
      </w:tblPr>
      <w:tblGrid>
        <w:gridCol w:w="1229"/>
        <w:gridCol w:w="931"/>
        <w:gridCol w:w="1421"/>
        <w:gridCol w:w="1355"/>
        <w:gridCol w:w="1690"/>
        <w:gridCol w:w="1690"/>
      </w:tblGrid>
      <w:tr w:rsidR="00550E7C" w:rsidRPr="000837FB" w14:paraId="0066B606" w14:textId="77777777" w:rsidTr="00550E7C">
        <w:trPr>
          <w:trHeight w:val="827"/>
        </w:trPr>
        <w:tc>
          <w:tcPr>
            <w:tcW w:w="1229" w:type="dxa"/>
            <w:tcBorders>
              <w:top w:val="single" w:sz="4" w:space="0" w:color="auto"/>
              <w:left w:val="nil"/>
              <w:bottom w:val="double" w:sz="6" w:space="0" w:color="auto"/>
              <w:right w:val="nil"/>
            </w:tcBorders>
            <w:shd w:val="clear" w:color="auto" w:fill="auto"/>
            <w:vAlign w:val="bottom"/>
            <w:hideMark/>
          </w:tcPr>
          <w:p w14:paraId="6D9BF88E" w14:textId="77777777" w:rsidR="00550E7C" w:rsidRPr="000837FB" w:rsidRDefault="00550E7C" w:rsidP="00550E7C">
            <w:pPr>
              <w:spacing w:after="0" w:line="240" w:lineRule="auto"/>
              <w:rPr>
                <w:rFonts w:eastAsia="Times New Roman" w:cstheme="minorHAnsi"/>
                <w:bCs/>
                <w:sz w:val="20"/>
                <w:szCs w:val="20"/>
              </w:rPr>
            </w:pPr>
            <w:r w:rsidRPr="000837FB">
              <w:rPr>
                <w:rFonts w:eastAsia="Times New Roman" w:cstheme="minorHAnsi"/>
                <w:bCs/>
                <w:sz w:val="20"/>
                <w:szCs w:val="20"/>
              </w:rPr>
              <w:t>Total Metals</w:t>
            </w:r>
          </w:p>
        </w:tc>
        <w:tc>
          <w:tcPr>
            <w:tcW w:w="931" w:type="dxa"/>
            <w:tcBorders>
              <w:top w:val="single" w:sz="4" w:space="0" w:color="auto"/>
              <w:left w:val="nil"/>
              <w:bottom w:val="double" w:sz="6" w:space="0" w:color="auto"/>
              <w:right w:val="nil"/>
            </w:tcBorders>
            <w:shd w:val="clear" w:color="auto" w:fill="auto"/>
            <w:vAlign w:val="bottom"/>
            <w:hideMark/>
          </w:tcPr>
          <w:p w14:paraId="139B559A" w14:textId="77777777" w:rsidR="00550E7C" w:rsidRPr="000837FB" w:rsidRDefault="00550E7C" w:rsidP="00550E7C">
            <w:pPr>
              <w:spacing w:after="0" w:line="240" w:lineRule="auto"/>
              <w:jc w:val="center"/>
              <w:rPr>
                <w:rFonts w:eastAsia="Times New Roman" w:cstheme="minorHAnsi"/>
                <w:bCs/>
                <w:sz w:val="20"/>
                <w:szCs w:val="20"/>
              </w:rPr>
            </w:pPr>
            <w:r w:rsidRPr="000837FB">
              <w:rPr>
                <w:rFonts w:eastAsia="Times New Roman" w:cstheme="minorHAnsi"/>
                <w:bCs/>
                <w:sz w:val="20"/>
                <w:szCs w:val="20"/>
              </w:rPr>
              <w:t>units</w:t>
            </w:r>
          </w:p>
        </w:tc>
        <w:tc>
          <w:tcPr>
            <w:tcW w:w="1421" w:type="dxa"/>
            <w:tcBorders>
              <w:top w:val="single" w:sz="4" w:space="0" w:color="auto"/>
              <w:left w:val="nil"/>
              <w:bottom w:val="double" w:sz="6" w:space="0" w:color="auto"/>
              <w:right w:val="nil"/>
            </w:tcBorders>
            <w:shd w:val="clear" w:color="auto" w:fill="auto"/>
            <w:vAlign w:val="bottom"/>
            <w:hideMark/>
          </w:tcPr>
          <w:p w14:paraId="492FC2A5" w14:textId="77777777" w:rsidR="00550E7C" w:rsidRPr="000837FB" w:rsidRDefault="00550E7C" w:rsidP="00550E7C">
            <w:pPr>
              <w:spacing w:after="0" w:line="240" w:lineRule="auto"/>
              <w:jc w:val="center"/>
              <w:rPr>
                <w:rFonts w:eastAsia="Times New Roman" w:cstheme="minorHAnsi"/>
                <w:bCs/>
                <w:sz w:val="20"/>
                <w:szCs w:val="20"/>
              </w:rPr>
            </w:pPr>
            <w:r w:rsidRPr="000837FB">
              <w:rPr>
                <w:rFonts w:eastAsia="Times New Roman" w:cstheme="minorHAnsi"/>
                <w:bCs/>
                <w:sz w:val="20"/>
                <w:szCs w:val="20"/>
              </w:rPr>
              <w:t xml:space="preserve">Mean of AMD Seeps </w:t>
            </w:r>
          </w:p>
        </w:tc>
        <w:tc>
          <w:tcPr>
            <w:tcW w:w="1355" w:type="dxa"/>
            <w:tcBorders>
              <w:top w:val="single" w:sz="4" w:space="0" w:color="auto"/>
              <w:left w:val="nil"/>
              <w:bottom w:val="double" w:sz="6" w:space="0" w:color="auto"/>
              <w:right w:val="nil"/>
            </w:tcBorders>
            <w:shd w:val="clear" w:color="auto" w:fill="auto"/>
            <w:vAlign w:val="bottom"/>
            <w:hideMark/>
          </w:tcPr>
          <w:p w14:paraId="484B1BA4" w14:textId="77777777" w:rsidR="00550E7C" w:rsidRPr="000837FB" w:rsidRDefault="00550E7C" w:rsidP="00550E7C">
            <w:pPr>
              <w:spacing w:after="0" w:line="240" w:lineRule="auto"/>
              <w:jc w:val="center"/>
              <w:rPr>
                <w:rFonts w:eastAsia="Times New Roman" w:cstheme="minorHAnsi"/>
                <w:bCs/>
                <w:sz w:val="20"/>
                <w:szCs w:val="20"/>
              </w:rPr>
            </w:pPr>
            <w:r w:rsidRPr="000837FB">
              <w:rPr>
                <w:rFonts w:eastAsia="Times New Roman" w:cstheme="minorHAnsi"/>
                <w:bCs/>
                <w:sz w:val="20"/>
                <w:szCs w:val="20"/>
              </w:rPr>
              <w:t xml:space="preserve">Mayer Ranch Weir </w:t>
            </w:r>
          </w:p>
        </w:tc>
        <w:tc>
          <w:tcPr>
            <w:tcW w:w="1690" w:type="dxa"/>
            <w:tcBorders>
              <w:top w:val="single" w:sz="4" w:space="0" w:color="auto"/>
              <w:left w:val="nil"/>
              <w:bottom w:val="double" w:sz="6" w:space="0" w:color="auto"/>
              <w:right w:val="nil"/>
            </w:tcBorders>
            <w:shd w:val="clear" w:color="auto" w:fill="auto"/>
            <w:vAlign w:val="bottom"/>
            <w:hideMark/>
          </w:tcPr>
          <w:p w14:paraId="04704B68" w14:textId="77777777" w:rsidR="00550E7C" w:rsidRPr="000837FB" w:rsidRDefault="00550E7C" w:rsidP="00550E7C">
            <w:pPr>
              <w:spacing w:after="0" w:line="240" w:lineRule="auto"/>
              <w:jc w:val="center"/>
              <w:rPr>
                <w:rFonts w:eastAsia="Times New Roman" w:cstheme="minorHAnsi"/>
                <w:bCs/>
                <w:sz w:val="20"/>
                <w:szCs w:val="20"/>
              </w:rPr>
            </w:pPr>
            <w:r w:rsidRPr="000837FB">
              <w:rPr>
                <w:rFonts w:eastAsia="Times New Roman" w:cstheme="minorHAnsi"/>
                <w:bCs/>
                <w:sz w:val="20"/>
                <w:szCs w:val="20"/>
              </w:rPr>
              <w:t>Tributary Upstream from Future PTS</w:t>
            </w:r>
          </w:p>
        </w:tc>
        <w:tc>
          <w:tcPr>
            <w:tcW w:w="1690" w:type="dxa"/>
            <w:tcBorders>
              <w:top w:val="single" w:sz="4" w:space="0" w:color="auto"/>
              <w:left w:val="nil"/>
              <w:bottom w:val="double" w:sz="6" w:space="0" w:color="auto"/>
              <w:right w:val="nil"/>
            </w:tcBorders>
            <w:shd w:val="clear" w:color="auto" w:fill="auto"/>
            <w:vAlign w:val="bottom"/>
            <w:hideMark/>
          </w:tcPr>
          <w:p w14:paraId="63098CAD" w14:textId="77777777" w:rsidR="00550E7C" w:rsidRPr="000837FB" w:rsidRDefault="00550E7C" w:rsidP="00550E7C">
            <w:pPr>
              <w:spacing w:after="0" w:line="240" w:lineRule="auto"/>
              <w:jc w:val="center"/>
              <w:rPr>
                <w:rFonts w:eastAsia="Times New Roman" w:cstheme="minorHAnsi"/>
                <w:bCs/>
                <w:sz w:val="20"/>
                <w:szCs w:val="20"/>
              </w:rPr>
            </w:pPr>
            <w:r w:rsidRPr="000837FB">
              <w:rPr>
                <w:rFonts w:eastAsia="Times New Roman" w:cstheme="minorHAnsi"/>
                <w:bCs/>
                <w:sz w:val="20"/>
                <w:szCs w:val="20"/>
              </w:rPr>
              <w:t>Tributary Downstream from Future PTS</w:t>
            </w:r>
          </w:p>
        </w:tc>
      </w:tr>
      <w:tr w:rsidR="00550E7C" w:rsidRPr="000837FB" w14:paraId="3B9E7A39" w14:textId="77777777" w:rsidTr="00550E7C">
        <w:trPr>
          <w:trHeight w:val="270"/>
        </w:trPr>
        <w:tc>
          <w:tcPr>
            <w:tcW w:w="1229" w:type="dxa"/>
            <w:tcBorders>
              <w:top w:val="nil"/>
              <w:left w:val="nil"/>
              <w:bottom w:val="nil"/>
              <w:right w:val="nil"/>
            </w:tcBorders>
            <w:shd w:val="clear" w:color="auto" w:fill="auto"/>
            <w:noWrap/>
            <w:vAlign w:val="bottom"/>
            <w:hideMark/>
          </w:tcPr>
          <w:p w14:paraId="7F61AA3D" w14:textId="77777777" w:rsidR="00550E7C" w:rsidRPr="000837FB" w:rsidRDefault="00550E7C" w:rsidP="00550E7C">
            <w:pPr>
              <w:spacing w:after="0" w:line="360" w:lineRule="auto"/>
              <w:jc w:val="right"/>
              <w:rPr>
                <w:rFonts w:eastAsia="Times New Roman" w:cstheme="minorHAnsi"/>
                <w:color w:val="000000"/>
                <w:sz w:val="20"/>
                <w:szCs w:val="20"/>
              </w:rPr>
            </w:pPr>
            <w:r w:rsidRPr="000837FB">
              <w:rPr>
                <w:rFonts w:eastAsia="Times New Roman" w:cstheme="minorHAnsi"/>
                <w:color w:val="000000"/>
                <w:sz w:val="20"/>
                <w:szCs w:val="20"/>
              </w:rPr>
              <w:t>Iron</w:t>
            </w:r>
          </w:p>
        </w:tc>
        <w:tc>
          <w:tcPr>
            <w:tcW w:w="931" w:type="dxa"/>
            <w:tcBorders>
              <w:top w:val="nil"/>
              <w:left w:val="nil"/>
              <w:bottom w:val="nil"/>
              <w:right w:val="nil"/>
            </w:tcBorders>
            <w:shd w:val="clear" w:color="auto" w:fill="auto"/>
            <w:noWrap/>
            <w:vAlign w:val="bottom"/>
            <w:hideMark/>
          </w:tcPr>
          <w:p w14:paraId="60CCF0DA"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mg/L</w:t>
            </w:r>
          </w:p>
        </w:tc>
        <w:tc>
          <w:tcPr>
            <w:tcW w:w="1421" w:type="dxa"/>
            <w:tcBorders>
              <w:top w:val="nil"/>
              <w:left w:val="nil"/>
              <w:bottom w:val="nil"/>
              <w:right w:val="nil"/>
            </w:tcBorders>
            <w:shd w:val="clear" w:color="auto" w:fill="auto"/>
            <w:noWrap/>
            <w:vAlign w:val="bottom"/>
            <w:hideMark/>
          </w:tcPr>
          <w:p w14:paraId="3140CBD0"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192 ± 10</w:t>
            </w:r>
          </w:p>
        </w:tc>
        <w:tc>
          <w:tcPr>
            <w:tcW w:w="1355" w:type="dxa"/>
            <w:tcBorders>
              <w:top w:val="nil"/>
              <w:left w:val="nil"/>
              <w:bottom w:val="nil"/>
              <w:right w:val="nil"/>
            </w:tcBorders>
            <w:shd w:val="clear" w:color="auto" w:fill="auto"/>
            <w:noWrap/>
            <w:vAlign w:val="bottom"/>
            <w:hideMark/>
          </w:tcPr>
          <w:p w14:paraId="1DD7C4A1"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124 ± 67</w:t>
            </w:r>
          </w:p>
        </w:tc>
        <w:tc>
          <w:tcPr>
            <w:tcW w:w="1690" w:type="dxa"/>
            <w:tcBorders>
              <w:top w:val="nil"/>
              <w:left w:val="nil"/>
              <w:bottom w:val="nil"/>
              <w:right w:val="nil"/>
            </w:tcBorders>
            <w:shd w:val="clear" w:color="auto" w:fill="auto"/>
            <w:noWrap/>
            <w:vAlign w:val="bottom"/>
            <w:hideMark/>
          </w:tcPr>
          <w:p w14:paraId="799F14B3"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11.1 ± 19.0</w:t>
            </w:r>
          </w:p>
        </w:tc>
        <w:tc>
          <w:tcPr>
            <w:tcW w:w="1690" w:type="dxa"/>
            <w:tcBorders>
              <w:top w:val="nil"/>
              <w:left w:val="nil"/>
              <w:bottom w:val="nil"/>
              <w:right w:val="nil"/>
            </w:tcBorders>
            <w:shd w:val="clear" w:color="auto" w:fill="auto"/>
            <w:noWrap/>
            <w:vAlign w:val="bottom"/>
            <w:hideMark/>
          </w:tcPr>
          <w:p w14:paraId="66EA0A6A"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92.2 ± 68.2</w:t>
            </w:r>
          </w:p>
        </w:tc>
      </w:tr>
      <w:tr w:rsidR="00550E7C" w:rsidRPr="000837FB" w14:paraId="0B9BF2DE" w14:textId="77777777" w:rsidTr="00550E7C">
        <w:trPr>
          <w:trHeight w:val="255"/>
        </w:trPr>
        <w:tc>
          <w:tcPr>
            <w:tcW w:w="1229" w:type="dxa"/>
            <w:tcBorders>
              <w:top w:val="nil"/>
              <w:left w:val="nil"/>
              <w:bottom w:val="nil"/>
              <w:right w:val="nil"/>
            </w:tcBorders>
            <w:shd w:val="clear" w:color="auto" w:fill="auto"/>
            <w:noWrap/>
            <w:vAlign w:val="bottom"/>
            <w:hideMark/>
          </w:tcPr>
          <w:p w14:paraId="49C39DE5" w14:textId="77777777" w:rsidR="00550E7C" w:rsidRPr="000837FB" w:rsidRDefault="00550E7C" w:rsidP="00550E7C">
            <w:pPr>
              <w:spacing w:after="0" w:line="360" w:lineRule="auto"/>
              <w:jc w:val="right"/>
              <w:rPr>
                <w:rFonts w:eastAsia="Times New Roman" w:cstheme="minorHAnsi"/>
                <w:color w:val="000000"/>
                <w:sz w:val="20"/>
                <w:szCs w:val="20"/>
              </w:rPr>
            </w:pPr>
            <w:r w:rsidRPr="000837FB">
              <w:rPr>
                <w:rFonts w:eastAsia="Times New Roman" w:cstheme="minorHAnsi"/>
                <w:color w:val="000000"/>
                <w:sz w:val="20"/>
                <w:szCs w:val="20"/>
              </w:rPr>
              <w:t>Zinc</w:t>
            </w:r>
          </w:p>
        </w:tc>
        <w:tc>
          <w:tcPr>
            <w:tcW w:w="931" w:type="dxa"/>
            <w:tcBorders>
              <w:top w:val="nil"/>
              <w:left w:val="nil"/>
              <w:bottom w:val="nil"/>
              <w:right w:val="nil"/>
            </w:tcBorders>
            <w:shd w:val="clear" w:color="auto" w:fill="auto"/>
            <w:noWrap/>
            <w:vAlign w:val="bottom"/>
            <w:hideMark/>
          </w:tcPr>
          <w:p w14:paraId="708D3514"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mg/L</w:t>
            </w:r>
          </w:p>
        </w:tc>
        <w:tc>
          <w:tcPr>
            <w:tcW w:w="1421" w:type="dxa"/>
            <w:tcBorders>
              <w:top w:val="nil"/>
              <w:left w:val="nil"/>
              <w:bottom w:val="nil"/>
              <w:right w:val="nil"/>
            </w:tcBorders>
            <w:shd w:val="clear" w:color="auto" w:fill="auto"/>
            <w:noWrap/>
            <w:vAlign w:val="bottom"/>
            <w:hideMark/>
          </w:tcPr>
          <w:p w14:paraId="743A26C4"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9.78 ± 1.01</w:t>
            </w:r>
          </w:p>
        </w:tc>
        <w:tc>
          <w:tcPr>
            <w:tcW w:w="1355" w:type="dxa"/>
            <w:tcBorders>
              <w:top w:val="nil"/>
              <w:left w:val="nil"/>
              <w:bottom w:val="nil"/>
              <w:right w:val="nil"/>
            </w:tcBorders>
            <w:shd w:val="clear" w:color="auto" w:fill="auto"/>
            <w:noWrap/>
            <w:vAlign w:val="bottom"/>
            <w:hideMark/>
          </w:tcPr>
          <w:p w14:paraId="75EE199F"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8.57 ± 4.80</w:t>
            </w:r>
          </w:p>
        </w:tc>
        <w:tc>
          <w:tcPr>
            <w:tcW w:w="1690" w:type="dxa"/>
            <w:tcBorders>
              <w:top w:val="nil"/>
              <w:left w:val="nil"/>
              <w:bottom w:val="nil"/>
              <w:right w:val="nil"/>
            </w:tcBorders>
            <w:shd w:val="clear" w:color="auto" w:fill="auto"/>
            <w:noWrap/>
            <w:vAlign w:val="bottom"/>
            <w:hideMark/>
          </w:tcPr>
          <w:p w14:paraId="4A59E2AB"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8.09 ± 6.27</w:t>
            </w:r>
          </w:p>
        </w:tc>
        <w:tc>
          <w:tcPr>
            <w:tcW w:w="1690" w:type="dxa"/>
            <w:tcBorders>
              <w:top w:val="nil"/>
              <w:left w:val="nil"/>
              <w:bottom w:val="nil"/>
              <w:right w:val="nil"/>
            </w:tcBorders>
            <w:shd w:val="clear" w:color="auto" w:fill="auto"/>
            <w:noWrap/>
            <w:vAlign w:val="bottom"/>
            <w:hideMark/>
          </w:tcPr>
          <w:p w14:paraId="7559A856"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8.85 ± 4.70</w:t>
            </w:r>
          </w:p>
        </w:tc>
      </w:tr>
      <w:tr w:rsidR="00550E7C" w:rsidRPr="000837FB" w14:paraId="70DDBA31" w14:textId="77777777" w:rsidTr="00550E7C">
        <w:trPr>
          <w:trHeight w:val="255"/>
        </w:trPr>
        <w:tc>
          <w:tcPr>
            <w:tcW w:w="1229" w:type="dxa"/>
            <w:tcBorders>
              <w:top w:val="nil"/>
              <w:left w:val="nil"/>
              <w:bottom w:val="nil"/>
              <w:right w:val="nil"/>
            </w:tcBorders>
            <w:shd w:val="clear" w:color="auto" w:fill="auto"/>
            <w:noWrap/>
            <w:vAlign w:val="bottom"/>
            <w:hideMark/>
          </w:tcPr>
          <w:p w14:paraId="78C0D96E" w14:textId="77777777" w:rsidR="00550E7C" w:rsidRPr="000837FB" w:rsidRDefault="00550E7C" w:rsidP="00550E7C">
            <w:pPr>
              <w:spacing w:after="0" w:line="360" w:lineRule="auto"/>
              <w:jc w:val="right"/>
              <w:rPr>
                <w:rFonts w:eastAsia="Times New Roman" w:cstheme="minorHAnsi"/>
                <w:color w:val="000000"/>
                <w:sz w:val="20"/>
                <w:szCs w:val="20"/>
              </w:rPr>
            </w:pPr>
            <w:r w:rsidRPr="000837FB">
              <w:rPr>
                <w:rFonts w:eastAsia="Times New Roman" w:cstheme="minorHAnsi"/>
                <w:color w:val="000000"/>
                <w:sz w:val="20"/>
                <w:szCs w:val="20"/>
              </w:rPr>
              <w:t>Nickel</w:t>
            </w:r>
          </w:p>
        </w:tc>
        <w:tc>
          <w:tcPr>
            <w:tcW w:w="931" w:type="dxa"/>
            <w:tcBorders>
              <w:top w:val="nil"/>
              <w:left w:val="nil"/>
              <w:bottom w:val="nil"/>
              <w:right w:val="nil"/>
            </w:tcBorders>
            <w:shd w:val="clear" w:color="auto" w:fill="auto"/>
            <w:noWrap/>
            <w:vAlign w:val="bottom"/>
            <w:hideMark/>
          </w:tcPr>
          <w:p w14:paraId="1962464D"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mg/L</w:t>
            </w:r>
          </w:p>
        </w:tc>
        <w:tc>
          <w:tcPr>
            <w:tcW w:w="1421" w:type="dxa"/>
            <w:tcBorders>
              <w:top w:val="nil"/>
              <w:left w:val="nil"/>
              <w:bottom w:val="nil"/>
              <w:right w:val="nil"/>
            </w:tcBorders>
            <w:shd w:val="clear" w:color="auto" w:fill="auto"/>
            <w:noWrap/>
            <w:vAlign w:val="bottom"/>
            <w:hideMark/>
          </w:tcPr>
          <w:p w14:paraId="6A2FBCD4"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0.933 ± 0.055</w:t>
            </w:r>
          </w:p>
        </w:tc>
        <w:tc>
          <w:tcPr>
            <w:tcW w:w="1355" w:type="dxa"/>
            <w:tcBorders>
              <w:top w:val="nil"/>
              <w:left w:val="nil"/>
              <w:bottom w:val="nil"/>
              <w:right w:val="nil"/>
            </w:tcBorders>
            <w:shd w:val="clear" w:color="auto" w:fill="auto"/>
            <w:noWrap/>
            <w:vAlign w:val="bottom"/>
            <w:hideMark/>
          </w:tcPr>
          <w:p w14:paraId="446C0E72"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0.703 ± 0.235</w:t>
            </w:r>
          </w:p>
        </w:tc>
        <w:tc>
          <w:tcPr>
            <w:tcW w:w="1690" w:type="dxa"/>
            <w:tcBorders>
              <w:top w:val="nil"/>
              <w:left w:val="nil"/>
              <w:bottom w:val="nil"/>
              <w:right w:val="nil"/>
            </w:tcBorders>
            <w:shd w:val="clear" w:color="auto" w:fill="auto"/>
            <w:noWrap/>
            <w:vAlign w:val="bottom"/>
            <w:hideMark/>
          </w:tcPr>
          <w:p w14:paraId="007307CE"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0.271 ± 0.219</w:t>
            </w:r>
          </w:p>
        </w:tc>
        <w:tc>
          <w:tcPr>
            <w:tcW w:w="1690" w:type="dxa"/>
            <w:tcBorders>
              <w:top w:val="nil"/>
              <w:left w:val="nil"/>
              <w:bottom w:val="nil"/>
              <w:right w:val="nil"/>
            </w:tcBorders>
            <w:shd w:val="clear" w:color="auto" w:fill="auto"/>
            <w:noWrap/>
            <w:vAlign w:val="bottom"/>
            <w:hideMark/>
          </w:tcPr>
          <w:p w14:paraId="57FF1BE3"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0.565 ± 0.264</w:t>
            </w:r>
          </w:p>
        </w:tc>
      </w:tr>
      <w:tr w:rsidR="00550E7C" w:rsidRPr="000837FB" w14:paraId="6FEFC01D" w14:textId="77777777" w:rsidTr="00550E7C">
        <w:trPr>
          <w:trHeight w:val="255"/>
        </w:trPr>
        <w:tc>
          <w:tcPr>
            <w:tcW w:w="1229" w:type="dxa"/>
            <w:tcBorders>
              <w:top w:val="nil"/>
              <w:left w:val="nil"/>
              <w:bottom w:val="nil"/>
              <w:right w:val="nil"/>
            </w:tcBorders>
            <w:shd w:val="clear" w:color="auto" w:fill="auto"/>
            <w:noWrap/>
            <w:vAlign w:val="bottom"/>
            <w:hideMark/>
          </w:tcPr>
          <w:p w14:paraId="053CD03B" w14:textId="77777777" w:rsidR="00550E7C" w:rsidRPr="000837FB" w:rsidRDefault="00550E7C" w:rsidP="00550E7C">
            <w:pPr>
              <w:spacing w:after="0" w:line="360" w:lineRule="auto"/>
              <w:jc w:val="right"/>
              <w:rPr>
                <w:rFonts w:eastAsia="Times New Roman" w:cstheme="minorHAnsi"/>
                <w:color w:val="000000"/>
                <w:sz w:val="20"/>
                <w:szCs w:val="20"/>
              </w:rPr>
            </w:pPr>
            <w:r w:rsidRPr="000837FB">
              <w:rPr>
                <w:rFonts w:eastAsia="Times New Roman" w:cstheme="minorHAnsi"/>
                <w:color w:val="000000"/>
                <w:sz w:val="20"/>
                <w:szCs w:val="20"/>
              </w:rPr>
              <w:t>Cadmium</w:t>
            </w:r>
          </w:p>
        </w:tc>
        <w:tc>
          <w:tcPr>
            <w:tcW w:w="931" w:type="dxa"/>
            <w:tcBorders>
              <w:top w:val="nil"/>
              <w:left w:val="nil"/>
              <w:bottom w:val="nil"/>
              <w:right w:val="nil"/>
            </w:tcBorders>
            <w:shd w:val="clear" w:color="auto" w:fill="auto"/>
            <w:noWrap/>
            <w:vAlign w:val="bottom"/>
            <w:hideMark/>
          </w:tcPr>
          <w:p w14:paraId="090D269A"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µg/L</w:t>
            </w:r>
          </w:p>
        </w:tc>
        <w:tc>
          <w:tcPr>
            <w:tcW w:w="1421" w:type="dxa"/>
            <w:tcBorders>
              <w:top w:val="nil"/>
              <w:left w:val="nil"/>
              <w:bottom w:val="nil"/>
              <w:right w:val="nil"/>
            </w:tcBorders>
            <w:shd w:val="clear" w:color="auto" w:fill="auto"/>
            <w:noWrap/>
            <w:vAlign w:val="bottom"/>
            <w:hideMark/>
          </w:tcPr>
          <w:p w14:paraId="588E9A24"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15.1 ± 5.1</w:t>
            </w:r>
          </w:p>
        </w:tc>
        <w:tc>
          <w:tcPr>
            <w:tcW w:w="1355" w:type="dxa"/>
            <w:tcBorders>
              <w:top w:val="nil"/>
              <w:left w:val="nil"/>
              <w:bottom w:val="nil"/>
              <w:right w:val="nil"/>
            </w:tcBorders>
            <w:shd w:val="clear" w:color="auto" w:fill="auto"/>
            <w:noWrap/>
            <w:vAlign w:val="bottom"/>
            <w:hideMark/>
          </w:tcPr>
          <w:p w14:paraId="71BC39C2"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16.0 ± 14.2</w:t>
            </w:r>
          </w:p>
        </w:tc>
        <w:tc>
          <w:tcPr>
            <w:tcW w:w="1690" w:type="dxa"/>
            <w:tcBorders>
              <w:top w:val="nil"/>
              <w:left w:val="nil"/>
              <w:bottom w:val="nil"/>
              <w:right w:val="nil"/>
            </w:tcBorders>
            <w:shd w:val="clear" w:color="auto" w:fill="auto"/>
            <w:noWrap/>
            <w:vAlign w:val="bottom"/>
            <w:hideMark/>
          </w:tcPr>
          <w:p w14:paraId="5D00A9C8"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27.4 ± 42.6</w:t>
            </w:r>
          </w:p>
        </w:tc>
        <w:tc>
          <w:tcPr>
            <w:tcW w:w="1690" w:type="dxa"/>
            <w:tcBorders>
              <w:top w:val="nil"/>
              <w:left w:val="nil"/>
              <w:bottom w:val="nil"/>
              <w:right w:val="nil"/>
            </w:tcBorders>
            <w:shd w:val="clear" w:color="auto" w:fill="auto"/>
            <w:noWrap/>
            <w:vAlign w:val="bottom"/>
            <w:hideMark/>
          </w:tcPr>
          <w:p w14:paraId="7D7E437B"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20.3 ± 25.6</w:t>
            </w:r>
          </w:p>
        </w:tc>
      </w:tr>
      <w:tr w:rsidR="00550E7C" w:rsidRPr="000837FB" w14:paraId="6C4BA00E" w14:textId="77777777" w:rsidTr="00550E7C">
        <w:trPr>
          <w:trHeight w:val="255"/>
        </w:trPr>
        <w:tc>
          <w:tcPr>
            <w:tcW w:w="1229" w:type="dxa"/>
            <w:tcBorders>
              <w:top w:val="nil"/>
              <w:left w:val="nil"/>
              <w:bottom w:val="nil"/>
              <w:right w:val="nil"/>
            </w:tcBorders>
            <w:shd w:val="clear" w:color="auto" w:fill="auto"/>
            <w:noWrap/>
            <w:vAlign w:val="bottom"/>
            <w:hideMark/>
          </w:tcPr>
          <w:p w14:paraId="5BAA113E" w14:textId="77777777" w:rsidR="00550E7C" w:rsidRPr="000837FB" w:rsidRDefault="00550E7C" w:rsidP="00550E7C">
            <w:pPr>
              <w:spacing w:after="0" w:line="360" w:lineRule="auto"/>
              <w:jc w:val="right"/>
              <w:rPr>
                <w:rFonts w:eastAsia="Times New Roman" w:cstheme="minorHAnsi"/>
                <w:color w:val="000000"/>
                <w:sz w:val="20"/>
                <w:szCs w:val="20"/>
              </w:rPr>
            </w:pPr>
            <w:r w:rsidRPr="000837FB">
              <w:rPr>
                <w:rFonts w:eastAsia="Times New Roman" w:cstheme="minorHAnsi"/>
                <w:color w:val="000000"/>
                <w:sz w:val="20"/>
                <w:szCs w:val="20"/>
              </w:rPr>
              <w:t>Lead</w:t>
            </w:r>
          </w:p>
        </w:tc>
        <w:tc>
          <w:tcPr>
            <w:tcW w:w="931" w:type="dxa"/>
            <w:tcBorders>
              <w:top w:val="nil"/>
              <w:left w:val="nil"/>
              <w:bottom w:val="nil"/>
              <w:right w:val="nil"/>
            </w:tcBorders>
            <w:shd w:val="clear" w:color="auto" w:fill="auto"/>
            <w:noWrap/>
            <w:vAlign w:val="bottom"/>
            <w:hideMark/>
          </w:tcPr>
          <w:p w14:paraId="26646957"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µg/L</w:t>
            </w:r>
          </w:p>
        </w:tc>
        <w:tc>
          <w:tcPr>
            <w:tcW w:w="1421" w:type="dxa"/>
            <w:tcBorders>
              <w:top w:val="nil"/>
              <w:left w:val="nil"/>
              <w:bottom w:val="nil"/>
              <w:right w:val="nil"/>
            </w:tcBorders>
            <w:shd w:val="clear" w:color="auto" w:fill="auto"/>
            <w:noWrap/>
            <w:vAlign w:val="bottom"/>
            <w:hideMark/>
          </w:tcPr>
          <w:p w14:paraId="752A0512"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60.0 ± 14.0</w:t>
            </w:r>
          </w:p>
        </w:tc>
        <w:tc>
          <w:tcPr>
            <w:tcW w:w="1355" w:type="dxa"/>
            <w:tcBorders>
              <w:top w:val="nil"/>
              <w:left w:val="nil"/>
              <w:bottom w:val="nil"/>
              <w:right w:val="nil"/>
            </w:tcBorders>
            <w:shd w:val="clear" w:color="auto" w:fill="auto"/>
            <w:noWrap/>
            <w:vAlign w:val="bottom"/>
            <w:hideMark/>
          </w:tcPr>
          <w:p w14:paraId="681174E7"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46.0 ± 16.4</w:t>
            </w:r>
          </w:p>
        </w:tc>
        <w:tc>
          <w:tcPr>
            <w:tcW w:w="1690" w:type="dxa"/>
            <w:tcBorders>
              <w:top w:val="nil"/>
              <w:left w:val="nil"/>
              <w:bottom w:val="nil"/>
              <w:right w:val="nil"/>
            </w:tcBorders>
            <w:shd w:val="clear" w:color="auto" w:fill="auto"/>
            <w:noWrap/>
            <w:vAlign w:val="bottom"/>
            <w:hideMark/>
          </w:tcPr>
          <w:p w14:paraId="00BEBB62"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23.9 ± 15.9</w:t>
            </w:r>
          </w:p>
        </w:tc>
        <w:tc>
          <w:tcPr>
            <w:tcW w:w="1690" w:type="dxa"/>
            <w:tcBorders>
              <w:top w:val="nil"/>
              <w:left w:val="nil"/>
              <w:bottom w:val="nil"/>
              <w:right w:val="nil"/>
            </w:tcBorders>
            <w:shd w:val="clear" w:color="auto" w:fill="auto"/>
            <w:noWrap/>
            <w:vAlign w:val="bottom"/>
            <w:hideMark/>
          </w:tcPr>
          <w:p w14:paraId="30273C93"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39.4 ± 14.9</w:t>
            </w:r>
          </w:p>
        </w:tc>
      </w:tr>
      <w:tr w:rsidR="00550E7C" w:rsidRPr="000837FB" w14:paraId="79FEBBED" w14:textId="77777777" w:rsidTr="00550E7C">
        <w:trPr>
          <w:trHeight w:val="255"/>
        </w:trPr>
        <w:tc>
          <w:tcPr>
            <w:tcW w:w="1229" w:type="dxa"/>
            <w:tcBorders>
              <w:top w:val="nil"/>
              <w:left w:val="nil"/>
              <w:bottom w:val="nil"/>
              <w:right w:val="nil"/>
            </w:tcBorders>
            <w:shd w:val="clear" w:color="auto" w:fill="auto"/>
            <w:noWrap/>
            <w:vAlign w:val="bottom"/>
            <w:hideMark/>
          </w:tcPr>
          <w:p w14:paraId="2C481776" w14:textId="77777777" w:rsidR="00550E7C" w:rsidRPr="000837FB" w:rsidRDefault="00550E7C" w:rsidP="00550E7C">
            <w:pPr>
              <w:spacing w:after="0" w:line="360" w:lineRule="auto"/>
              <w:jc w:val="right"/>
              <w:rPr>
                <w:rFonts w:eastAsia="Times New Roman" w:cstheme="minorHAnsi"/>
                <w:color w:val="000000"/>
                <w:sz w:val="20"/>
                <w:szCs w:val="20"/>
              </w:rPr>
            </w:pPr>
            <w:r w:rsidRPr="000837FB">
              <w:rPr>
                <w:rFonts w:eastAsia="Times New Roman" w:cstheme="minorHAnsi"/>
                <w:color w:val="000000"/>
                <w:sz w:val="20"/>
                <w:szCs w:val="20"/>
              </w:rPr>
              <w:t>Arsenic</w:t>
            </w:r>
          </w:p>
        </w:tc>
        <w:tc>
          <w:tcPr>
            <w:tcW w:w="931" w:type="dxa"/>
            <w:tcBorders>
              <w:top w:val="nil"/>
              <w:left w:val="nil"/>
              <w:bottom w:val="nil"/>
              <w:right w:val="nil"/>
            </w:tcBorders>
            <w:shd w:val="clear" w:color="auto" w:fill="auto"/>
            <w:noWrap/>
            <w:vAlign w:val="bottom"/>
            <w:hideMark/>
          </w:tcPr>
          <w:p w14:paraId="64B8C7FB"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µg/L</w:t>
            </w:r>
          </w:p>
        </w:tc>
        <w:tc>
          <w:tcPr>
            <w:tcW w:w="1421" w:type="dxa"/>
            <w:tcBorders>
              <w:top w:val="nil"/>
              <w:left w:val="nil"/>
              <w:bottom w:val="nil"/>
              <w:right w:val="nil"/>
            </w:tcBorders>
            <w:shd w:val="clear" w:color="auto" w:fill="auto"/>
            <w:noWrap/>
            <w:vAlign w:val="bottom"/>
            <w:hideMark/>
          </w:tcPr>
          <w:p w14:paraId="1FDCD847"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66.1 ± 15.2</w:t>
            </w:r>
          </w:p>
        </w:tc>
        <w:tc>
          <w:tcPr>
            <w:tcW w:w="1355" w:type="dxa"/>
            <w:tcBorders>
              <w:top w:val="nil"/>
              <w:left w:val="nil"/>
              <w:bottom w:val="nil"/>
              <w:right w:val="nil"/>
            </w:tcBorders>
            <w:shd w:val="clear" w:color="auto" w:fill="auto"/>
            <w:noWrap/>
            <w:vAlign w:val="bottom"/>
            <w:hideMark/>
          </w:tcPr>
          <w:p w14:paraId="7661EB70"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39.1 ± 12.0</w:t>
            </w:r>
          </w:p>
        </w:tc>
        <w:tc>
          <w:tcPr>
            <w:tcW w:w="1690" w:type="dxa"/>
            <w:tcBorders>
              <w:top w:val="nil"/>
              <w:left w:val="nil"/>
              <w:bottom w:val="nil"/>
              <w:right w:val="nil"/>
            </w:tcBorders>
            <w:shd w:val="clear" w:color="auto" w:fill="auto"/>
            <w:noWrap/>
            <w:vAlign w:val="bottom"/>
            <w:hideMark/>
          </w:tcPr>
          <w:p w14:paraId="25922B1D"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BDL</w:t>
            </w:r>
          </w:p>
        </w:tc>
        <w:tc>
          <w:tcPr>
            <w:tcW w:w="1690" w:type="dxa"/>
            <w:tcBorders>
              <w:top w:val="nil"/>
              <w:left w:val="nil"/>
              <w:bottom w:val="nil"/>
              <w:right w:val="nil"/>
            </w:tcBorders>
            <w:shd w:val="clear" w:color="auto" w:fill="auto"/>
            <w:noWrap/>
            <w:vAlign w:val="bottom"/>
            <w:hideMark/>
          </w:tcPr>
          <w:p w14:paraId="738CC216"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40.3 ± 10.9</w:t>
            </w:r>
          </w:p>
        </w:tc>
      </w:tr>
      <w:tr w:rsidR="00550E7C" w:rsidRPr="000837FB" w14:paraId="292C1642" w14:textId="77777777" w:rsidTr="00550E7C">
        <w:trPr>
          <w:trHeight w:val="998"/>
        </w:trPr>
        <w:tc>
          <w:tcPr>
            <w:tcW w:w="1229" w:type="dxa"/>
            <w:tcBorders>
              <w:top w:val="single" w:sz="4" w:space="0" w:color="auto"/>
              <w:left w:val="nil"/>
              <w:bottom w:val="double" w:sz="6" w:space="0" w:color="auto"/>
              <w:right w:val="nil"/>
            </w:tcBorders>
            <w:shd w:val="clear" w:color="auto" w:fill="auto"/>
            <w:vAlign w:val="bottom"/>
            <w:hideMark/>
          </w:tcPr>
          <w:p w14:paraId="3C7C6FB4" w14:textId="77777777" w:rsidR="00550E7C" w:rsidRPr="000837FB" w:rsidRDefault="00550E7C" w:rsidP="00550E7C">
            <w:pPr>
              <w:spacing w:after="0" w:line="240" w:lineRule="auto"/>
              <w:rPr>
                <w:rFonts w:eastAsia="Times New Roman" w:cstheme="minorHAnsi"/>
                <w:bCs/>
                <w:sz w:val="20"/>
                <w:szCs w:val="20"/>
              </w:rPr>
            </w:pPr>
            <w:r w:rsidRPr="000837FB">
              <w:rPr>
                <w:rFonts w:eastAsia="Times New Roman" w:cstheme="minorHAnsi"/>
                <w:bCs/>
                <w:sz w:val="20"/>
                <w:szCs w:val="20"/>
              </w:rPr>
              <w:t>Dissolved Metals</w:t>
            </w:r>
          </w:p>
        </w:tc>
        <w:tc>
          <w:tcPr>
            <w:tcW w:w="931" w:type="dxa"/>
            <w:tcBorders>
              <w:top w:val="single" w:sz="4" w:space="0" w:color="auto"/>
              <w:left w:val="nil"/>
              <w:bottom w:val="double" w:sz="6" w:space="0" w:color="auto"/>
              <w:right w:val="nil"/>
            </w:tcBorders>
            <w:shd w:val="clear" w:color="auto" w:fill="auto"/>
            <w:vAlign w:val="bottom"/>
            <w:hideMark/>
          </w:tcPr>
          <w:p w14:paraId="0CD628EE" w14:textId="77777777" w:rsidR="00550E7C" w:rsidRPr="000837FB" w:rsidRDefault="00550E7C" w:rsidP="00550E7C">
            <w:pPr>
              <w:spacing w:after="0" w:line="240" w:lineRule="auto"/>
              <w:jc w:val="center"/>
              <w:rPr>
                <w:rFonts w:eastAsia="Times New Roman" w:cstheme="minorHAnsi"/>
                <w:bCs/>
                <w:sz w:val="20"/>
                <w:szCs w:val="20"/>
              </w:rPr>
            </w:pPr>
            <w:r w:rsidRPr="000837FB">
              <w:rPr>
                <w:rFonts w:eastAsia="Times New Roman" w:cstheme="minorHAnsi"/>
                <w:bCs/>
                <w:sz w:val="20"/>
                <w:szCs w:val="20"/>
              </w:rPr>
              <w:t>units</w:t>
            </w:r>
          </w:p>
        </w:tc>
        <w:tc>
          <w:tcPr>
            <w:tcW w:w="1421" w:type="dxa"/>
            <w:tcBorders>
              <w:top w:val="single" w:sz="4" w:space="0" w:color="auto"/>
              <w:left w:val="nil"/>
              <w:bottom w:val="double" w:sz="6" w:space="0" w:color="auto"/>
              <w:right w:val="nil"/>
            </w:tcBorders>
            <w:shd w:val="clear" w:color="auto" w:fill="auto"/>
            <w:vAlign w:val="bottom"/>
            <w:hideMark/>
          </w:tcPr>
          <w:p w14:paraId="0EECF274" w14:textId="77777777" w:rsidR="00550E7C" w:rsidRPr="000837FB" w:rsidRDefault="00550E7C" w:rsidP="00550E7C">
            <w:pPr>
              <w:spacing w:after="0" w:line="240" w:lineRule="auto"/>
              <w:jc w:val="center"/>
              <w:rPr>
                <w:rFonts w:eastAsia="Times New Roman" w:cstheme="minorHAnsi"/>
                <w:bCs/>
                <w:sz w:val="20"/>
                <w:szCs w:val="20"/>
              </w:rPr>
            </w:pPr>
            <w:r w:rsidRPr="000837FB">
              <w:rPr>
                <w:rFonts w:eastAsia="Times New Roman" w:cstheme="minorHAnsi"/>
                <w:bCs/>
                <w:sz w:val="20"/>
                <w:szCs w:val="20"/>
              </w:rPr>
              <w:t xml:space="preserve">Mean of AMD Seeps </w:t>
            </w:r>
          </w:p>
        </w:tc>
        <w:tc>
          <w:tcPr>
            <w:tcW w:w="1355" w:type="dxa"/>
            <w:tcBorders>
              <w:top w:val="single" w:sz="4" w:space="0" w:color="auto"/>
              <w:left w:val="nil"/>
              <w:bottom w:val="double" w:sz="6" w:space="0" w:color="auto"/>
              <w:right w:val="nil"/>
            </w:tcBorders>
            <w:shd w:val="clear" w:color="auto" w:fill="auto"/>
            <w:vAlign w:val="bottom"/>
            <w:hideMark/>
          </w:tcPr>
          <w:p w14:paraId="331E0443" w14:textId="77777777" w:rsidR="00550E7C" w:rsidRPr="000837FB" w:rsidRDefault="00550E7C" w:rsidP="00550E7C">
            <w:pPr>
              <w:spacing w:after="0" w:line="240" w:lineRule="auto"/>
              <w:jc w:val="center"/>
              <w:rPr>
                <w:rFonts w:eastAsia="Times New Roman" w:cstheme="minorHAnsi"/>
                <w:bCs/>
                <w:sz w:val="20"/>
                <w:szCs w:val="20"/>
              </w:rPr>
            </w:pPr>
            <w:r w:rsidRPr="000837FB">
              <w:rPr>
                <w:rFonts w:eastAsia="Times New Roman" w:cstheme="minorHAnsi"/>
                <w:bCs/>
                <w:sz w:val="20"/>
                <w:szCs w:val="20"/>
              </w:rPr>
              <w:t xml:space="preserve">Mayer Ranch Weir </w:t>
            </w:r>
          </w:p>
        </w:tc>
        <w:tc>
          <w:tcPr>
            <w:tcW w:w="1690" w:type="dxa"/>
            <w:tcBorders>
              <w:top w:val="single" w:sz="4" w:space="0" w:color="auto"/>
              <w:left w:val="nil"/>
              <w:bottom w:val="double" w:sz="6" w:space="0" w:color="auto"/>
              <w:right w:val="nil"/>
            </w:tcBorders>
            <w:shd w:val="clear" w:color="auto" w:fill="auto"/>
            <w:vAlign w:val="bottom"/>
            <w:hideMark/>
          </w:tcPr>
          <w:p w14:paraId="21965A0E" w14:textId="77777777" w:rsidR="00550E7C" w:rsidRPr="000837FB" w:rsidRDefault="00550E7C" w:rsidP="00550E7C">
            <w:pPr>
              <w:spacing w:after="0" w:line="240" w:lineRule="auto"/>
              <w:jc w:val="center"/>
              <w:rPr>
                <w:rFonts w:eastAsia="Times New Roman" w:cstheme="minorHAnsi"/>
                <w:bCs/>
                <w:sz w:val="20"/>
                <w:szCs w:val="20"/>
              </w:rPr>
            </w:pPr>
            <w:r w:rsidRPr="000837FB">
              <w:rPr>
                <w:rFonts w:eastAsia="Times New Roman" w:cstheme="minorHAnsi"/>
                <w:bCs/>
                <w:sz w:val="20"/>
                <w:szCs w:val="20"/>
              </w:rPr>
              <w:t>Tributary Upstream from Future PTS</w:t>
            </w:r>
          </w:p>
        </w:tc>
        <w:tc>
          <w:tcPr>
            <w:tcW w:w="1690" w:type="dxa"/>
            <w:tcBorders>
              <w:top w:val="single" w:sz="4" w:space="0" w:color="auto"/>
              <w:left w:val="nil"/>
              <w:bottom w:val="double" w:sz="6" w:space="0" w:color="auto"/>
              <w:right w:val="nil"/>
            </w:tcBorders>
            <w:shd w:val="clear" w:color="auto" w:fill="auto"/>
            <w:vAlign w:val="bottom"/>
            <w:hideMark/>
          </w:tcPr>
          <w:p w14:paraId="20098B27" w14:textId="77777777" w:rsidR="00550E7C" w:rsidRPr="000837FB" w:rsidRDefault="00550E7C" w:rsidP="00550E7C">
            <w:pPr>
              <w:spacing w:after="0" w:line="240" w:lineRule="auto"/>
              <w:jc w:val="center"/>
              <w:rPr>
                <w:rFonts w:eastAsia="Times New Roman" w:cstheme="minorHAnsi"/>
                <w:bCs/>
                <w:sz w:val="20"/>
                <w:szCs w:val="20"/>
              </w:rPr>
            </w:pPr>
            <w:r w:rsidRPr="000837FB">
              <w:rPr>
                <w:rFonts w:eastAsia="Times New Roman" w:cstheme="minorHAnsi"/>
                <w:bCs/>
                <w:sz w:val="20"/>
                <w:szCs w:val="20"/>
              </w:rPr>
              <w:t>Tributary Downstream from Future PTS</w:t>
            </w:r>
          </w:p>
        </w:tc>
      </w:tr>
      <w:tr w:rsidR="00550E7C" w:rsidRPr="000837FB" w14:paraId="03D3AB07" w14:textId="77777777" w:rsidTr="00550E7C">
        <w:trPr>
          <w:trHeight w:val="270"/>
        </w:trPr>
        <w:tc>
          <w:tcPr>
            <w:tcW w:w="1229" w:type="dxa"/>
            <w:tcBorders>
              <w:top w:val="nil"/>
              <w:left w:val="nil"/>
              <w:bottom w:val="nil"/>
              <w:right w:val="nil"/>
            </w:tcBorders>
            <w:shd w:val="clear" w:color="auto" w:fill="auto"/>
            <w:noWrap/>
            <w:vAlign w:val="bottom"/>
            <w:hideMark/>
          </w:tcPr>
          <w:p w14:paraId="1B5EB992" w14:textId="77777777" w:rsidR="00550E7C" w:rsidRPr="000837FB" w:rsidRDefault="00550E7C" w:rsidP="00550E7C">
            <w:pPr>
              <w:spacing w:after="0" w:line="360" w:lineRule="auto"/>
              <w:jc w:val="right"/>
              <w:rPr>
                <w:rFonts w:eastAsia="Times New Roman" w:cstheme="minorHAnsi"/>
                <w:color w:val="000000"/>
                <w:sz w:val="20"/>
                <w:szCs w:val="20"/>
              </w:rPr>
            </w:pPr>
            <w:r w:rsidRPr="000837FB">
              <w:rPr>
                <w:rFonts w:eastAsia="Times New Roman" w:cstheme="minorHAnsi"/>
                <w:color w:val="000000"/>
                <w:sz w:val="20"/>
                <w:szCs w:val="20"/>
              </w:rPr>
              <w:t>Iron</w:t>
            </w:r>
          </w:p>
        </w:tc>
        <w:tc>
          <w:tcPr>
            <w:tcW w:w="931" w:type="dxa"/>
            <w:tcBorders>
              <w:top w:val="nil"/>
              <w:left w:val="nil"/>
              <w:bottom w:val="nil"/>
              <w:right w:val="nil"/>
            </w:tcBorders>
            <w:shd w:val="clear" w:color="auto" w:fill="auto"/>
            <w:noWrap/>
            <w:vAlign w:val="bottom"/>
            <w:hideMark/>
          </w:tcPr>
          <w:p w14:paraId="1C01D67B"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mg/L</w:t>
            </w:r>
          </w:p>
        </w:tc>
        <w:tc>
          <w:tcPr>
            <w:tcW w:w="1421" w:type="dxa"/>
            <w:tcBorders>
              <w:top w:val="nil"/>
              <w:left w:val="nil"/>
              <w:bottom w:val="nil"/>
              <w:right w:val="nil"/>
            </w:tcBorders>
            <w:shd w:val="clear" w:color="auto" w:fill="auto"/>
            <w:noWrap/>
            <w:vAlign w:val="bottom"/>
            <w:hideMark/>
          </w:tcPr>
          <w:p w14:paraId="0D8DE841"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197 ± 9</w:t>
            </w:r>
          </w:p>
        </w:tc>
        <w:tc>
          <w:tcPr>
            <w:tcW w:w="1355" w:type="dxa"/>
            <w:tcBorders>
              <w:top w:val="nil"/>
              <w:left w:val="nil"/>
              <w:bottom w:val="nil"/>
              <w:right w:val="nil"/>
            </w:tcBorders>
            <w:shd w:val="clear" w:color="auto" w:fill="auto"/>
            <w:noWrap/>
            <w:vAlign w:val="bottom"/>
            <w:hideMark/>
          </w:tcPr>
          <w:p w14:paraId="1813C89A"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65.8 ± 69.7</w:t>
            </w:r>
          </w:p>
        </w:tc>
        <w:tc>
          <w:tcPr>
            <w:tcW w:w="1690" w:type="dxa"/>
            <w:tcBorders>
              <w:top w:val="nil"/>
              <w:left w:val="nil"/>
              <w:bottom w:val="nil"/>
              <w:right w:val="nil"/>
            </w:tcBorders>
            <w:shd w:val="clear" w:color="auto" w:fill="auto"/>
            <w:noWrap/>
            <w:vAlign w:val="bottom"/>
            <w:hideMark/>
          </w:tcPr>
          <w:p w14:paraId="4A037E42"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18.2 ± 24.0</w:t>
            </w:r>
          </w:p>
        </w:tc>
        <w:tc>
          <w:tcPr>
            <w:tcW w:w="1690" w:type="dxa"/>
            <w:tcBorders>
              <w:top w:val="nil"/>
              <w:left w:val="nil"/>
              <w:bottom w:val="nil"/>
              <w:right w:val="nil"/>
            </w:tcBorders>
            <w:shd w:val="clear" w:color="auto" w:fill="auto"/>
            <w:noWrap/>
            <w:vAlign w:val="bottom"/>
            <w:hideMark/>
          </w:tcPr>
          <w:p w14:paraId="030F7A4E"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43.6 ± 36.9</w:t>
            </w:r>
          </w:p>
        </w:tc>
      </w:tr>
      <w:tr w:rsidR="00550E7C" w:rsidRPr="000837FB" w14:paraId="05B125B2" w14:textId="77777777" w:rsidTr="00550E7C">
        <w:trPr>
          <w:trHeight w:val="255"/>
        </w:trPr>
        <w:tc>
          <w:tcPr>
            <w:tcW w:w="1229" w:type="dxa"/>
            <w:tcBorders>
              <w:top w:val="nil"/>
              <w:left w:val="nil"/>
              <w:bottom w:val="nil"/>
              <w:right w:val="nil"/>
            </w:tcBorders>
            <w:shd w:val="clear" w:color="auto" w:fill="auto"/>
            <w:noWrap/>
            <w:vAlign w:val="bottom"/>
            <w:hideMark/>
          </w:tcPr>
          <w:p w14:paraId="6A54D0DB" w14:textId="77777777" w:rsidR="00550E7C" w:rsidRPr="000837FB" w:rsidRDefault="00550E7C" w:rsidP="00550E7C">
            <w:pPr>
              <w:spacing w:after="0" w:line="360" w:lineRule="auto"/>
              <w:jc w:val="right"/>
              <w:rPr>
                <w:rFonts w:eastAsia="Times New Roman" w:cstheme="minorHAnsi"/>
                <w:color w:val="000000"/>
                <w:sz w:val="20"/>
                <w:szCs w:val="20"/>
              </w:rPr>
            </w:pPr>
            <w:r w:rsidRPr="000837FB">
              <w:rPr>
                <w:rFonts w:eastAsia="Times New Roman" w:cstheme="minorHAnsi"/>
                <w:color w:val="000000"/>
                <w:sz w:val="20"/>
                <w:szCs w:val="20"/>
              </w:rPr>
              <w:t>Zinc</w:t>
            </w:r>
          </w:p>
        </w:tc>
        <w:tc>
          <w:tcPr>
            <w:tcW w:w="931" w:type="dxa"/>
            <w:tcBorders>
              <w:top w:val="nil"/>
              <w:left w:val="nil"/>
              <w:bottom w:val="nil"/>
              <w:right w:val="nil"/>
            </w:tcBorders>
            <w:shd w:val="clear" w:color="auto" w:fill="auto"/>
            <w:noWrap/>
            <w:vAlign w:val="bottom"/>
            <w:hideMark/>
          </w:tcPr>
          <w:p w14:paraId="52DD63EC"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mg/L</w:t>
            </w:r>
          </w:p>
        </w:tc>
        <w:tc>
          <w:tcPr>
            <w:tcW w:w="1421" w:type="dxa"/>
            <w:tcBorders>
              <w:top w:val="nil"/>
              <w:left w:val="nil"/>
              <w:bottom w:val="nil"/>
              <w:right w:val="nil"/>
            </w:tcBorders>
            <w:shd w:val="clear" w:color="auto" w:fill="auto"/>
            <w:noWrap/>
            <w:vAlign w:val="bottom"/>
            <w:hideMark/>
          </w:tcPr>
          <w:p w14:paraId="124F47C1"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9.10 ± 0.61</w:t>
            </w:r>
          </w:p>
        </w:tc>
        <w:tc>
          <w:tcPr>
            <w:tcW w:w="1355" w:type="dxa"/>
            <w:tcBorders>
              <w:top w:val="nil"/>
              <w:left w:val="nil"/>
              <w:bottom w:val="nil"/>
              <w:right w:val="nil"/>
            </w:tcBorders>
            <w:shd w:val="clear" w:color="auto" w:fill="auto"/>
            <w:noWrap/>
            <w:vAlign w:val="bottom"/>
            <w:hideMark/>
          </w:tcPr>
          <w:p w14:paraId="068063A0"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4.97 ± 2.79</w:t>
            </w:r>
          </w:p>
        </w:tc>
        <w:tc>
          <w:tcPr>
            <w:tcW w:w="1690" w:type="dxa"/>
            <w:tcBorders>
              <w:top w:val="nil"/>
              <w:left w:val="nil"/>
              <w:bottom w:val="nil"/>
              <w:right w:val="nil"/>
            </w:tcBorders>
            <w:shd w:val="clear" w:color="auto" w:fill="auto"/>
            <w:noWrap/>
            <w:vAlign w:val="bottom"/>
            <w:hideMark/>
          </w:tcPr>
          <w:p w14:paraId="067AA08F"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8.08 ± 02.95</w:t>
            </w:r>
          </w:p>
        </w:tc>
        <w:tc>
          <w:tcPr>
            <w:tcW w:w="1690" w:type="dxa"/>
            <w:tcBorders>
              <w:top w:val="nil"/>
              <w:left w:val="nil"/>
              <w:bottom w:val="nil"/>
              <w:right w:val="nil"/>
            </w:tcBorders>
            <w:shd w:val="clear" w:color="auto" w:fill="auto"/>
            <w:noWrap/>
            <w:vAlign w:val="bottom"/>
            <w:hideMark/>
          </w:tcPr>
          <w:p w14:paraId="296E409A"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7.01 ± 2.69</w:t>
            </w:r>
          </w:p>
        </w:tc>
      </w:tr>
      <w:tr w:rsidR="00550E7C" w:rsidRPr="000837FB" w14:paraId="701DD991" w14:textId="77777777" w:rsidTr="00550E7C">
        <w:trPr>
          <w:trHeight w:val="255"/>
        </w:trPr>
        <w:tc>
          <w:tcPr>
            <w:tcW w:w="1229" w:type="dxa"/>
            <w:tcBorders>
              <w:top w:val="nil"/>
              <w:left w:val="nil"/>
              <w:bottom w:val="nil"/>
              <w:right w:val="nil"/>
            </w:tcBorders>
            <w:shd w:val="clear" w:color="auto" w:fill="auto"/>
            <w:noWrap/>
            <w:vAlign w:val="bottom"/>
            <w:hideMark/>
          </w:tcPr>
          <w:p w14:paraId="77FFD7A8" w14:textId="77777777" w:rsidR="00550E7C" w:rsidRPr="000837FB" w:rsidRDefault="00550E7C" w:rsidP="00550E7C">
            <w:pPr>
              <w:spacing w:after="0" w:line="360" w:lineRule="auto"/>
              <w:jc w:val="right"/>
              <w:rPr>
                <w:rFonts w:eastAsia="Times New Roman" w:cstheme="minorHAnsi"/>
                <w:color w:val="000000"/>
                <w:sz w:val="20"/>
                <w:szCs w:val="20"/>
              </w:rPr>
            </w:pPr>
            <w:r w:rsidRPr="000837FB">
              <w:rPr>
                <w:rFonts w:eastAsia="Times New Roman" w:cstheme="minorHAnsi"/>
                <w:color w:val="000000"/>
                <w:sz w:val="20"/>
                <w:szCs w:val="20"/>
              </w:rPr>
              <w:t>Nickel</w:t>
            </w:r>
          </w:p>
        </w:tc>
        <w:tc>
          <w:tcPr>
            <w:tcW w:w="931" w:type="dxa"/>
            <w:tcBorders>
              <w:top w:val="nil"/>
              <w:left w:val="nil"/>
              <w:bottom w:val="nil"/>
              <w:right w:val="nil"/>
            </w:tcBorders>
            <w:shd w:val="clear" w:color="auto" w:fill="auto"/>
            <w:noWrap/>
            <w:vAlign w:val="bottom"/>
            <w:hideMark/>
          </w:tcPr>
          <w:p w14:paraId="2D013880"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mg/L</w:t>
            </w:r>
          </w:p>
        </w:tc>
        <w:tc>
          <w:tcPr>
            <w:tcW w:w="1421" w:type="dxa"/>
            <w:tcBorders>
              <w:top w:val="nil"/>
              <w:left w:val="nil"/>
              <w:bottom w:val="nil"/>
              <w:right w:val="nil"/>
            </w:tcBorders>
            <w:shd w:val="clear" w:color="auto" w:fill="auto"/>
            <w:noWrap/>
            <w:vAlign w:val="bottom"/>
            <w:hideMark/>
          </w:tcPr>
          <w:p w14:paraId="22E152B4"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0.963 ± 0.070</w:t>
            </w:r>
          </w:p>
        </w:tc>
        <w:tc>
          <w:tcPr>
            <w:tcW w:w="1355" w:type="dxa"/>
            <w:tcBorders>
              <w:top w:val="nil"/>
              <w:left w:val="nil"/>
              <w:bottom w:val="nil"/>
              <w:right w:val="nil"/>
            </w:tcBorders>
            <w:shd w:val="clear" w:color="auto" w:fill="auto"/>
            <w:noWrap/>
            <w:vAlign w:val="bottom"/>
            <w:hideMark/>
          </w:tcPr>
          <w:p w14:paraId="392E92D1"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0.515 ± 0.274</w:t>
            </w:r>
          </w:p>
        </w:tc>
        <w:tc>
          <w:tcPr>
            <w:tcW w:w="1690" w:type="dxa"/>
            <w:tcBorders>
              <w:top w:val="nil"/>
              <w:left w:val="nil"/>
              <w:bottom w:val="nil"/>
              <w:right w:val="nil"/>
            </w:tcBorders>
            <w:shd w:val="clear" w:color="auto" w:fill="auto"/>
            <w:noWrap/>
            <w:vAlign w:val="bottom"/>
            <w:hideMark/>
          </w:tcPr>
          <w:p w14:paraId="4AC32415"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0.298 ± 174</w:t>
            </w:r>
          </w:p>
        </w:tc>
        <w:tc>
          <w:tcPr>
            <w:tcW w:w="1690" w:type="dxa"/>
            <w:tcBorders>
              <w:top w:val="nil"/>
              <w:left w:val="nil"/>
              <w:bottom w:val="nil"/>
              <w:right w:val="nil"/>
            </w:tcBorders>
            <w:shd w:val="clear" w:color="auto" w:fill="auto"/>
            <w:noWrap/>
            <w:vAlign w:val="bottom"/>
            <w:hideMark/>
          </w:tcPr>
          <w:p w14:paraId="3B4C1065"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0.439 ± 0.227</w:t>
            </w:r>
          </w:p>
        </w:tc>
      </w:tr>
      <w:tr w:rsidR="00550E7C" w:rsidRPr="000837FB" w14:paraId="50DF4165" w14:textId="77777777" w:rsidTr="00550E7C">
        <w:trPr>
          <w:trHeight w:val="255"/>
        </w:trPr>
        <w:tc>
          <w:tcPr>
            <w:tcW w:w="1229" w:type="dxa"/>
            <w:tcBorders>
              <w:top w:val="nil"/>
              <w:left w:val="nil"/>
              <w:bottom w:val="nil"/>
              <w:right w:val="nil"/>
            </w:tcBorders>
            <w:shd w:val="clear" w:color="auto" w:fill="auto"/>
            <w:noWrap/>
            <w:vAlign w:val="bottom"/>
            <w:hideMark/>
          </w:tcPr>
          <w:p w14:paraId="44307893" w14:textId="77777777" w:rsidR="00550E7C" w:rsidRPr="000837FB" w:rsidRDefault="00550E7C" w:rsidP="00550E7C">
            <w:pPr>
              <w:spacing w:after="0" w:line="360" w:lineRule="auto"/>
              <w:jc w:val="right"/>
              <w:rPr>
                <w:rFonts w:eastAsia="Times New Roman" w:cstheme="minorHAnsi"/>
                <w:color w:val="000000"/>
                <w:sz w:val="20"/>
                <w:szCs w:val="20"/>
              </w:rPr>
            </w:pPr>
            <w:r w:rsidRPr="000837FB">
              <w:rPr>
                <w:rFonts w:eastAsia="Times New Roman" w:cstheme="minorHAnsi"/>
                <w:color w:val="000000"/>
                <w:sz w:val="20"/>
                <w:szCs w:val="20"/>
              </w:rPr>
              <w:t>Cadmium</w:t>
            </w:r>
          </w:p>
        </w:tc>
        <w:tc>
          <w:tcPr>
            <w:tcW w:w="931" w:type="dxa"/>
            <w:tcBorders>
              <w:top w:val="nil"/>
              <w:left w:val="nil"/>
              <w:bottom w:val="nil"/>
              <w:right w:val="nil"/>
            </w:tcBorders>
            <w:shd w:val="clear" w:color="auto" w:fill="auto"/>
            <w:noWrap/>
            <w:vAlign w:val="bottom"/>
            <w:hideMark/>
          </w:tcPr>
          <w:p w14:paraId="128E84A2"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µg/L</w:t>
            </w:r>
          </w:p>
        </w:tc>
        <w:tc>
          <w:tcPr>
            <w:tcW w:w="1421" w:type="dxa"/>
            <w:tcBorders>
              <w:top w:val="nil"/>
              <w:left w:val="nil"/>
              <w:bottom w:val="nil"/>
              <w:right w:val="nil"/>
            </w:tcBorders>
            <w:shd w:val="clear" w:color="auto" w:fill="auto"/>
            <w:noWrap/>
            <w:vAlign w:val="bottom"/>
            <w:hideMark/>
          </w:tcPr>
          <w:p w14:paraId="0082FD8B"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19.3 ± 13.0</w:t>
            </w:r>
          </w:p>
        </w:tc>
        <w:tc>
          <w:tcPr>
            <w:tcW w:w="1355" w:type="dxa"/>
            <w:tcBorders>
              <w:top w:val="nil"/>
              <w:left w:val="nil"/>
              <w:bottom w:val="nil"/>
              <w:right w:val="nil"/>
            </w:tcBorders>
            <w:shd w:val="clear" w:color="auto" w:fill="auto"/>
            <w:noWrap/>
            <w:vAlign w:val="bottom"/>
            <w:hideMark/>
          </w:tcPr>
          <w:p w14:paraId="3C4563EF"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9.33 ± 6.86</w:t>
            </w:r>
          </w:p>
        </w:tc>
        <w:tc>
          <w:tcPr>
            <w:tcW w:w="1690" w:type="dxa"/>
            <w:tcBorders>
              <w:top w:val="nil"/>
              <w:left w:val="nil"/>
              <w:bottom w:val="nil"/>
              <w:right w:val="nil"/>
            </w:tcBorders>
            <w:shd w:val="clear" w:color="auto" w:fill="auto"/>
            <w:noWrap/>
            <w:vAlign w:val="bottom"/>
            <w:hideMark/>
          </w:tcPr>
          <w:p w14:paraId="4D17A8A2"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21.5 ± 9.6</w:t>
            </w:r>
          </w:p>
        </w:tc>
        <w:tc>
          <w:tcPr>
            <w:tcW w:w="1690" w:type="dxa"/>
            <w:tcBorders>
              <w:top w:val="nil"/>
              <w:left w:val="nil"/>
              <w:bottom w:val="nil"/>
              <w:right w:val="nil"/>
            </w:tcBorders>
            <w:shd w:val="clear" w:color="auto" w:fill="auto"/>
            <w:noWrap/>
            <w:vAlign w:val="bottom"/>
            <w:hideMark/>
          </w:tcPr>
          <w:p w14:paraId="1FAD27DE"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13.8 ± 4.1</w:t>
            </w:r>
          </w:p>
        </w:tc>
      </w:tr>
      <w:tr w:rsidR="00550E7C" w:rsidRPr="000837FB" w14:paraId="7CD1D3F6" w14:textId="77777777" w:rsidTr="00550E7C">
        <w:trPr>
          <w:trHeight w:val="255"/>
        </w:trPr>
        <w:tc>
          <w:tcPr>
            <w:tcW w:w="1229" w:type="dxa"/>
            <w:tcBorders>
              <w:top w:val="nil"/>
              <w:left w:val="nil"/>
              <w:bottom w:val="nil"/>
              <w:right w:val="nil"/>
            </w:tcBorders>
            <w:shd w:val="clear" w:color="auto" w:fill="auto"/>
            <w:noWrap/>
            <w:vAlign w:val="bottom"/>
            <w:hideMark/>
          </w:tcPr>
          <w:p w14:paraId="1FDCA00D" w14:textId="77777777" w:rsidR="00550E7C" w:rsidRPr="000837FB" w:rsidRDefault="00550E7C" w:rsidP="00550E7C">
            <w:pPr>
              <w:spacing w:after="0" w:line="360" w:lineRule="auto"/>
              <w:jc w:val="right"/>
              <w:rPr>
                <w:rFonts w:eastAsia="Times New Roman" w:cstheme="minorHAnsi"/>
                <w:color w:val="000000"/>
                <w:sz w:val="20"/>
                <w:szCs w:val="20"/>
              </w:rPr>
            </w:pPr>
            <w:r w:rsidRPr="000837FB">
              <w:rPr>
                <w:rFonts w:eastAsia="Times New Roman" w:cstheme="minorHAnsi"/>
                <w:color w:val="000000"/>
                <w:sz w:val="20"/>
                <w:szCs w:val="20"/>
              </w:rPr>
              <w:t>Lead</w:t>
            </w:r>
          </w:p>
        </w:tc>
        <w:tc>
          <w:tcPr>
            <w:tcW w:w="931" w:type="dxa"/>
            <w:tcBorders>
              <w:top w:val="nil"/>
              <w:left w:val="nil"/>
              <w:bottom w:val="nil"/>
              <w:right w:val="nil"/>
            </w:tcBorders>
            <w:shd w:val="clear" w:color="auto" w:fill="auto"/>
            <w:noWrap/>
            <w:vAlign w:val="bottom"/>
            <w:hideMark/>
          </w:tcPr>
          <w:p w14:paraId="6DF4DCD3"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µg/L</w:t>
            </w:r>
          </w:p>
        </w:tc>
        <w:tc>
          <w:tcPr>
            <w:tcW w:w="1421" w:type="dxa"/>
            <w:tcBorders>
              <w:top w:val="nil"/>
              <w:left w:val="nil"/>
              <w:bottom w:val="nil"/>
              <w:right w:val="nil"/>
            </w:tcBorders>
            <w:shd w:val="clear" w:color="auto" w:fill="auto"/>
            <w:noWrap/>
            <w:vAlign w:val="bottom"/>
            <w:hideMark/>
          </w:tcPr>
          <w:p w14:paraId="65C87D24"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75.8 ± 10.6</w:t>
            </w:r>
          </w:p>
        </w:tc>
        <w:tc>
          <w:tcPr>
            <w:tcW w:w="1355" w:type="dxa"/>
            <w:tcBorders>
              <w:top w:val="nil"/>
              <w:left w:val="nil"/>
              <w:bottom w:val="nil"/>
              <w:right w:val="nil"/>
            </w:tcBorders>
            <w:shd w:val="clear" w:color="auto" w:fill="auto"/>
            <w:noWrap/>
            <w:vAlign w:val="bottom"/>
            <w:hideMark/>
          </w:tcPr>
          <w:p w14:paraId="5775BCE5"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45.0 ± 16.4</w:t>
            </w:r>
          </w:p>
        </w:tc>
        <w:tc>
          <w:tcPr>
            <w:tcW w:w="1690" w:type="dxa"/>
            <w:tcBorders>
              <w:top w:val="nil"/>
              <w:left w:val="nil"/>
              <w:bottom w:val="nil"/>
              <w:right w:val="nil"/>
            </w:tcBorders>
            <w:shd w:val="clear" w:color="auto" w:fill="auto"/>
            <w:noWrap/>
            <w:vAlign w:val="bottom"/>
            <w:hideMark/>
          </w:tcPr>
          <w:p w14:paraId="5ADC8FD5"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34.3*</w:t>
            </w:r>
          </w:p>
        </w:tc>
        <w:tc>
          <w:tcPr>
            <w:tcW w:w="1690" w:type="dxa"/>
            <w:tcBorders>
              <w:top w:val="nil"/>
              <w:left w:val="nil"/>
              <w:bottom w:val="nil"/>
              <w:right w:val="nil"/>
            </w:tcBorders>
            <w:shd w:val="clear" w:color="auto" w:fill="auto"/>
            <w:noWrap/>
            <w:vAlign w:val="bottom"/>
            <w:hideMark/>
          </w:tcPr>
          <w:p w14:paraId="5A86B4C5"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36.1 ± 6.5</w:t>
            </w:r>
          </w:p>
        </w:tc>
      </w:tr>
      <w:tr w:rsidR="00550E7C" w:rsidRPr="000837FB" w14:paraId="31AA219D" w14:textId="77777777" w:rsidTr="00550E7C">
        <w:trPr>
          <w:trHeight w:val="255"/>
        </w:trPr>
        <w:tc>
          <w:tcPr>
            <w:tcW w:w="1229" w:type="dxa"/>
            <w:tcBorders>
              <w:top w:val="nil"/>
              <w:left w:val="nil"/>
              <w:bottom w:val="nil"/>
              <w:right w:val="nil"/>
            </w:tcBorders>
            <w:shd w:val="clear" w:color="auto" w:fill="auto"/>
            <w:noWrap/>
            <w:vAlign w:val="bottom"/>
            <w:hideMark/>
          </w:tcPr>
          <w:p w14:paraId="18BD81E0" w14:textId="77777777" w:rsidR="00550E7C" w:rsidRPr="000837FB" w:rsidRDefault="00550E7C" w:rsidP="00550E7C">
            <w:pPr>
              <w:spacing w:after="0" w:line="360" w:lineRule="auto"/>
              <w:jc w:val="right"/>
              <w:rPr>
                <w:rFonts w:eastAsia="Times New Roman" w:cstheme="minorHAnsi"/>
                <w:color w:val="000000"/>
                <w:sz w:val="20"/>
                <w:szCs w:val="20"/>
              </w:rPr>
            </w:pPr>
            <w:r w:rsidRPr="000837FB">
              <w:rPr>
                <w:rFonts w:eastAsia="Times New Roman" w:cstheme="minorHAnsi"/>
                <w:color w:val="000000"/>
                <w:sz w:val="20"/>
                <w:szCs w:val="20"/>
              </w:rPr>
              <w:t>Arsenic</w:t>
            </w:r>
          </w:p>
        </w:tc>
        <w:tc>
          <w:tcPr>
            <w:tcW w:w="931" w:type="dxa"/>
            <w:tcBorders>
              <w:top w:val="nil"/>
              <w:left w:val="nil"/>
              <w:bottom w:val="nil"/>
              <w:right w:val="nil"/>
            </w:tcBorders>
            <w:shd w:val="clear" w:color="auto" w:fill="auto"/>
            <w:noWrap/>
            <w:vAlign w:val="bottom"/>
            <w:hideMark/>
          </w:tcPr>
          <w:p w14:paraId="392C2B71"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µg/L</w:t>
            </w:r>
          </w:p>
        </w:tc>
        <w:tc>
          <w:tcPr>
            <w:tcW w:w="1421" w:type="dxa"/>
            <w:tcBorders>
              <w:top w:val="nil"/>
              <w:left w:val="nil"/>
              <w:bottom w:val="nil"/>
              <w:right w:val="nil"/>
            </w:tcBorders>
            <w:shd w:val="clear" w:color="auto" w:fill="auto"/>
            <w:noWrap/>
            <w:vAlign w:val="bottom"/>
            <w:hideMark/>
          </w:tcPr>
          <w:p w14:paraId="6E8B6950"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63.9 ± 6.6</w:t>
            </w:r>
          </w:p>
        </w:tc>
        <w:tc>
          <w:tcPr>
            <w:tcW w:w="1355" w:type="dxa"/>
            <w:tcBorders>
              <w:top w:val="nil"/>
              <w:left w:val="nil"/>
              <w:bottom w:val="nil"/>
              <w:right w:val="nil"/>
            </w:tcBorders>
            <w:shd w:val="clear" w:color="auto" w:fill="auto"/>
            <w:noWrap/>
            <w:vAlign w:val="bottom"/>
            <w:hideMark/>
          </w:tcPr>
          <w:p w14:paraId="7554050A"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BDL</w:t>
            </w:r>
          </w:p>
        </w:tc>
        <w:tc>
          <w:tcPr>
            <w:tcW w:w="1690" w:type="dxa"/>
            <w:tcBorders>
              <w:top w:val="nil"/>
              <w:left w:val="nil"/>
              <w:bottom w:val="nil"/>
              <w:right w:val="nil"/>
            </w:tcBorders>
            <w:shd w:val="clear" w:color="auto" w:fill="auto"/>
            <w:noWrap/>
            <w:vAlign w:val="bottom"/>
            <w:hideMark/>
          </w:tcPr>
          <w:p w14:paraId="33524EE3"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BDL</w:t>
            </w:r>
          </w:p>
        </w:tc>
        <w:tc>
          <w:tcPr>
            <w:tcW w:w="1690" w:type="dxa"/>
            <w:tcBorders>
              <w:top w:val="nil"/>
              <w:left w:val="nil"/>
              <w:bottom w:val="nil"/>
              <w:right w:val="nil"/>
            </w:tcBorders>
            <w:shd w:val="clear" w:color="auto" w:fill="auto"/>
            <w:noWrap/>
            <w:vAlign w:val="bottom"/>
            <w:hideMark/>
          </w:tcPr>
          <w:p w14:paraId="77A936D9"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BDL</w:t>
            </w:r>
          </w:p>
        </w:tc>
      </w:tr>
      <w:tr w:rsidR="00550E7C" w:rsidRPr="000837FB" w14:paraId="510AFE9B" w14:textId="77777777" w:rsidTr="00550E7C">
        <w:trPr>
          <w:trHeight w:val="1097"/>
        </w:trPr>
        <w:tc>
          <w:tcPr>
            <w:tcW w:w="1229" w:type="dxa"/>
            <w:tcBorders>
              <w:top w:val="single" w:sz="4" w:space="0" w:color="auto"/>
              <w:left w:val="nil"/>
              <w:bottom w:val="double" w:sz="6" w:space="0" w:color="auto"/>
              <w:right w:val="nil"/>
            </w:tcBorders>
            <w:shd w:val="clear" w:color="auto" w:fill="auto"/>
            <w:vAlign w:val="bottom"/>
            <w:hideMark/>
          </w:tcPr>
          <w:p w14:paraId="66D84466" w14:textId="77777777" w:rsidR="00550E7C" w:rsidRPr="000837FB" w:rsidRDefault="00550E7C" w:rsidP="00550E7C">
            <w:pPr>
              <w:spacing w:after="0" w:line="240" w:lineRule="auto"/>
              <w:rPr>
                <w:rFonts w:eastAsia="Times New Roman" w:cstheme="minorHAnsi"/>
                <w:bCs/>
                <w:color w:val="000000"/>
                <w:sz w:val="20"/>
                <w:szCs w:val="20"/>
              </w:rPr>
            </w:pPr>
            <w:r w:rsidRPr="000837FB">
              <w:rPr>
                <w:rFonts w:eastAsia="Times New Roman" w:cstheme="minorHAnsi"/>
                <w:bCs/>
                <w:color w:val="000000"/>
                <w:sz w:val="20"/>
                <w:szCs w:val="20"/>
              </w:rPr>
              <w:t>Field Parameters</w:t>
            </w:r>
          </w:p>
        </w:tc>
        <w:tc>
          <w:tcPr>
            <w:tcW w:w="931" w:type="dxa"/>
            <w:tcBorders>
              <w:top w:val="single" w:sz="4" w:space="0" w:color="auto"/>
              <w:left w:val="nil"/>
              <w:bottom w:val="double" w:sz="6" w:space="0" w:color="auto"/>
              <w:right w:val="nil"/>
            </w:tcBorders>
            <w:shd w:val="clear" w:color="auto" w:fill="auto"/>
            <w:vAlign w:val="bottom"/>
            <w:hideMark/>
          </w:tcPr>
          <w:p w14:paraId="11C4D805" w14:textId="77777777" w:rsidR="00550E7C" w:rsidRPr="000837FB" w:rsidRDefault="00550E7C" w:rsidP="00550E7C">
            <w:pPr>
              <w:spacing w:after="0" w:line="240" w:lineRule="auto"/>
              <w:jc w:val="center"/>
              <w:rPr>
                <w:rFonts w:eastAsia="Times New Roman" w:cstheme="minorHAnsi"/>
                <w:bCs/>
                <w:sz w:val="20"/>
                <w:szCs w:val="20"/>
              </w:rPr>
            </w:pPr>
            <w:r w:rsidRPr="000837FB">
              <w:rPr>
                <w:rFonts w:eastAsia="Times New Roman" w:cstheme="minorHAnsi"/>
                <w:bCs/>
                <w:sz w:val="20"/>
                <w:szCs w:val="20"/>
              </w:rPr>
              <w:t>units</w:t>
            </w:r>
          </w:p>
        </w:tc>
        <w:tc>
          <w:tcPr>
            <w:tcW w:w="1421" w:type="dxa"/>
            <w:tcBorders>
              <w:top w:val="single" w:sz="4" w:space="0" w:color="auto"/>
              <w:left w:val="nil"/>
              <w:bottom w:val="double" w:sz="6" w:space="0" w:color="auto"/>
              <w:right w:val="nil"/>
            </w:tcBorders>
            <w:shd w:val="clear" w:color="auto" w:fill="auto"/>
            <w:vAlign w:val="bottom"/>
            <w:hideMark/>
          </w:tcPr>
          <w:p w14:paraId="479FFEEC" w14:textId="77777777" w:rsidR="00550E7C" w:rsidRPr="000837FB" w:rsidRDefault="00550E7C" w:rsidP="00550E7C">
            <w:pPr>
              <w:spacing w:after="0" w:line="240" w:lineRule="auto"/>
              <w:jc w:val="center"/>
              <w:rPr>
                <w:rFonts w:eastAsia="Times New Roman" w:cstheme="minorHAnsi"/>
                <w:bCs/>
                <w:sz w:val="20"/>
                <w:szCs w:val="20"/>
              </w:rPr>
            </w:pPr>
            <w:r w:rsidRPr="000837FB">
              <w:rPr>
                <w:rFonts w:eastAsia="Times New Roman" w:cstheme="minorHAnsi"/>
                <w:bCs/>
                <w:sz w:val="20"/>
                <w:szCs w:val="20"/>
              </w:rPr>
              <w:t xml:space="preserve">Mean of AMD Seeps </w:t>
            </w:r>
          </w:p>
        </w:tc>
        <w:tc>
          <w:tcPr>
            <w:tcW w:w="1355" w:type="dxa"/>
            <w:tcBorders>
              <w:top w:val="single" w:sz="4" w:space="0" w:color="auto"/>
              <w:left w:val="nil"/>
              <w:bottom w:val="double" w:sz="6" w:space="0" w:color="auto"/>
              <w:right w:val="nil"/>
            </w:tcBorders>
            <w:shd w:val="clear" w:color="auto" w:fill="auto"/>
            <w:vAlign w:val="bottom"/>
            <w:hideMark/>
          </w:tcPr>
          <w:p w14:paraId="60038C08" w14:textId="77777777" w:rsidR="00550E7C" w:rsidRPr="000837FB" w:rsidRDefault="00550E7C" w:rsidP="00550E7C">
            <w:pPr>
              <w:spacing w:after="0" w:line="240" w:lineRule="auto"/>
              <w:jc w:val="center"/>
              <w:rPr>
                <w:rFonts w:eastAsia="Times New Roman" w:cstheme="minorHAnsi"/>
                <w:bCs/>
                <w:sz w:val="20"/>
                <w:szCs w:val="20"/>
              </w:rPr>
            </w:pPr>
            <w:r w:rsidRPr="000837FB">
              <w:rPr>
                <w:rFonts w:eastAsia="Times New Roman" w:cstheme="minorHAnsi"/>
                <w:bCs/>
                <w:sz w:val="20"/>
                <w:szCs w:val="20"/>
              </w:rPr>
              <w:t xml:space="preserve">Mayer Ranch Weir </w:t>
            </w:r>
          </w:p>
        </w:tc>
        <w:tc>
          <w:tcPr>
            <w:tcW w:w="1690" w:type="dxa"/>
            <w:tcBorders>
              <w:top w:val="single" w:sz="4" w:space="0" w:color="auto"/>
              <w:left w:val="nil"/>
              <w:bottom w:val="double" w:sz="6" w:space="0" w:color="auto"/>
              <w:right w:val="nil"/>
            </w:tcBorders>
            <w:shd w:val="clear" w:color="auto" w:fill="auto"/>
            <w:vAlign w:val="bottom"/>
            <w:hideMark/>
          </w:tcPr>
          <w:p w14:paraId="0320091E" w14:textId="77777777" w:rsidR="00550E7C" w:rsidRPr="000837FB" w:rsidRDefault="00550E7C" w:rsidP="00550E7C">
            <w:pPr>
              <w:spacing w:after="0" w:line="240" w:lineRule="auto"/>
              <w:jc w:val="center"/>
              <w:rPr>
                <w:rFonts w:eastAsia="Times New Roman" w:cstheme="minorHAnsi"/>
                <w:bCs/>
                <w:sz w:val="20"/>
                <w:szCs w:val="20"/>
              </w:rPr>
            </w:pPr>
            <w:r w:rsidRPr="000837FB">
              <w:rPr>
                <w:rFonts w:eastAsia="Times New Roman" w:cstheme="minorHAnsi"/>
                <w:bCs/>
                <w:sz w:val="20"/>
                <w:szCs w:val="20"/>
              </w:rPr>
              <w:t>Tributary Upstream from Future PTS</w:t>
            </w:r>
          </w:p>
        </w:tc>
        <w:tc>
          <w:tcPr>
            <w:tcW w:w="1690" w:type="dxa"/>
            <w:tcBorders>
              <w:top w:val="single" w:sz="4" w:space="0" w:color="auto"/>
              <w:left w:val="nil"/>
              <w:bottom w:val="double" w:sz="6" w:space="0" w:color="auto"/>
              <w:right w:val="nil"/>
            </w:tcBorders>
            <w:shd w:val="clear" w:color="auto" w:fill="auto"/>
            <w:vAlign w:val="bottom"/>
            <w:hideMark/>
          </w:tcPr>
          <w:p w14:paraId="7F0A8130" w14:textId="77777777" w:rsidR="00550E7C" w:rsidRPr="000837FB" w:rsidRDefault="00550E7C" w:rsidP="00550E7C">
            <w:pPr>
              <w:spacing w:after="0" w:line="240" w:lineRule="auto"/>
              <w:jc w:val="center"/>
              <w:rPr>
                <w:rFonts w:eastAsia="Times New Roman" w:cstheme="minorHAnsi"/>
                <w:bCs/>
                <w:sz w:val="20"/>
                <w:szCs w:val="20"/>
              </w:rPr>
            </w:pPr>
            <w:r w:rsidRPr="000837FB">
              <w:rPr>
                <w:rFonts w:eastAsia="Times New Roman" w:cstheme="minorHAnsi"/>
                <w:bCs/>
                <w:sz w:val="20"/>
                <w:szCs w:val="20"/>
              </w:rPr>
              <w:t>Tributary Downstream from Future PTS</w:t>
            </w:r>
          </w:p>
        </w:tc>
      </w:tr>
      <w:tr w:rsidR="00550E7C" w:rsidRPr="000837FB" w14:paraId="5A24DEBB" w14:textId="77777777" w:rsidTr="00550E7C">
        <w:trPr>
          <w:trHeight w:val="270"/>
        </w:trPr>
        <w:tc>
          <w:tcPr>
            <w:tcW w:w="1229" w:type="dxa"/>
            <w:tcBorders>
              <w:top w:val="nil"/>
              <w:left w:val="nil"/>
              <w:bottom w:val="nil"/>
              <w:right w:val="nil"/>
            </w:tcBorders>
            <w:shd w:val="clear" w:color="auto" w:fill="auto"/>
            <w:noWrap/>
            <w:vAlign w:val="bottom"/>
            <w:hideMark/>
          </w:tcPr>
          <w:p w14:paraId="2DD66DEE" w14:textId="77777777" w:rsidR="00550E7C" w:rsidRPr="000837FB" w:rsidRDefault="00550E7C" w:rsidP="00550E7C">
            <w:pPr>
              <w:spacing w:after="0" w:line="360" w:lineRule="auto"/>
              <w:jc w:val="right"/>
              <w:rPr>
                <w:rFonts w:eastAsia="Times New Roman" w:cstheme="minorHAnsi"/>
                <w:sz w:val="20"/>
                <w:szCs w:val="20"/>
              </w:rPr>
            </w:pPr>
            <w:r w:rsidRPr="000837FB">
              <w:rPr>
                <w:rFonts w:eastAsia="Times New Roman" w:cstheme="minorHAnsi"/>
                <w:sz w:val="20"/>
                <w:szCs w:val="20"/>
              </w:rPr>
              <w:t>Cond</w:t>
            </w:r>
          </w:p>
        </w:tc>
        <w:tc>
          <w:tcPr>
            <w:tcW w:w="931"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16441356" w14:textId="77777777" w:rsidR="00550E7C" w:rsidRPr="000837FB" w:rsidRDefault="00550E7C" w:rsidP="00550E7C">
            <w:pPr>
              <w:spacing w:after="0" w:line="360" w:lineRule="auto"/>
              <w:jc w:val="center"/>
              <w:rPr>
                <w:rFonts w:eastAsia="Times New Roman" w:cstheme="minorHAnsi"/>
                <w:color w:val="000000"/>
                <w:sz w:val="20"/>
                <w:szCs w:val="20"/>
              </w:rPr>
            </w:pPr>
            <w:proofErr w:type="spellStart"/>
            <w:r w:rsidRPr="000837FB">
              <w:rPr>
                <w:rFonts w:eastAsia="Times New Roman" w:cstheme="minorHAnsi"/>
                <w:color w:val="000000"/>
                <w:sz w:val="20"/>
                <w:szCs w:val="20"/>
              </w:rPr>
              <w:t>uS</w:t>
            </w:r>
            <w:proofErr w:type="spellEnd"/>
            <w:r w:rsidRPr="000837FB">
              <w:rPr>
                <w:rFonts w:eastAsia="Times New Roman" w:cstheme="minorHAnsi"/>
                <w:color w:val="000000"/>
                <w:sz w:val="20"/>
                <w:szCs w:val="20"/>
              </w:rPr>
              <w:t>/cm</w:t>
            </w:r>
          </w:p>
        </w:tc>
        <w:tc>
          <w:tcPr>
            <w:tcW w:w="1421" w:type="dxa"/>
            <w:tcBorders>
              <w:top w:val="nil"/>
              <w:left w:val="nil"/>
              <w:bottom w:val="nil"/>
              <w:right w:val="nil"/>
            </w:tcBorders>
            <w:shd w:val="clear" w:color="auto" w:fill="auto"/>
            <w:noWrap/>
            <w:vAlign w:val="bottom"/>
            <w:hideMark/>
          </w:tcPr>
          <w:p w14:paraId="4CA695D8"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2949 ± 238</w:t>
            </w:r>
          </w:p>
        </w:tc>
        <w:tc>
          <w:tcPr>
            <w:tcW w:w="1355" w:type="dxa"/>
            <w:tcBorders>
              <w:top w:val="nil"/>
              <w:left w:val="nil"/>
              <w:bottom w:val="nil"/>
              <w:right w:val="nil"/>
            </w:tcBorders>
            <w:shd w:val="clear" w:color="auto" w:fill="auto"/>
            <w:noWrap/>
            <w:vAlign w:val="bottom"/>
            <w:hideMark/>
          </w:tcPr>
          <w:p w14:paraId="2DCF63E0"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2509 ± 238</w:t>
            </w:r>
          </w:p>
        </w:tc>
        <w:tc>
          <w:tcPr>
            <w:tcW w:w="1690" w:type="dxa"/>
            <w:tcBorders>
              <w:top w:val="nil"/>
              <w:left w:val="nil"/>
              <w:bottom w:val="nil"/>
              <w:right w:val="nil"/>
            </w:tcBorders>
            <w:shd w:val="clear" w:color="auto" w:fill="auto"/>
            <w:noWrap/>
            <w:vAlign w:val="bottom"/>
            <w:hideMark/>
          </w:tcPr>
          <w:p w14:paraId="08374B24"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1581 ± 789</w:t>
            </w:r>
          </w:p>
        </w:tc>
        <w:tc>
          <w:tcPr>
            <w:tcW w:w="1690" w:type="dxa"/>
            <w:tcBorders>
              <w:top w:val="nil"/>
              <w:left w:val="nil"/>
              <w:bottom w:val="nil"/>
              <w:right w:val="nil"/>
            </w:tcBorders>
            <w:shd w:val="clear" w:color="auto" w:fill="auto"/>
            <w:noWrap/>
            <w:vAlign w:val="bottom"/>
            <w:hideMark/>
          </w:tcPr>
          <w:p w14:paraId="4C4A517C"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2365 ± 735</w:t>
            </w:r>
          </w:p>
        </w:tc>
      </w:tr>
      <w:tr w:rsidR="00550E7C" w:rsidRPr="000837FB" w14:paraId="0FA4EF1C" w14:textId="77777777" w:rsidTr="00550E7C">
        <w:trPr>
          <w:trHeight w:val="255"/>
        </w:trPr>
        <w:tc>
          <w:tcPr>
            <w:tcW w:w="1229" w:type="dxa"/>
            <w:tcBorders>
              <w:top w:val="nil"/>
              <w:left w:val="nil"/>
              <w:bottom w:val="nil"/>
              <w:right w:val="nil"/>
            </w:tcBorders>
            <w:shd w:val="clear" w:color="auto" w:fill="auto"/>
            <w:noWrap/>
            <w:vAlign w:val="bottom"/>
            <w:hideMark/>
          </w:tcPr>
          <w:p w14:paraId="5381A039" w14:textId="77777777" w:rsidR="00550E7C" w:rsidRPr="000837FB" w:rsidRDefault="00550E7C" w:rsidP="00550E7C">
            <w:pPr>
              <w:spacing w:after="0" w:line="360" w:lineRule="auto"/>
              <w:jc w:val="right"/>
              <w:rPr>
                <w:rFonts w:eastAsia="Times New Roman" w:cstheme="minorHAnsi"/>
                <w:sz w:val="20"/>
                <w:szCs w:val="20"/>
              </w:rPr>
            </w:pPr>
            <w:r w:rsidRPr="000837FB">
              <w:rPr>
                <w:rFonts w:eastAsia="Times New Roman" w:cstheme="minorHAnsi"/>
                <w:sz w:val="20"/>
                <w:szCs w:val="20"/>
              </w:rPr>
              <w:t>TDS</w:t>
            </w:r>
          </w:p>
        </w:tc>
        <w:tc>
          <w:tcPr>
            <w:tcW w:w="931" w:type="dxa"/>
            <w:tcBorders>
              <w:top w:val="nil"/>
              <w:left w:val="nil"/>
              <w:bottom w:val="nil"/>
              <w:right w:val="nil"/>
            </w:tcBorders>
            <w:shd w:val="clear" w:color="auto" w:fill="auto"/>
            <w:noWrap/>
            <w:vAlign w:val="bottom"/>
            <w:hideMark/>
          </w:tcPr>
          <w:p w14:paraId="2EEC80F3"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g/L</w:t>
            </w:r>
          </w:p>
        </w:tc>
        <w:tc>
          <w:tcPr>
            <w:tcW w:w="1421" w:type="dxa"/>
            <w:tcBorders>
              <w:top w:val="nil"/>
              <w:left w:val="nil"/>
              <w:bottom w:val="nil"/>
              <w:right w:val="nil"/>
            </w:tcBorders>
            <w:shd w:val="clear" w:color="auto" w:fill="auto"/>
            <w:noWrap/>
            <w:vAlign w:val="bottom"/>
            <w:hideMark/>
          </w:tcPr>
          <w:p w14:paraId="421BC6BD"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2.23 ± 0.18</w:t>
            </w:r>
          </w:p>
        </w:tc>
        <w:tc>
          <w:tcPr>
            <w:tcW w:w="1355" w:type="dxa"/>
            <w:tcBorders>
              <w:top w:val="nil"/>
              <w:left w:val="nil"/>
              <w:bottom w:val="nil"/>
              <w:right w:val="nil"/>
            </w:tcBorders>
            <w:shd w:val="clear" w:color="auto" w:fill="auto"/>
            <w:noWrap/>
            <w:vAlign w:val="bottom"/>
            <w:hideMark/>
          </w:tcPr>
          <w:p w14:paraId="3EA4200B"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1.9 5± 0.49</w:t>
            </w:r>
          </w:p>
        </w:tc>
        <w:tc>
          <w:tcPr>
            <w:tcW w:w="1690" w:type="dxa"/>
            <w:tcBorders>
              <w:top w:val="nil"/>
              <w:left w:val="nil"/>
              <w:bottom w:val="nil"/>
              <w:right w:val="nil"/>
            </w:tcBorders>
            <w:shd w:val="clear" w:color="auto" w:fill="auto"/>
            <w:noWrap/>
            <w:vAlign w:val="bottom"/>
            <w:hideMark/>
          </w:tcPr>
          <w:p w14:paraId="396E289A"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1.17 ± 0.53</w:t>
            </w:r>
          </w:p>
        </w:tc>
        <w:tc>
          <w:tcPr>
            <w:tcW w:w="1690" w:type="dxa"/>
            <w:tcBorders>
              <w:top w:val="nil"/>
              <w:left w:val="nil"/>
              <w:bottom w:val="nil"/>
              <w:right w:val="nil"/>
            </w:tcBorders>
            <w:shd w:val="clear" w:color="auto" w:fill="auto"/>
            <w:noWrap/>
            <w:vAlign w:val="bottom"/>
            <w:hideMark/>
          </w:tcPr>
          <w:p w14:paraId="52187748"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1.78 ± 0.55</w:t>
            </w:r>
          </w:p>
        </w:tc>
      </w:tr>
      <w:tr w:rsidR="00550E7C" w:rsidRPr="000837FB" w14:paraId="407E3793" w14:textId="77777777" w:rsidTr="00550E7C">
        <w:trPr>
          <w:trHeight w:val="255"/>
        </w:trPr>
        <w:tc>
          <w:tcPr>
            <w:tcW w:w="1229" w:type="dxa"/>
            <w:tcBorders>
              <w:top w:val="nil"/>
              <w:left w:val="nil"/>
              <w:bottom w:val="nil"/>
              <w:right w:val="nil"/>
            </w:tcBorders>
            <w:shd w:val="clear" w:color="auto" w:fill="auto"/>
            <w:noWrap/>
            <w:vAlign w:val="bottom"/>
            <w:hideMark/>
          </w:tcPr>
          <w:p w14:paraId="4575B281" w14:textId="77777777" w:rsidR="00550E7C" w:rsidRPr="000837FB" w:rsidRDefault="00550E7C" w:rsidP="00550E7C">
            <w:pPr>
              <w:spacing w:after="0" w:line="360" w:lineRule="auto"/>
              <w:jc w:val="right"/>
              <w:rPr>
                <w:rFonts w:eastAsia="Times New Roman" w:cstheme="minorHAnsi"/>
                <w:sz w:val="20"/>
                <w:szCs w:val="20"/>
              </w:rPr>
            </w:pPr>
            <w:r w:rsidRPr="000837FB">
              <w:rPr>
                <w:rFonts w:eastAsia="Times New Roman" w:cstheme="minorHAnsi"/>
                <w:sz w:val="20"/>
                <w:szCs w:val="20"/>
              </w:rPr>
              <w:t>Salinity</w:t>
            </w:r>
          </w:p>
        </w:tc>
        <w:tc>
          <w:tcPr>
            <w:tcW w:w="931" w:type="dxa"/>
            <w:tcBorders>
              <w:top w:val="nil"/>
              <w:left w:val="nil"/>
              <w:bottom w:val="nil"/>
              <w:right w:val="nil"/>
            </w:tcBorders>
            <w:shd w:val="clear" w:color="auto" w:fill="auto"/>
            <w:noWrap/>
            <w:vAlign w:val="bottom"/>
            <w:hideMark/>
          </w:tcPr>
          <w:p w14:paraId="4F4DD495" w14:textId="77777777" w:rsidR="00550E7C" w:rsidRPr="000837FB" w:rsidRDefault="00550E7C" w:rsidP="00550E7C">
            <w:pPr>
              <w:spacing w:after="0" w:line="360" w:lineRule="auto"/>
              <w:jc w:val="center"/>
              <w:rPr>
                <w:rFonts w:eastAsia="Times New Roman" w:cstheme="minorHAnsi"/>
                <w:sz w:val="20"/>
                <w:szCs w:val="20"/>
              </w:rPr>
            </w:pPr>
            <w:proofErr w:type="spellStart"/>
            <w:r w:rsidRPr="000837FB">
              <w:rPr>
                <w:rFonts w:eastAsia="Times New Roman" w:cstheme="minorHAnsi"/>
                <w:sz w:val="20"/>
                <w:szCs w:val="20"/>
              </w:rPr>
              <w:t>ppt</w:t>
            </w:r>
            <w:proofErr w:type="spellEnd"/>
          </w:p>
        </w:tc>
        <w:tc>
          <w:tcPr>
            <w:tcW w:w="1421" w:type="dxa"/>
            <w:tcBorders>
              <w:top w:val="nil"/>
              <w:left w:val="nil"/>
              <w:bottom w:val="nil"/>
              <w:right w:val="nil"/>
            </w:tcBorders>
            <w:shd w:val="clear" w:color="auto" w:fill="auto"/>
            <w:noWrap/>
            <w:vAlign w:val="bottom"/>
            <w:hideMark/>
          </w:tcPr>
          <w:p w14:paraId="77E12A2C"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1.88 ± 0.03</w:t>
            </w:r>
          </w:p>
        </w:tc>
        <w:tc>
          <w:tcPr>
            <w:tcW w:w="1355" w:type="dxa"/>
            <w:tcBorders>
              <w:top w:val="nil"/>
              <w:left w:val="nil"/>
              <w:bottom w:val="nil"/>
              <w:right w:val="nil"/>
            </w:tcBorders>
            <w:shd w:val="clear" w:color="auto" w:fill="auto"/>
            <w:noWrap/>
            <w:vAlign w:val="bottom"/>
            <w:hideMark/>
          </w:tcPr>
          <w:p w14:paraId="141BD638"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1.03 ± 0.58</w:t>
            </w:r>
          </w:p>
        </w:tc>
        <w:tc>
          <w:tcPr>
            <w:tcW w:w="1690" w:type="dxa"/>
            <w:tcBorders>
              <w:top w:val="nil"/>
              <w:left w:val="nil"/>
              <w:bottom w:val="nil"/>
              <w:right w:val="nil"/>
            </w:tcBorders>
            <w:shd w:val="clear" w:color="auto" w:fill="auto"/>
            <w:noWrap/>
            <w:vAlign w:val="bottom"/>
            <w:hideMark/>
          </w:tcPr>
          <w:p w14:paraId="0AF5DC1E"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1.08 ± 0.48</w:t>
            </w:r>
          </w:p>
        </w:tc>
        <w:tc>
          <w:tcPr>
            <w:tcW w:w="1690" w:type="dxa"/>
            <w:tcBorders>
              <w:top w:val="nil"/>
              <w:left w:val="nil"/>
              <w:bottom w:val="nil"/>
              <w:right w:val="nil"/>
            </w:tcBorders>
            <w:shd w:val="clear" w:color="auto" w:fill="auto"/>
            <w:noWrap/>
            <w:vAlign w:val="bottom"/>
            <w:hideMark/>
          </w:tcPr>
          <w:p w14:paraId="150A201A"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1.08 ± 0.48</w:t>
            </w:r>
          </w:p>
        </w:tc>
      </w:tr>
      <w:tr w:rsidR="00550E7C" w:rsidRPr="000837FB" w14:paraId="07A08E73" w14:textId="77777777" w:rsidTr="00550E7C">
        <w:trPr>
          <w:trHeight w:val="285"/>
        </w:trPr>
        <w:tc>
          <w:tcPr>
            <w:tcW w:w="1229" w:type="dxa"/>
            <w:tcBorders>
              <w:top w:val="nil"/>
              <w:left w:val="nil"/>
              <w:bottom w:val="nil"/>
              <w:right w:val="nil"/>
            </w:tcBorders>
            <w:shd w:val="clear" w:color="auto" w:fill="auto"/>
            <w:noWrap/>
            <w:vAlign w:val="bottom"/>
            <w:hideMark/>
          </w:tcPr>
          <w:p w14:paraId="4526C9BC" w14:textId="77777777" w:rsidR="00550E7C" w:rsidRPr="000837FB" w:rsidRDefault="00550E7C" w:rsidP="00550E7C">
            <w:pPr>
              <w:spacing w:after="0" w:line="360" w:lineRule="auto"/>
              <w:jc w:val="right"/>
              <w:rPr>
                <w:rFonts w:eastAsia="Times New Roman" w:cstheme="minorHAnsi"/>
                <w:sz w:val="20"/>
                <w:szCs w:val="20"/>
              </w:rPr>
            </w:pPr>
            <w:proofErr w:type="spellStart"/>
            <w:r w:rsidRPr="000837FB">
              <w:rPr>
                <w:rFonts w:eastAsia="Times New Roman" w:cstheme="minorHAnsi"/>
                <w:sz w:val="20"/>
                <w:szCs w:val="20"/>
              </w:rPr>
              <w:t>DO</w:t>
            </w:r>
            <w:r w:rsidRPr="000837FB">
              <w:rPr>
                <w:rFonts w:eastAsia="Times New Roman" w:cstheme="minorHAnsi"/>
                <w:sz w:val="20"/>
                <w:szCs w:val="20"/>
                <w:vertAlign w:val="subscript"/>
              </w:rPr>
              <w:t>Sat</w:t>
            </w:r>
            <w:proofErr w:type="spellEnd"/>
          </w:p>
        </w:tc>
        <w:tc>
          <w:tcPr>
            <w:tcW w:w="931" w:type="dxa"/>
            <w:tcBorders>
              <w:top w:val="nil"/>
              <w:left w:val="nil"/>
              <w:bottom w:val="nil"/>
              <w:right w:val="nil"/>
            </w:tcBorders>
            <w:shd w:val="clear" w:color="auto" w:fill="auto"/>
            <w:noWrap/>
            <w:vAlign w:val="bottom"/>
            <w:hideMark/>
          </w:tcPr>
          <w:p w14:paraId="7C160823"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w:t>
            </w:r>
          </w:p>
        </w:tc>
        <w:tc>
          <w:tcPr>
            <w:tcW w:w="1421" w:type="dxa"/>
            <w:tcBorders>
              <w:top w:val="nil"/>
              <w:left w:val="nil"/>
              <w:bottom w:val="nil"/>
              <w:right w:val="nil"/>
            </w:tcBorders>
            <w:shd w:val="clear" w:color="auto" w:fill="auto"/>
            <w:noWrap/>
            <w:vAlign w:val="bottom"/>
            <w:hideMark/>
          </w:tcPr>
          <w:p w14:paraId="7443148F"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11.9 ± 16.0</w:t>
            </w:r>
          </w:p>
        </w:tc>
        <w:tc>
          <w:tcPr>
            <w:tcW w:w="1355" w:type="dxa"/>
            <w:tcBorders>
              <w:top w:val="nil"/>
              <w:left w:val="nil"/>
              <w:bottom w:val="nil"/>
              <w:right w:val="nil"/>
            </w:tcBorders>
            <w:shd w:val="clear" w:color="auto" w:fill="auto"/>
            <w:noWrap/>
            <w:vAlign w:val="bottom"/>
            <w:hideMark/>
          </w:tcPr>
          <w:p w14:paraId="4C7896E1"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26.4 ± 19.0</w:t>
            </w:r>
          </w:p>
        </w:tc>
        <w:tc>
          <w:tcPr>
            <w:tcW w:w="1690" w:type="dxa"/>
            <w:tcBorders>
              <w:top w:val="nil"/>
              <w:left w:val="nil"/>
              <w:bottom w:val="nil"/>
              <w:right w:val="nil"/>
            </w:tcBorders>
            <w:shd w:val="clear" w:color="auto" w:fill="auto"/>
            <w:noWrap/>
            <w:vAlign w:val="bottom"/>
            <w:hideMark/>
          </w:tcPr>
          <w:p w14:paraId="494102FD"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77.3 ± 32.8</w:t>
            </w:r>
          </w:p>
        </w:tc>
        <w:tc>
          <w:tcPr>
            <w:tcW w:w="1690" w:type="dxa"/>
            <w:tcBorders>
              <w:top w:val="nil"/>
              <w:left w:val="nil"/>
              <w:bottom w:val="nil"/>
              <w:right w:val="nil"/>
            </w:tcBorders>
            <w:shd w:val="clear" w:color="auto" w:fill="auto"/>
            <w:noWrap/>
            <w:vAlign w:val="bottom"/>
            <w:hideMark/>
          </w:tcPr>
          <w:p w14:paraId="5E1C882A"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47.9 ± 24.2</w:t>
            </w:r>
          </w:p>
        </w:tc>
      </w:tr>
      <w:tr w:rsidR="00550E7C" w:rsidRPr="000837FB" w14:paraId="5A40A012" w14:textId="77777777" w:rsidTr="00550E7C">
        <w:trPr>
          <w:trHeight w:val="255"/>
        </w:trPr>
        <w:tc>
          <w:tcPr>
            <w:tcW w:w="1229" w:type="dxa"/>
            <w:tcBorders>
              <w:top w:val="nil"/>
              <w:left w:val="nil"/>
              <w:bottom w:val="nil"/>
              <w:right w:val="nil"/>
            </w:tcBorders>
            <w:shd w:val="clear" w:color="auto" w:fill="auto"/>
            <w:noWrap/>
            <w:vAlign w:val="bottom"/>
            <w:hideMark/>
          </w:tcPr>
          <w:p w14:paraId="3585876D" w14:textId="77777777" w:rsidR="00550E7C" w:rsidRPr="000837FB" w:rsidRDefault="00550E7C" w:rsidP="00550E7C">
            <w:pPr>
              <w:spacing w:after="0" w:line="360" w:lineRule="auto"/>
              <w:jc w:val="right"/>
              <w:rPr>
                <w:rFonts w:eastAsia="Times New Roman" w:cstheme="minorHAnsi"/>
                <w:sz w:val="20"/>
                <w:szCs w:val="20"/>
              </w:rPr>
            </w:pPr>
            <w:r w:rsidRPr="000837FB">
              <w:rPr>
                <w:rFonts w:eastAsia="Times New Roman" w:cstheme="minorHAnsi"/>
                <w:sz w:val="20"/>
                <w:szCs w:val="20"/>
              </w:rPr>
              <w:t xml:space="preserve">DO </w:t>
            </w:r>
          </w:p>
        </w:tc>
        <w:tc>
          <w:tcPr>
            <w:tcW w:w="931" w:type="dxa"/>
            <w:tcBorders>
              <w:top w:val="nil"/>
              <w:left w:val="nil"/>
              <w:bottom w:val="nil"/>
              <w:right w:val="nil"/>
            </w:tcBorders>
            <w:shd w:val="clear" w:color="auto" w:fill="auto"/>
            <w:noWrap/>
            <w:vAlign w:val="bottom"/>
            <w:hideMark/>
          </w:tcPr>
          <w:p w14:paraId="5EA93C88"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mg/L</w:t>
            </w:r>
          </w:p>
        </w:tc>
        <w:tc>
          <w:tcPr>
            <w:tcW w:w="1421" w:type="dxa"/>
            <w:tcBorders>
              <w:top w:val="nil"/>
              <w:left w:val="nil"/>
              <w:bottom w:val="nil"/>
              <w:right w:val="nil"/>
            </w:tcBorders>
            <w:shd w:val="clear" w:color="auto" w:fill="auto"/>
            <w:noWrap/>
            <w:vAlign w:val="bottom"/>
            <w:hideMark/>
          </w:tcPr>
          <w:p w14:paraId="1D8428BE"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1.13 ± 1.52</w:t>
            </w:r>
          </w:p>
        </w:tc>
        <w:tc>
          <w:tcPr>
            <w:tcW w:w="1355" w:type="dxa"/>
            <w:tcBorders>
              <w:top w:val="nil"/>
              <w:left w:val="nil"/>
              <w:bottom w:val="nil"/>
              <w:right w:val="nil"/>
            </w:tcBorders>
            <w:shd w:val="clear" w:color="auto" w:fill="auto"/>
            <w:noWrap/>
            <w:vAlign w:val="bottom"/>
            <w:hideMark/>
          </w:tcPr>
          <w:p w14:paraId="721BB3BF"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2.60 ± 1.90</w:t>
            </w:r>
          </w:p>
        </w:tc>
        <w:tc>
          <w:tcPr>
            <w:tcW w:w="1690" w:type="dxa"/>
            <w:tcBorders>
              <w:top w:val="nil"/>
              <w:left w:val="nil"/>
              <w:bottom w:val="nil"/>
              <w:right w:val="nil"/>
            </w:tcBorders>
            <w:shd w:val="clear" w:color="auto" w:fill="auto"/>
            <w:noWrap/>
            <w:vAlign w:val="bottom"/>
            <w:hideMark/>
          </w:tcPr>
          <w:p w14:paraId="2BCBA577"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7.67 ± 1.90</w:t>
            </w:r>
          </w:p>
        </w:tc>
        <w:tc>
          <w:tcPr>
            <w:tcW w:w="1690" w:type="dxa"/>
            <w:tcBorders>
              <w:top w:val="nil"/>
              <w:left w:val="nil"/>
              <w:bottom w:val="nil"/>
              <w:right w:val="nil"/>
            </w:tcBorders>
            <w:shd w:val="clear" w:color="auto" w:fill="auto"/>
            <w:noWrap/>
            <w:vAlign w:val="bottom"/>
            <w:hideMark/>
          </w:tcPr>
          <w:p w14:paraId="3E97A278"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4.84 ± 2.70</w:t>
            </w:r>
          </w:p>
        </w:tc>
      </w:tr>
      <w:tr w:rsidR="00550E7C" w:rsidRPr="000837FB" w14:paraId="1A545947" w14:textId="77777777" w:rsidTr="00550E7C">
        <w:trPr>
          <w:trHeight w:val="255"/>
        </w:trPr>
        <w:tc>
          <w:tcPr>
            <w:tcW w:w="1229" w:type="dxa"/>
            <w:tcBorders>
              <w:top w:val="nil"/>
              <w:left w:val="nil"/>
              <w:bottom w:val="nil"/>
              <w:right w:val="nil"/>
            </w:tcBorders>
            <w:shd w:val="clear" w:color="auto" w:fill="auto"/>
            <w:noWrap/>
            <w:vAlign w:val="bottom"/>
            <w:hideMark/>
          </w:tcPr>
          <w:p w14:paraId="7C49C181" w14:textId="77777777" w:rsidR="00550E7C" w:rsidRPr="000837FB" w:rsidRDefault="00550E7C" w:rsidP="00550E7C">
            <w:pPr>
              <w:spacing w:after="0" w:line="360" w:lineRule="auto"/>
              <w:jc w:val="right"/>
              <w:rPr>
                <w:rFonts w:eastAsia="Times New Roman" w:cstheme="minorHAnsi"/>
                <w:sz w:val="20"/>
                <w:szCs w:val="20"/>
              </w:rPr>
            </w:pPr>
            <w:r w:rsidRPr="000837FB">
              <w:rPr>
                <w:rFonts w:eastAsia="Times New Roman" w:cstheme="minorHAnsi"/>
                <w:sz w:val="20"/>
                <w:szCs w:val="20"/>
              </w:rPr>
              <w:t>pH</w:t>
            </w:r>
          </w:p>
        </w:tc>
        <w:tc>
          <w:tcPr>
            <w:tcW w:w="931" w:type="dxa"/>
            <w:tcBorders>
              <w:top w:val="nil"/>
              <w:left w:val="nil"/>
              <w:bottom w:val="nil"/>
              <w:right w:val="nil"/>
            </w:tcBorders>
            <w:shd w:val="clear" w:color="auto" w:fill="auto"/>
            <w:noWrap/>
            <w:vAlign w:val="bottom"/>
            <w:hideMark/>
          </w:tcPr>
          <w:p w14:paraId="34917271"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w:t>
            </w:r>
          </w:p>
        </w:tc>
        <w:tc>
          <w:tcPr>
            <w:tcW w:w="1421" w:type="dxa"/>
            <w:tcBorders>
              <w:top w:val="nil"/>
              <w:left w:val="nil"/>
              <w:bottom w:val="nil"/>
              <w:right w:val="nil"/>
            </w:tcBorders>
            <w:shd w:val="clear" w:color="auto" w:fill="auto"/>
            <w:noWrap/>
            <w:vAlign w:val="bottom"/>
            <w:hideMark/>
          </w:tcPr>
          <w:p w14:paraId="4AE02733"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5.94 ± 0.06</w:t>
            </w:r>
          </w:p>
        </w:tc>
        <w:tc>
          <w:tcPr>
            <w:tcW w:w="1355" w:type="dxa"/>
            <w:tcBorders>
              <w:top w:val="nil"/>
              <w:left w:val="nil"/>
              <w:bottom w:val="nil"/>
              <w:right w:val="nil"/>
            </w:tcBorders>
            <w:shd w:val="clear" w:color="auto" w:fill="auto"/>
            <w:noWrap/>
            <w:vAlign w:val="bottom"/>
            <w:hideMark/>
          </w:tcPr>
          <w:p w14:paraId="144CBAAE"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6.12 ± 0.18</w:t>
            </w:r>
          </w:p>
        </w:tc>
        <w:tc>
          <w:tcPr>
            <w:tcW w:w="1690" w:type="dxa"/>
            <w:tcBorders>
              <w:top w:val="nil"/>
              <w:left w:val="nil"/>
              <w:bottom w:val="nil"/>
              <w:right w:val="nil"/>
            </w:tcBorders>
            <w:shd w:val="clear" w:color="auto" w:fill="auto"/>
            <w:noWrap/>
            <w:vAlign w:val="bottom"/>
            <w:hideMark/>
          </w:tcPr>
          <w:p w14:paraId="5EA24EF2"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6.70 ± 0.36</w:t>
            </w:r>
          </w:p>
        </w:tc>
        <w:tc>
          <w:tcPr>
            <w:tcW w:w="1690" w:type="dxa"/>
            <w:tcBorders>
              <w:top w:val="nil"/>
              <w:left w:val="nil"/>
              <w:bottom w:val="nil"/>
              <w:right w:val="nil"/>
            </w:tcBorders>
            <w:shd w:val="clear" w:color="auto" w:fill="auto"/>
            <w:noWrap/>
            <w:vAlign w:val="bottom"/>
            <w:hideMark/>
          </w:tcPr>
          <w:p w14:paraId="13BB7A6D"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6.18 ± 0.22</w:t>
            </w:r>
          </w:p>
        </w:tc>
      </w:tr>
      <w:tr w:rsidR="00550E7C" w:rsidRPr="000837FB" w14:paraId="15FE4CD0" w14:textId="77777777" w:rsidTr="00550E7C">
        <w:trPr>
          <w:trHeight w:val="255"/>
        </w:trPr>
        <w:tc>
          <w:tcPr>
            <w:tcW w:w="1229" w:type="dxa"/>
            <w:tcBorders>
              <w:top w:val="nil"/>
              <w:left w:val="nil"/>
              <w:bottom w:val="nil"/>
              <w:right w:val="nil"/>
            </w:tcBorders>
            <w:shd w:val="clear" w:color="auto" w:fill="auto"/>
            <w:noWrap/>
            <w:vAlign w:val="bottom"/>
            <w:hideMark/>
          </w:tcPr>
          <w:p w14:paraId="30F1BCAE" w14:textId="77777777" w:rsidR="00550E7C" w:rsidRPr="000837FB" w:rsidRDefault="00550E7C" w:rsidP="00550E7C">
            <w:pPr>
              <w:spacing w:after="0" w:line="360" w:lineRule="auto"/>
              <w:jc w:val="right"/>
              <w:rPr>
                <w:rFonts w:eastAsia="Times New Roman" w:cstheme="minorHAnsi"/>
                <w:sz w:val="20"/>
                <w:szCs w:val="20"/>
              </w:rPr>
            </w:pPr>
            <w:r w:rsidRPr="000837FB">
              <w:rPr>
                <w:rFonts w:eastAsia="Times New Roman" w:cstheme="minorHAnsi"/>
                <w:sz w:val="20"/>
                <w:szCs w:val="20"/>
              </w:rPr>
              <w:t>Flow</w:t>
            </w:r>
          </w:p>
        </w:tc>
        <w:tc>
          <w:tcPr>
            <w:tcW w:w="931" w:type="dxa"/>
            <w:tcBorders>
              <w:top w:val="nil"/>
              <w:left w:val="nil"/>
              <w:bottom w:val="nil"/>
              <w:right w:val="nil"/>
            </w:tcBorders>
            <w:shd w:val="clear" w:color="auto" w:fill="auto"/>
            <w:noWrap/>
            <w:vAlign w:val="bottom"/>
            <w:hideMark/>
          </w:tcPr>
          <w:p w14:paraId="44E0286A" w14:textId="7BD88636" w:rsidR="00550E7C" w:rsidRPr="000837FB" w:rsidRDefault="00550E7C" w:rsidP="00550E7C">
            <w:pPr>
              <w:spacing w:after="0" w:line="360" w:lineRule="auto"/>
              <w:jc w:val="center"/>
              <w:rPr>
                <w:rFonts w:eastAsia="Times New Roman" w:cstheme="minorHAnsi"/>
                <w:sz w:val="20"/>
                <w:szCs w:val="20"/>
              </w:rPr>
            </w:pPr>
            <w:r>
              <w:rPr>
                <w:rFonts w:eastAsia="Times New Roman" w:cstheme="minorHAnsi"/>
                <w:sz w:val="20"/>
                <w:szCs w:val="20"/>
              </w:rPr>
              <w:t>L/min</w:t>
            </w:r>
          </w:p>
        </w:tc>
        <w:tc>
          <w:tcPr>
            <w:tcW w:w="1421" w:type="dxa"/>
            <w:tcBorders>
              <w:top w:val="nil"/>
              <w:left w:val="nil"/>
              <w:bottom w:val="nil"/>
              <w:right w:val="nil"/>
            </w:tcBorders>
            <w:shd w:val="clear" w:color="auto" w:fill="auto"/>
            <w:noWrap/>
            <w:vAlign w:val="bottom"/>
            <w:hideMark/>
          </w:tcPr>
          <w:p w14:paraId="667B561A" w14:textId="07BB19BA" w:rsidR="00550E7C" w:rsidRPr="000837FB" w:rsidRDefault="00550E7C" w:rsidP="00550E7C">
            <w:pPr>
              <w:spacing w:after="0" w:line="360" w:lineRule="auto"/>
              <w:jc w:val="center"/>
              <w:rPr>
                <w:rFonts w:eastAsia="Times New Roman" w:cstheme="minorHAnsi"/>
                <w:color w:val="000000"/>
                <w:sz w:val="20"/>
                <w:szCs w:val="20"/>
              </w:rPr>
            </w:pPr>
            <w:r>
              <w:rPr>
                <w:rFonts w:eastAsia="Times New Roman" w:cstheme="minorHAnsi"/>
                <w:color w:val="000000"/>
                <w:sz w:val="20"/>
                <w:szCs w:val="20"/>
              </w:rPr>
              <w:t>126</w:t>
            </w:r>
            <w:r w:rsidRPr="000837FB">
              <w:rPr>
                <w:rFonts w:eastAsia="Times New Roman" w:cstheme="minorHAnsi"/>
                <w:color w:val="000000"/>
                <w:sz w:val="20"/>
                <w:szCs w:val="20"/>
              </w:rPr>
              <w:t xml:space="preserve"> ± </w:t>
            </w:r>
            <w:r>
              <w:rPr>
                <w:rFonts w:eastAsia="Times New Roman" w:cstheme="minorHAnsi"/>
                <w:color w:val="000000"/>
                <w:sz w:val="20"/>
                <w:szCs w:val="20"/>
              </w:rPr>
              <w:t>130</w:t>
            </w:r>
          </w:p>
        </w:tc>
        <w:tc>
          <w:tcPr>
            <w:tcW w:w="1355" w:type="dxa"/>
            <w:tcBorders>
              <w:top w:val="nil"/>
              <w:left w:val="nil"/>
              <w:bottom w:val="nil"/>
              <w:right w:val="nil"/>
            </w:tcBorders>
            <w:shd w:val="clear" w:color="auto" w:fill="auto"/>
            <w:noWrap/>
            <w:vAlign w:val="bottom"/>
            <w:hideMark/>
          </w:tcPr>
          <w:p w14:paraId="24A31D5B" w14:textId="2879406C" w:rsidR="00550E7C" w:rsidRPr="000837FB" w:rsidRDefault="002C5990" w:rsidP="00550E7C">
            <w:pPr>
              <w:spacing w:after="0" w:line="360" w:lineRule="auto"/>
              <w:jc w:val="center"/>
              <w:rPr>
                <w:rFonts w:eastAsia="Times New Roman" w:cstheme="minorHAnsi"/>
                <w:color w:val="000000"/>
                <w:sz w:val="20"/>
                <w:szCs w:val="20"/>
              </w:rPr>
            </w:pPr>
            <w:r>
              <w:rPr>
                <w:rFonts w:eastAsia="Times New Roman" w:cstheme="minorHAnsi"/>
                <w:color w:val="000000"/>
                <w:sz w:val="20"/>
                <w:szCs w:val="20"/>
              </w:rPr>
              <w:t>1310 ± 2005</w:t>
            </w:r>
          </w:p>
        </w:tc>
        <w:tc>
          <w:tcPr>
            <w:tcW w:w="1690" w:type="dxa"/>
            <w:tcBorders>
              <w:top w:val="nil"/>
              <w:left w:val="nil"/>
              <w:bottom w:val="nil"/>
              <w:right w:val="nil"/>
            </w:tcBorders>
            <w:shd w:val="clear" w:color="auto" w:fill="auto"/>
            <w:noWrap/>
            <w:vAlign w:val="bottom"/>
            <w:hideMark/>
          </w:tcPr>
          <w:p w14:paraId="20A9F3D8" w14:textId="15067D66" w:rsidR="00550E7C" w:rsidRPr="000837FB" w:rsidRDefault="002C5990" w:rsidP="002C5990">
            <w:pPr>
              <w:spacing w:after="0" w:line="360" w:lineRule="auto"/>
              <w:jc w:val="center"/>
              <w:rPr>
                <w:rFonts w:eastAsia="Times New Roman" w:cstheme="minorHAnsi"/>
                <w:color w:val="000000"/>
                <w:sz w:val="20"/>
                <w:szCs w:val="20"/>
              </w:rPr>
            </w:pPr>
            <w:r>
              <w:rPr>
                <w:rFonts w:eastAsia="Times New Roman" w:cstheme="minorHAnsi"/>
                <w:color w:val="000000"/>
                <w:sz w:val="20"/>
                <w:szCs w:val="20"/>
              </w:rPr>
              <w:t>868</w:t>
            </w:r>
            <w:r w:rsidR="00550E7C" w:rsidRPr="000837FB">
              <w:rPr>
                <w:rFonts w:eastAsia="Times New Roman" w:cstheme="minorHAnsi"/>
                <w:color w:val="000000"/>
                <w:sz w:val="20"/>
                <w:szCs w:val="20"/>
              </w:rPr>
              <w:t xml:space="preserve"> ± </w:t>
            </w:r>
            <w:r>
              <w:rPr>
                <w:rFonts w:eastAsia="Times New Roman" w:cstheme="minorHAnsi"/>
                <w:color w:val="000000"/>
                <w:sz w:val="20"/>
                <w:szCs w:val="20"/>
              </w:rPr>
              <w:t>1217</w:t>
            </w:r>
          </w:p>
        </w:tc>
        <w:tc>
          <w:tcPr>
            <w:tcW w:w="1690" w:type="dxa"/>
            <w:tcBorders>
              <w:top w:val="nil"/>
              <w:left w:val="nil"/>
              <w:bottom w:val="nil"/>
              <w:right w:val="nil"/>
            </w:tcBorders>
            <w:shd w:val="clear" w:color="auto" w:fill="auto"/>
            <w:noWrap/>
            <w:vAlign w:val="bottom"/>
            <w:hideMark/>
          </w:tcPr>
          <w:p w14:paraId="32FC5965" w14:textId="6D07FC05" w:rsidR="00550E7C" w:rsidRPr="000837FB" w:rsidRDefault="002C5990" w:rsidP="002C5990">
            <w:pPr>
              <w:spacing w:after="0" w:line="360" w:lineRule="auto"/>
              <w:jc w:val="center"/>
              <w:rPr>
                <w:rFonts w:eastAsia="Times New Roman" w:cstheme="minorHAnsi"/>
                <w:color w:val="000000"/>
                <w:sz w:val="20"/>
                <w:szCs w:val="20"/>
              </w:rPr>
            </w:pPr>
            <w:r>
              <w:rPr>
                <w:rFonts w:eastAsia="Times New Roman" w:cstheme="minorHAnsi"/>
                <w:color w:val="000000"/>
                <w:sz w:val="20"/>
                <w:szCs w:val="20"/>
              </w:rPr>
              <w:t>1937</w:t>
            </w:r>
            <w:r w:rsidR="00550E7C" w:rsidRPr="000837FB">
              <w:rPr>
                <w:rFonts w:eastAsia="Times New Roman" w:cstheme="minorHAnsi"/>
                <w:color w:val="000000"/>
                <w:sz w:val="20"/>
                <w:szCs w:val="20"/>
              </w:rPr>
              <w:t xml:space="preserve"> ± </w:t>
            </w:r>
            <w:r>
              <w:rPr>
                <w:rFonts w:eastAsia="Times New Roman" w:cstheme="minorHAnsi"/>
                <w:color w:val="000000"/>
                <w:sz w:val="20"/>
                <w:szCs w:val="20"/>
              </w:rPr>
              <w:t>2090</w:t>
            </w:r>
          </w:p>
        </w:tc>
      </w:tr>
      <w:tr w:rsidR="00550E7C" w:rsidRPr="000837FB" w14:paraId="361D2747" w14:textId="77777777" w:rsidTr="00550E7C">
        <w:trPr>
          <w:trHeight w:val="255"/>
        </w:trPr>
        <w:tc>
          <w:tcPr>
            <w:tcW w:w="1229" w:type="dxa"/>
            <w:tcBorders>
              <w:top w:val="nil"/>
              <w:left w:val="nil"/>
              <w:bottom w:val="nil"/>
              <w:right w:val="nil"/>
            </w:tcBorders>
            <w:shd w:val="clear" w:color="auto" w:fill="auto"/>
            <w:noWrap/>
            <w:vAlign w:val="bottom"/>
            <w:hideMark/>
          </w:tcPr>
          <w:p w14:paraId="57D58839" w14:textId="77777777" w:rsidR="00550E7C" w:rsidRPr="000837FB" w:rsidRDefault="00550E7C" w:rsidP="00550E7C">
            <w:pPr>
              <w:spacing w:after="0" w:line="360" w:lineRule="auto"/>
              <w:jc w:val="right"/>
              <w:rPr>
                <w:rFonts w:eastAsia="Times New Roman" w:cstheme="minorHAnsi"/>
                <w:sz w:val="20"/>
                <w:szCs w:val="20"/>
              </w:rPr>
            </w:pPr>
            <w:r w:rsidRPr="000837FB">
              <w:rPr>
                <w:rFonts w:eastAsia="Times New Roman" w:cstheme="minorHAnsi"/>
                <w:sz w:val="20"/>
                <w:szCs w:val="20"/>
              </w:rPr>
              <w:t>Turbidity</w:t>
            </w:r>
          </w:p>
        </w:tc>
        <w:tc>
          <w:tcPr>
            <w:tcW w:w="931" w:type="dxa"/>
            <w:tcBorders>
              <w:top w:val="nil"/>
              <w:left w:val="nil"/>
              <w:bottom w:val="nil"/>
              <w:right w:val="nil"/>
            </w:tcBorders>
            <w:shd w:val="clear" w:color="auto" w:fill="auto"/>
            <w:noWrap/>
            <w:vAlign w:val="bottom"/>
            <w:hideMark/>
          </w:tcPr>
          <w:p w14:paraId="35D7E98B"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NTU</w:t>
            </w:r>
          </w:p>
        </w:tc>
        <w:tc>
          <w:tcPr>
            <w:tcW w:w="1421" w:type="dxa"/>
            <w:tcBorders>
              <w:top w:val="nil"/>
              <w:left w:val="nil"/>
              <w:bottom w:val="nil"/>
              <w:right w:val="nil"/>
            </w:tcBorders>
            <w:shd w:val="clear" w:color="auto" w:fill="auto"/>
            <w:noWrap/>
            <w:vAlign w:val="bottom"/>
            <w:hideMark/>
          </w:tcPr>
          <w:p w14:paraId="3727567C"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6.66 ± 6.17</w:t>
            </w:r>
          </w:p>
        </w:tc>
        <w:tc>
          <w:tcPr>
            <w:tcW w:w="1355" w:type="dxa"/>
            <w:tcBorders>
              <w:top w:val="nil"/>
              <w:left w:val="nil"/>
              <w:bottom w:val="nil"/>
              <w:right w:val="nil"/>
            </w:tcBorders>
            <w:shd w:val="clear" w:color="auto" w:fill="auto"/>
            <w:noWrap/>
            <w:vAlign w:val="bottom"/>
            <w:hideMark/>
          </w:tcPr>
          <w:p w14:paraId="7B2D967B"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6.72 ± 6.22</w:t>
            </w:r>
          </w:p>
        </w:tc>
        <w:tc>
          <w:tcPr>
            <w:tcW w:w="1690" w:type="dxa"/>
            <w:tcBorders>
              <w:top w:val="nil"/>
              <w:left w:val="nil"/>
              <w:bottom w:val="nil"/>
              <w:right w:val="nil"/>
            </w:tcBorders>
            <w:shd w:val="clear" w:color="auto" w:fill="auto"/>
            <w:noWrap/>
            <w:vAlign w:val="bottom"/>
            <w:hideMark/>
          </w:tcPr>
          <w:p w14:paraId="1EF2D8CF"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17.7 ± 6.6</w:t>
            </w:r>
          </w:p>
        </w:tc>
        <w:tc>
          <w:tcPr>
            <w:tcW w:w="1690" w:type="dxa"/>
            <w:tcBorders>
              <w:top w:val="nil"/>
              <w:left w:val="nil"/>
              <w:bottom w:val="nil"/>
              <w:right w:val="nil"/>
            </w:tcBorders>
            <w:shd w:val="clear" w:color="auto" w:fill="auto"/>
            <w:noWrap/>
            <w:vAlign w:val="bottom"/>
            <w:hideMark/>
          </w:tcPr>
          <w:p w14:paraId="657434DE"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26.7 ± 9.6</w:t>
            </w:r>
          </w:p>
        </w:tc>
      </w:tr>
      <w:tr w:rsidR="00550E7C" w:rsidRPr="000837FB" w14:paraId="78A97DC5" w14:textId="77777777" w:rsidTr="00550E7C">
        <w:trPr>
          <w:trHeight w:val="255"/>
        </w:trPr>
        <w:tc>
          <w:tcPr>
            <w:tcW w:w="1229" w:type="dxa"/>
            <w:tcBorders>
              <w:top w:val="nil"/>
              <w:left w:val="nil"/>
              <w:right w:val="nil"/>
            </w:tcBorders>
            <w:shd w:val="clear" w:color="auto" w:fill="auto"/>
            <w:noWrap/>
            <w:vAlign w:val="bottom"/>
            <w:hideMark/>
          </w:tcPr>
          <w:p w14:paraId="1778A796" w14:textId="77777777" w:rsidR="00550E7C" w:rsidRPr="000837FB" w:rsidRDefault="00550E7C" w:rsidP="00550E7C">
            <w:pPr>
              <w:spacing w:after="0" w:line="360" w:lineRule="auto"/>
              <w:jc w:val="right"/>
              <w:rPr>
                <w:rFonts w:eastAsia="Times New Roman" w:cstheme="minorHAnsi"/>
                <w:sz w:val="20"/>
                <w:szCs w:val="20"/>
              </w:rPr>
            </w:pPr>
            <w:r w:rsidRPr="000837FB">
              <w:rPr>
                <w:rFonts w:eastAsia="Times New Roman" w:cstheme="minorHAnsi"/>
                <w:sz w:val="20"/>
                <w:szCs w:val="20"/>
              </w:rPr>
              <w:t>Sulfate</w:t>
            </w:r>
          </w:p>
        </w:tc>
        <w:tc>
          <w:tcPr>
            <w:tcW w:w="931" w:type="dxa"/>
            <w:tcBorders>
              <w:top w:val="nil"/>
              <w:left w:val="nil"/>
              <w:right w:val="nil"/>
            </w:tcBorders>
            <w:shd w:val="clear" w:color="auto" w:fill="auto"/>
            <w:noWrap/>
            <w:vAlign w:val="bottom"/>
            <w:hideMark/>
          </w:tcPr>
          <w:p w14:paraId="0AC1E256" w14:textId="77777777" w:rsidR="00550E7C" w:rsidRPr="000837FB" w:rsidRDefault="00550E7C" w:rsidP="00550E7C">
            <w:pPr>
              <w:spacing w:after="0" w:line="360" w:lineRule="auto"/>
              <w:jc w:val="center"/>
              <w:rPr>
                <w:rFonts w:eastAsia="Times New Roman" w:cstheme="minorHAnsi"/>
                <w:sz w:val="20"/>
                <w:szCs w:val="20"/>
              </w:rPr>
            </w:pPr>
            <w:r w:rsidRPr="000837FB">
              <w:rPr>
                <w:rFonts w:eastAsia="Times New Roman" w:cstheme="minorHAnsi"/>
                <w:sz w:val="20"/>
                <w:szCs w:val="20"/>
              </w:rPr>
              <w:t>mg/L</w:t>
            </w:r>
          </w:p>
        </w:tc>
        <w:tc>
          <w:tcPr>
            <w:tcW w:w="1421" w:type="dxa"/>
            <w:tcBorders>
              <w:top w:val="nil"/>
              <w:left w:val="nil"/>
              <w:right w:val="nil"/>
            </w:tcBorders>
            <w:shd w:val="clear" w:color="auto" w:fill="auto"/>
            <w:noWrap/>
            <w:vAlign w:val="bottom"/>
            <w:hideMark/>
          </w:tcPr>
          <w:p w14:paraId="4B14C399"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2218 ± 427</w:t>
            </w:r>
          </w:p>
        </w:tc>
        <w:tc>
          <w:tcPr>
            <w:tcW w:w="1355" w:type="dxa"/>
            <w:tcBorders>
              <w:top w:val="nil"/>
              <w:left w:val="nil"/>
              <w:right w:val="nil"/>
            </w:tcBorders>
            <w:shd w:val="clear" w:color="auto" w:fill="auto"/>
            <w:noWrap/>
            <w:vAlign w:val="bottom"/>
            <w:hideMark/>
          </w:tcPr>
          <w:p w14:paraId="76A0B3EC"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1621 ± 755</w:t>
            </w:r>
          </w:p>
        </w:tc>
        <w:tc>
          <w:tcPr>
            <w:tcW w:w="1690" w:type="dxa"/>
            <w:tcBorders>
              <w:top w:val="nil"/>
              <w:left w:val="nil"/>
              <w:right w:val="nil"/>
            </w:tcBorders>
            <w:shd w:val="clear" w:color="auto" w:fill="auto"/>
            <w:noWrap/>
            <w:vAlign w:val="bottom"/>
            <w:hideMark/>
          </w:tcPr>
          <w:p w14:paraId="0E2361CB"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1621 ± 765</w:t>
            </w:r>
          </w:p>
        </w:tc>
        <w:tc>
          <w:tcPr>
            <w:tcW w:w="1690" w:type="dxa"/>
            <w:tcBorders>
              <w:top w:val="nil"/>
              <w:left w:val="nil"/>
              <w:right w:val="nil"/>
            </w:tcBorders>
            <w:shd w:val="clear" w:color="auto" w:fill="auto"/>
            <w:noWrap/>
            <w:vAlign w:val="bottom"/>
            <w:hideMark/>
          </w:tcPr>
          <w:p w14:paraId="7E6B625D"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1416 ± 752</w:t>
            </w:r>
          </w:p>
        </w:tc>
      </w:tr>
      <w:tr w:rsidR="00550E7C" w:rsidRPr="000837FB" w14:paraId="18F15B02" w14:textId="77777777" w:rsidTr="00550E7C">
        <w:trPr>
          <w:trHeight w:val="570"/>
        </w:trPr>
        <w:tc>
          <w:tcPr>
            <w:tcW w:w="1229" w:type="dxa"/>
            <w:tcBorders>
              <w:top w:val="nil"/>
              <w:left w:val="nil"/>
              <w:bottom w:val="single" w:sz="4" w:space="0" w:color="auto"/>
              <w:right w:val="nil"/>
            </w:tcBorders>
            <w:shd w:val="clear" w:color="auto" w:fill="auto"/>
            <w:noWrap/>
            <w:vAlign w:val="center"/>
            <w:hideMark/>
          </w:tcPr>
          <w:p w14:paraId="194AF5AA" w14:textId="77777777" w:rsidR="00550E7C" w:rsidRPr="000837FB" w:rsidRDefault="00550E7C" w:rsidP="00550E7C">
            <w:pPr>
              <w:spacing w:after="0" w:line="360" w:lineRule="auto"/>
              <w:jc w:val="right"/>
              <w:rPr>
                <w:rFonts w:eastAsia="Times New Roman" w:cstheme="minorHAnsi"/>
                <w:sz w:val="20"/>
                <w:szCs w:val="20"/>
              </w:rPr>
            </w:pPr>
            <w:r w:rsidRPr="000837FB">
              <w:rPr>
                <w:rFonts w:eastAsia="Times New Roman" w:cstheme="minorHAnsi"/>
                <w:sz w:val="20"/>
                <w:szCs w:val="20"/>
              </w:rPr>
              <w:t>Alkalinity</w:t>
            </w:r>
          </w:p>
        </w:tc>
        <w:tc>
          <w:tcPr>
            <w:tcW w:w="931" w:type="dxa"/>
            <w:tcBorders>
              <w:top w:val="nil"/>
              <w:left w:val="nil"/>
              <w:bottom w:val="single" w:sz="4" w:space="0" w:color="auto"/>
              <w:right w:val="nil"/>
            </w:tcBorders>
            <w:shd w:val="clear" w:color="auto" w:fill="auto"/>
            <w:vAlign w:val="center"/>
            <w:hideMark/>
          </w:tcPr>
          <w:p w14:paraId="6BBF416A" w14:textId="77777777" w:rsidR="00550E7C" w:rsidRPr="000837FB" w:rsidRDefault="00550E7C" w:rsidP="002C5990">
            <w:pPr>
              <w:spacing w:after="0" w:line="240" w:lineRule="auto"/>
              <w:jc w:val="center"/>
              <w:rPr>
                <w:rFonts w:eastAsia="Times New Roman" w:cstheme="minorHAnsi"/>
                <w:sz w:val="20"/>
                <w:szCs w:val="20"/>
              </w:rPr>
            </w:pPr>
            <w:r w:rsidRPr="000837FB">
              <w:rPr>
                <w:rFonts w:eastAsia="Times New Roman" w:cstheme="minorHAnsi"/>
                <w:sz w:val="20"/>
                <w:szCs w:val="20"/>
              </w:rPr>
              <w:t>mg/L</w:t>
            </w:r>
            <w:r w:rsidRPr="000837FB">
              <w:rPr>
                <w:rFonts w:eastAsia="Times New Roman" w:cstheme="minorHAnsi"/>
                <w:sz w:val="20"/>
                <w:szCs w:val="20"/>
                <w:vertAlign w:val="subscript"/>
              </w:rPr>
              <w:t xml:space="preserve"> </w:t>
            </w:r>
            <w:r w:rsidRPr="000837FB">
              <w:rPr>
                <w:rFonts w:eastAsia="Times New Roman" w:cstheme="minorHAnsi"/>
                <w:sz w:val="20"/>
                <w:szCs w:val="20"/>
              </w:rPr>
              <w:t>CaCO</w:t>
            </w:r>
            <w:r w:rsidRPr="000837FB">
              <w:rPr>
                <w:rFonts w:eastAsia="Times New Roman" w:cstheme="minorHAnsi"/>
                <w:sz w:val="20"/>
                <w:szCs w:val="20"/>
                <w:vertAlign w:val="subscript"/>
              </w:rPr>
              <w:t>3</w:t>
            </w:r>
            <w:r w:rsidRPr="000837FB">
              <w:rPr>
                <w:rFonts w:eastAsia="Times New Roman" w:cstheme="minorHAnsi"/>
                <w:sz w:val="20"/>
                <w:szCs w:val="20"/>
              </w:rPr>
              <w:t xml:space="preserve"> eq.</w:t>
            </w:r>
          </w:p>
        </w:tc>
        <w:tc>
          <w:tcPr>
            <w:tcW w:w="1421" w:type="dxa"/>
            <w:tcBorders>
              <w:top w:val="nil"/>
              <w:left w:val="nil"/>
              <w:bottom w:val="single" w:sz="4" w:space="0" w:color="auto"/>
              <w:right w:val="nil"/>
            </w:tcBorders>
            <w:shd w:val="clear" w:color="auto" w:fill="auto"/>
            <w:noWrap/>
            <w:vAlign w:val="center"/>
            <w:hideMark/>
          </w:tcPr>
          <w:p w14:paraId="233D645D"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405 ± 15</w:t>
            </w:r>
          </w:p>
        </w:tc>
        <w:tc>
          <w:tcPr>
            <w:tcW w:w="1355" w:type="dxa"/>
            <w:tcBorders>
              <w:top w:val="nil"/>
              <w:left w:val="nil"/>
              <w:bottom w:val="single" w:sz="4" w:space="0" w:color="auto"/>
              <w:right w:val="nil"/>
            </w:tcBorders>
            <w:shd w:val="clear" w:color="auto" w:fill="auto"/>
            <w:noWrap/>
            <w:vAlign w:val="center"/>
            <w:hideMark/>
          </w:tcPr>
          <w:p w14:paraId="05400A26"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298 ± 112</w:t>
            </w:r>
          </w:p>
        </w:tc>
        <w:tc>
          <w:tcPr>
            <w:tcW w:w="1690" w:type="dxa"/>
            <w:tcBorders>
              <w:top w:val="nil"/>
              <w:left w:val="nil"/>
              <w:bottom w:val="single" w:sz="4" w:space="0" w:color="auto"/>
              <w:right w:val="nil"/>
            </w:tcBorders>
            <w:shd w:val="clear" w:color="auto" w:fill="auto"/>
            <w:noWrap/>
            <w:vAlign w:val="center"/>
            <w:hideMark/>
          </w:tcPr>
          <w:p w14:paraId="04D1F66D"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122 ± 47</w:t>
            </w:r>
          </w:p>
        </w:tc>
        <w:tc>
          <w:tcPr>
            <w:tcW w:w="1690" w:type="dxa"/>
            <w:tcBorders>
              <w:top w:val="nil"/>
              <w:left w:val="nil"/>
              <w:bottom w:val="single" w:sz="4" w:space="0" w:color="auto"/>
              <w:right w:val="nil"/>
            </w:tcBorders>
            <w:shd w:val="clear" w:color="auto" w:fill="auto"/>
            <w:noWrap/>
            <w:vAlign w:val="center"/>
            <w:hideMark/>
          </w:tcPr>
          <w:p w14:paraId="05E763EE" w14:textId="77777777" w:rsidR="00550E7C" w:rsidRPr="000837FB" w:rsidRDefault="00550E7C" w:rsidP="00550E7C">
            <w:pPr>
              <w:spacing w:after="0" w:line="360" w:lineRule="auto"/>
              <w:jc w:val="center"/>
              <w:rPr>
                <w:rFonts w:eastAsia="Times New Roman" w:cstheme="minorHAnsi"/>
                <w:color w:val="000000"/>
                <w:sz w:val="20"/>
                <w:szCs w:val="20"/>
              </w:rPr>
            </w:pPr>
            <w:r w:rsidRPr="000837FB">
              <w:rPr>
                <w:rFonts w:eastAsia="Times New Roman" w:cstheme="minorHAnsi"/>
                <w:color w:val="000000"/>
                <w:sz w:val="20"/>
                <w:szCs w:val="20"/>
              </w:rPr>
              <w:t>250 ± 103</w:t>
            </w:r>
          </w:p>
        </w:tc>
      </w:tr>
    </w:tbl>
    <w:p w14:paraId="7E3D2261" w14:textId="77777777" w:rsidR="00550E7C" w:rsidRPr="000837FB" w:rsidRDefault="00550E7C" w:rsidP="00550E7C">
      <w:pPr>
        <w:spacing w:line="360" w:lineRule="auto"/>
        <w:jc w:val="both"/>
        <w:rPr>
          <w:rFonts w:cstheme="minorHAnsi"/>
          <w:sz w:val="20"/>
          <w:szCs w:val="20"/>
        </w:rPr>
      </w:pPr>
      <w:r w:rsidRPr="000837FB">
        <w:rPr>
          <w:rFonts w:cstheme="minorHAnsi"/>
          <w:sz w:val="20"/>
          <w:szCs w:val="20"/>
        </w:rPr>
        <w:t>*single value above the detection limit for the dataset</w:t>
      </w:r>
    </w:p>
    <w:p w14:paraId="1248A308" w14:textId="77777777" w:rsidR="00D95E5B" w:rsidRDefault="00C122D9" w:rsidP="009F7B64">
      <w:pPr>
        <w:jc w:val="both"/>
        <w:rPr>
          <w:sz w:val="20"/>
        </w:rPr>
      </w:pPr>
      <w:r w:rsidRPr="00A20824">
        <w:rPr>
          <w:rFonts w:cs="Arial"/>
          <w:noProof/>
        </w:rPr>
        <w:lastRenderedPageBreak/>
        <w:drawing>
          <wp:inline distT="0" distB="0" distL="0" distR="0" wp14:anchorId="4C7C017C" wp14:editId="4C51BF26">
            <wp:extent cx="5253990" cy="2617470"/>
            <wp:effectExtent l="0" t="0" r="3810" b="0"/>
            <wp:docPr id="37" name="Picture 37" descr="http://itrcweb.org/bcr-1/Content/Resources/Images/Fig%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trcweb.org/bcr-1/Content/Resources/Images/Fig%201-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3990" cy="2617470"/>
                    </a:xfrm>
                    <a:prstGeom prst="rect">
                      <a:avLst/>
                    </a:prstGeom>
                    <a:noFill/>
                    <a:ln>
                      <a:noFill/>
                    </a:ln>
                  </pic:spPr>
                </pic:pic>
              </a:graphicData>
            </a:graphic>
          </wp:inline>
        </w:drawing>
      </w:r>
    </w:p>
    <w:p w14:paraId="07A32B53" w14:textId="37C60E2E" w:rsidR="009F7B64" w:rsidRDefault="009F7B64" w:rsidP="004F4017">
      <w:pPr>
        <w:pStyle w:val="Heading3"/>
        <w:jc w:val="both"/>
      </w:pPr>
      <w:r w:rsidRPr="00322A1B">
        <w:t>Figure 1</w:t>
      </w:r>
      <w:r>
        <w:t>.1</w:t>
      </w:r>
      <w:r w:rsidRPr="00322A1B">
        <w:t>:</w:t>
      </w:r>
      <w:r w:rsidRPr="00322A1B">
        <w:rPr>
          <w:noProof/>
        </w:rPr>
        <w:t xml:space="preserve"> Mayer Ranch Passive Treatment System (MRPTS) Cell Configuration with alpha numeric cell designations indicated</w:t>
      </w:r>
      <w:r w:rsidRPr="00322A1B">
        <w:t>: C1 (oxidation/sedimentation), C2N</w:t>
      </w:r>
      <w:r>
        <w:t>/</w:t>
      </w:r>
      <w:r w:rsidRPr="00322A1B">
        <w:t>S (surface flow wetlands), C3N</w:t>
      </w:r>
      <w:r>
        <w:t>/</w:t>
      </w:r>
      <w:r w:rsidRPr="00322A1B">
        <w:t>S (vertical flow bioreactors), C4N</w:t>
      </w:r>
      <w:r>
        <w:t>/</w:t>
      </w:r>
      <w:r w:rsidRPr="00322A1B">
        <w:t>S (re-aeration ponds), C5N/S (horizontal flow limestone beds), and C6 (polishing wetland for consolidated flow prior to effluent discharge</w:t>
      </w:r>
      <w:r>
        <w:t xml:space="preserve"> to an unnamed tributary of Tar Creek</w:t>
      </w:r>
      <w:r w:rsidRPr="00322A1B">
        <w:t>).</w:t>
      </w:r>
      <w:r w:rsidR="002C5990">
        <w:t xml:space="preserve"> Photo from February 2009.</w:t>
      </w:r>
    </w:p>
    <w:p w14:paraId="19C1B239" w14:textId="77777777" w:rsidR="004F4017" w:rsidRPr="004F4017" w:rsidRDefault="004F4017" w:rsidP="004F4017"/>
    <w:p w14:paraId="52B51526" w14:textId="71D548E9" w:rsidR="002C5990" w:rsidRPr="002C5990" w:rsidRDefault="002C5990" w:rsidP="002C5990">
      <w:pPr>
        <w:pStyle w:val="Heading3"/>
        <w:rPr>
          <w:rFonts w:asciiTheme="minorHAnsi" w:hAnsiTheme="minorHAnsi" w:cstheme="minorHAnsi"/>
          <w:szCs w:val="20"/>
        </w:rPr>
      </w:pPr>
      <w:r w:rsidRPr="002C5990">
        <w:rPr>
          <w:rFonts w:asciiTheme="minorHAnsi" w:hAnsiTheme="minorHAnsi" w:cstheme="minorHAnsi"/>
          <w:szCs w:val="20"/>
        </w:rPr>
        <w:t>Table 1.3: Mayer Ranch Passive Treatment System Summary of Cell Form and Function (Design)</w:t>
      </w:r>
      <w:r>
        <w:rPr>
          <w:rFonts w:asciiTheme="minorHAnsi" w:hAnsiTheme="minorHAnsi" w:cstheme="minorHAnsi"/>
          <w:szCs w:val="20"/>
        </w:rPr>
        <w:t xml:space="preserve"> with hydraulic retention times per unit in parallel trains (for half of the influent flow)</w:t>
      </w:r>
    </w:p>
    <w:tbl>
      <w:tblPr>
        <w:tblW w:w="8280" w:type="dxa"/>
        <w:tblLayout w:type="fixed"/>
        <w:tblLook w:val="04A0" w:firstRow="1" w:lastRow="0" w:firstColumn="1" w:lastColumn="0" w:noHBand="0" w:noVBand="1"/>
      </w:tblPr>
      <w:tblGrid>
        <w:gridCol w:w="796"/>
        <w:gridCol w:w="3524"/>
        <w:gridCol w:w="1620"/>
        <w:gridCol w:w="1080"/>
        <w:gridCol w:w="1260"/>
      </w:tblGrid>
      <w:tr w:rsidR="002C5990" w:rsidRPr="002C5990" w14:paraId="54D21698" w14:textId="77777777" w:rsidTr="006F27F7">
        <w:trPr>
          <w:trHeight w:val="782"/>
        </w:trPr>
        <w:tc>
          <w:tcPr>
            <w:tcW w:w="796" w:type="dxa"/>
            <w:tcBorders>
              <w:top w:val="single" w:sz="4" w:space="0" w:color="auto"/>
              <w:left w:val="nil"/>
              <w:bottom w:val="double" w:sz="6" w:space="0" w:color="auto"/>
              <w:right w:val="nil"/>
            </w:tcBorders>
            <w:shd w:val="clear" w:color="auto" w:fill="auto"/>
            <w:vAlign w:val="center"/>
            <w:hideMark/>
          </w:tcPr>
          <w:p w14:paraId="07F93231" w14:textId="77777777" w:rsidR="002C5990" w:rsidRPr="002C5990" w:rsidRDefault="002C5990" w:rsidP="006F27F7">
            <w:pPr>
              <w:spacing w:after="0" w:line="240" w:lineRule="auto"/>
              <w:rPr>
                <w:rFonts w:eastAsia="Times New Roman" w:cstheme="minorHAnsi"/>
                <w:sz w:val="20"/>
                <w:szCs w:val="20"/>
              </w:rPr>
            </w:pPr>
            <w:r w:rsidRPr="002C5990">
              <w:rPr>
                <w:rFonts w:eastAsia="Times New Roman" w:cstheme="minorHAnsi"/>
                <w:iCs/>
                <w:sz w:val="20"/>
                <w:szCs w:val="20"/>
              </w:rPr>
              <w:t>Cell(s)</w:t>
            </w:r>
          </w:p>
        </w:tc>
        <w:tc>
          <w:tcPr>
            <w:tcW w:w="3524" w:type="dxa"/>
            <w:tcBorders>
              <w:top w:val="single" w:sz="4" w:space="0" w:color="auto"/>
              <w:left w:val="nil"/>
              <w:bottom w:val="double" w:sz="6" w:space="0" w:color="auto"/>
              <w:right w:val="nil"/>
            </w:tcBorders>
            <w:shd w:val="clear" w:color="auto" w:fill="auto"/>
            <w:vAlign w:val="center"/>
            <w:hideMark/>
          </w:tcPr>
          <w:p w14:paraId="7E073E0A"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Cell Description</w:t>
            </w:r>
          </w:p>
        </w:tc>
        <w:tc>
          <w:tcPr>
            <w:tcW w:w="1620" w:type="dxa"/>
            <w:tcBorders>
              <w:top w:val="single" w:sz="4" w:space="0" w:color="auto"/>
              <w:left w:val="nil"/>
              <w:bottom w:val="double" w:sz="6" w:space="0" w:color="auto"/>
              <w:right w:val="nil"/>
            </w:tcBorders>
            <w:shd w:val="clear" w:color="auto" w:fill="auto"/>
            <w:vAlign w:val="center"/>
            <w:hideMark/>
          </w:tcPr>
          <w:p w14:paraId="76E40755"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Targeted Parameter</w:t>
            </w:r>
          </w:p>
        </w:tc>
        <w:tc>
          <w:tcPr>
            <w:tcW w:w="1080" w:type="dxa"/>
            <w:tcBorders>
              <w:top w:val="single" w:sz="4" w:space="0" w:color="auto"/>
              <w:left w:val="nil"/>
              <w:bottom w:val="double" w:sz="6" w:space="0" w:color="auto"/>
              <w:right w:val="nil"/>
            </w:tcBorders>
            <w:shd w:val="clear" w:color="auto" w:fill="auto"/>
            <w:vAlign w:val="center"/>
            <w:hideMark/>
          </w:tcPr>
          <w:p w14:paraId="24FA31E8"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Surface Area (m</w:t>
            </w:r>
            <w:r w:rsidRPr="002C5990">
              <w:rPr>
                <w:rFonts w:eastAsia="Times New Roman" w:cstheme="minorHAnsi"/>
                <w:sz w:val="20"/>
                <w:szCs w:val="20"/>
                <w:vertAlign w:val="superscript"/>
              </w:rPr>
              <w:t>2</w:t>
            </w:r>
            <w:r w:rsidRPr="002C5990">
              <w:rPr>
                <w:rFonts w:eastAsia="Times New Roman" w:cstheme="minorHAnsi"/>
                <w:sz w:val="20"/>
                <w:szCs w:val="20"/>
              </w:rPr>
              <w:t>)</w:t>
            </w:r>
          </w:p>
        </w:tc>
        <w:tc>
          <w:tcPr>
            <w:tcW w:w="1260" w:type="dxa"/>
            <w:tcBorders>
              <w:top w:val="single" w:sz="4" w:space="0" w:color="auto"/>
              <w:left w:val="nil"/>
              <w:bottom w:val="double" w:sz="6" w:space="0" w:color="auto"/>
              <w:right w:val="nil"/>
            </w:tcBorders>
            <w:shd w:val="clear" w:color="auto" w:fill="auto"/>
            <w:vAlign w:val="center"/>
            <w:hideMark/>
          </w:tcPr>
          <w:p w14:paraId="2D5945A8"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Design Retention Time</w:t>
            </w:r>
          </w:p>
        </w:tc>
      </w:tr>
      <w:tr w:rsidR="002C5990" w:rsidRPr="002C5990" w14:paraId="1636CA66" w14:textId="77777777" w:rsidTr="006F27F7">
        <w:trPr>
          <w:trHeight w:val="780"/>
        </w:trPr>
        <w:tc>
          <w:tcPr>
            <w:tcW w:w="796" w:type="dxa"/>
            <w:tcBorders>
              <w:top w:val="nil"/>
              <w:left w:val="nil"/>
              <w:bottom w:val="nil"/>
              <w:right w:val="nil"/>
            </w:tcBorders>
            <w:shd w:val="clear" w:color="auto" w:fill="auto"/>
            <w:vAlign w:val="center"/>
            <w:hideMark/>
          </w:tcPr>
          <w:p w14:paraId="1AB9B9E2"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1</w:t>
            </w:r>
          </w:p>
        </w:tc>
        <w:tc>
          <w:tcPr>
            <w:tcW w:w="3524" w:type="dxa"/>
            <w:tcBorders>
              <w:top w:val="nil"/>
              <w:left w:val="nil"/>
              <w:bottom w:val="nil"/>
              <w:right w:val="nil"/>
            </w:tcBorders>
            <w:shd w:val="clear" w:color="auto" w:fill="auto"/>
            <w:vAlign w:val="center"/>
            <w:hideMark/>
          </w:tcPr>
          <w:p w14:paraId="621CE5D2" w14:textId="77777777" w:rsidR="002C5990" w:rsidRPr="002C5990" w:rsidRDefault="002C5990" w:rsidP="006F27F7">
            <w:pPr>
              <w:spacing w:after="0" w:line="240" w:lineRule="auto"/>
              <w:jc w:val="both"/>
              <w:rPr>
                <w:rFonts w:eastAsia="Times New Roman" w:cstheme="minorHAnsi"/>
                <w:sz w:val="20"/>
                <w:szCs w:val="20"/>
              </w:rPr>
            </w:pPr>
            <w:r w:rsidRPr="002C5990">
              <w:rPr>
                <w:rFonts w:eastAsia="Times New Roman" w:cstheme="minorHAnsi"/>
                <w:sz w:val="20"/>
                <w:szCs w:val="20"/>
              </w:rPr>
              <w:t>Preliminary Iron Oxidation and Sedimentation Basin</w:t>
            </w:r>
          </w:p>
        </w:tc>
        <w:tc>
          <w:tcPr>
            <w:tcW w:w="1620" w:type="dxa"/>
            <w:tcBorders>
              <w:top w:val="nil"/>
              <w:left w:val="nil"/>
              <w:bottom w:val="nil"/>
              <w:right w:val="nil"/>
            </w:tcBorders>
            <w:shd w:val="clear" w:color="auto" w:fill="auto"/>
            <w:vAlign w:val="center"/>
            <w:hideMark/>
          </w:tcPr>
          <w:p w14:paraId="09A99783"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Fe, trace metals sorption</w:t>
            </w:r>
          </w:p>
        </w:tc>
        <w:tc>
          <w:tcPr>
            <w:tcW w:w="1080" w:type="dxa"/>
            <w:tcBorders>
              <w:top w:val="nil"/>
              <w:left w:val="nil"/>
              <w:bottom w:val="nil"/>
              <w:right w:val="nil"/>
            </w:tcBorders>
            <w:shd w:val="clear" w:color="auto" w:fill="auto"/>
            <w:vAlign w:val="center"/>
            <w:hideMark/>
          </w:tcPr>
          <w:p w14:paraId="4A26377C"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4084</w:t>
            </w:r>
          </w:p>
        </w:tc>
        <w:tc>
          <w:tcPr>
            <w:tcW w:w="1260" w:type="dxa"/>
            <w:tcBorders>
              <w:top w:val="nil"/>
              <w:left w:val="nil"/>
              <w:bottom w:val="nil"/>
              <w:right w:val="nil"/>
            </w:tcBorders>
            <w:shd w:val="clear" w:color="auto" w:fill="auto"/>
            <w:vAlign w:val="center"/>
            <w:hideMark/>
          </w:tcPr>
          <w:p w14:paraId="372B610C"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7.7 days</w:t>
            </w:r>
          </w:p>
        </w:tc>
      </w:tr>
      <w:tr w:rsidR="002C5990" w:rsidRPr="002C5990" w14:paraId="79733519" w14:textId="77777777" w:rsidTr="006F27F7">
        <w:trPr>
          <w:trHeight w:val="603"/>
        </w:trPr>
        <w:tc>
          <w:tcPr>
            <w:tcW w:w="796" w:type="dxa"/>
            <w:tcBorders>
              <w:top w:val="nil"/>
              <w:left w:val="nil"/>
              <w:bottom w:val="nil"/>
              <w:right w:val="nil"/>
            </w:tcBorders>
            <w:shd w:val="clear" w:color="auto" w:fill="auto"/>
            <w:vAlign w:val="center"/>
            <w:hideMark/>
          </w:tcPr>
          <w:p w14:paraId="4EFF7801"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2(N/S)</w:t>
            </w:r>
          </w:p>
        </w:tc>
        <w:tc>
          <w:tcPr>
            <w:tcW w:w="3524" w:type="dxa"/>
            <w:tcBorders>
              <w:top w:val="nil"/>
              <w:left w:val="nil"/>
              <w:bottom w:val="nil"/>
              <w:right w:val="nil"/>
            </w:tcBorders>
            <w:shd w:val="clear" w:color="auto" w:fill="auto"/>
            <w:vAlign w:val="center"/>
            <w:hideMark/>
          </w:tcPr>
          <w:p w14:paraId="39ABAD1C" w14:textId="77777777" w:rsidR="002C5990" w:rsidRPr="002C5990" w:rsidRDefault="002C5990" w:rsidP="006F27F7">
            <w:pPr>
              <w:spacing w:after="0" w:line="240" w:lineRule="auto"/>
              <w:jc w:val="both"/>
              <w:rPr>
                <w:rFonts w:eastAsia="Times New Roman" w:cstheme="minorHAnsi"/>
                <w:sz w:val="20"/>
                <w:szCs w:val="20"/>
              </w:rPr>
            </w:pPr>
            <w:r w:rsidRPr="002C5990">
              <w:rPr>
                <w:rFonts w:eastAsia="Times New Roman" w:cstheme="minorHAnsi"/>
                <w:sz w:val="20"/>
                <w:szCs w:val="20"/>
              </w:rPr>
              <w:t>Surface Flow Wetlands (pond-marsh-pond design for additional iron oxidation and sedimentation)</w:t>
            </w:r>
          </w:p>
        </w:tc>
        <w:tc>
          <w:tcPr>
            <w:tcW w:w="1620" w:type="dxa"/>
            <w:tcBorders>
              <w:top w:val="nil"/>
              <w:left w:val="nil"/>
              <w:bottom w:val="nil"/>
              <w:right w:val="nil"/>
            </w:tcBorders>
            <w:shd w:val="clear" w:color="auto" w:fill="auto"/>
            <w:vAlign w:val="center"/>
            <w:hideMark/>
          </w:tcPr>
          <w:p w14:paraId="0A1CD07C"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Fe, solids retention, trace metals sorption</w:t>
            </w:r>
          </w:p>
        </w:tc>
        <w:tc>
          <w:tcPr>
            <w:tcW w:w="1080" w:type="dxa"/>
            <w:tcBorders>
              <w:top w:val="nil"/>
              <w:left w:val="nil"/>
              <w:bottom w:val="nil"/>
              <w:right w:val="nil"/>
            </w:tcBorders>
            <w:shd w:val="clear" w:color="auto" w:fill="auto"/>
            <w:vAlign w:val="center"/>
            <w:hideMark/>
          </w:tcPr>
          <w:p w14:paraId="0E76D933"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1685</w:t>
            </w:r>
          </w:p>
        </w:tc>
        <w:tc>
          <w:tcPr>
            <w:tcW w:w="1260" w:type="dxa"/>
            <w:tcBorders>
              <w:top w:val="nil"/>
              <w:left w:val="nil"/>
              <w:bottom w:val="nil"/>
              <w:right w:val="nil"/>
            </w:tcBorders>
            <w:shd w:val="clear" w:color="auto" w:fill="auto"/>
            <w:vAlign w:val="center"/>
            <w:hideMark/>
          </w:tcPr>
          <w:p w14:paraId="00773D31"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3.4 days</w:t>
            </w:r>
          </w:p>
        </w:tc>
      </w:tr>
      <w:tr w:rsidR="002C5990" w:rsidRPr="002C5990" w14:paraId="2CB67B13" w14:textId="77777777" w:rsidTr="006F27F7">
        <w:trPr>
          <w:trHeight w:val="945"/>
        </w:trPr>
        <w:tc>
          <w:tcPr>
            <w:tcW w:w="796" w:type="dxa"/>
            <w:tcBorders>
              <w:top w:val="nil"/>
              <w:left w:val="nil"/>
              <w:bottom w:val="nil"/>
              <w:right w:val="nil"/>
            </w:tcBorders>
            <w:shd w:val="clear" w:color="auto" w:fill="auto"/>
            <w:vAlign w:val="center"/>
            <w:hideMark/>
          </w:tcPr>
          <w:p w14:paraId="53C8F80B"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3(N/S)</w:t>
            </w:r>
          </w:p>
        </w:tc>
        <w:tc>
          <w:tcPr>
            <w:tcW w:w="3524" w:type="dxa"/>
            <w:tcBorders>
              <w:top w:val="nil"/>
              <w:left w:val="nil"/>
              <w:bottom w:val="nil"/>
              <w:right w:val="nil"/>
            </w:tcBorders>
            <w:shd w:val="clear" w:color="auto" w:fill="auto"/>
            <w:vAlign w:val="center"/>
            <w:hideMark/>
          </w:tcPr>
          <w:p w14:paraId="5FE09C08" w14:textId="77777777" w:rsidR="002C5990" w:rsidRPr="002C5990" w:rsidRDefault="002C5990" w:rsidP="006F27F7">
            <w:pPr>
              <w:spacing w:after="0" w:line="240" w:lineRule="auto"/>
              <w:jc w:val="both"/>
              <w:rPr>
                <w:rFonts w:eastAsia="Times New Roman" w:cstheme="minorHAnsi"/>
                <w:sz w:val="20"/>
                <w:szCs w:val="20"/>
              </w:rPr>
            </w:pPr>
            <w:r w:rsidRPr="002C5990">
              <w:rPr>
                <w:rFonts w:eastAsia="Times New Roman" w:cstheme="minorHAnsi"/>
                <w:sz w:val="20"/>
                <w:szCs w:val="20"/>
              </w:rPr>
              <w:t>Vertical Flow Bio Reactors for metal sulfide formation under reducing conditions. Alkalinity Generation.</w:t>
            </w:r>
          </w:p>
        </w:tc>
        <w:tc>
          <w:tcPr>
            <w:tcW w:w="1620" w:type="dxa"/>
            <w:tcBorders>
              <w:top w:val="nil"/>
              <w:left w:val="nil"/>
              <w:bottom w:val="nil"/>
              <w:right w:val="nil"/>
            </w:tcBorders>
            <w:shd w:val="clear" w:color="auto" w:fill="auto"/>
            <w:vAlign w:val="center"/>
            <w:hideMark/>
          </w:tcPr>
          <w:p w14:paraId="46CEB72C"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sz w:val="20"/>
                <w:szCs w:val="20"/>
              </w:rPr>
              <w:t xml:space="preserve">Zn, </w:t>
            </w:r>
            <w:proofErr w:type="spellStart"/>
            <w:r w:rsidRPr="002C5990">
              <w:rPr>
                <w:rFonts w:eastAsia="Times New Roman" w:cstheme="minorHAnsi"/>
                <w:sz w:val="20"/>
                <w:szCs w:val="20"/>
              </w:rPr>
              <w:t>Pb</w:t>
            </w:r>
            <w:proofErr w:type="spellEnd"/>
            <w:r w:rsidRPr="002C5990">
              <w:rPr>
                <w:rFonts w:eastAsia="Times New Roman" w:cstheme="minorHAnsi"/>
                <w:sz w:val="20"/>
                <w:szCs w:val="20"/>
              </w:rPr>
              <w:t>, Ni, Cd</w:t>
            </w:r>
          </w:p>
        </w:tc>
        <w:tc>
          <w:tcPr>
            <w:tcW w:w="1080" w:type="dxa"/>
            <w:tcBorders>
              <w:top w:val="nil"/>
              <w:left w:val="nil"/>
              <w:bottom w:val="nil"/>
              <w:right w:val="nil"/>
            </w:tcBorders>
            <w:shd w:val="clear" w:color="auto" w:fill="auto"/>
            <w:vAlign w:val="center"/>
            <w:hideMark/>
          </w:tcPr>
          <w:p w14:paraId="0355EBC7"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1027</w:t>
            </w:r>
          </w:p>
        </w:tc>
        <w:tc>
          <w:tcPr>
            <w:tcW w:w="1260" w:type="dxa"/>
            <w:tcBorders>
              <w:top w:val="nil"/>
              <w:left w:val="nil"/>
              <w:bottom w:val="nil"/>
              <w:right w:val="nil"/>
            </w:tcBorders>
            <w:shd w:val="clear" w:color="auto" w:fill="auto"/>
            <w:vAlign w:val="center"/>
            <w:hideMark/>
          </w:tcPr>
          <w:p w14:paraId="1242EE23"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3.1 days</w:t>
            </w:r>
          </w:p>
        </w:tc>
      </w:tr>
      <w:tr w:rsidR="002C5990" w:rsidRPr="002C5990" w14:paraId="17797C29" w14:textId="77777777" w:rsidTr="006F27F7">
        <w:trPr>
          <w:trHeight w:val="765"/>
        </w:trPr>
        <w:tc>
          <w:tcPr>
            <w:tcW w:w="796" w:type="dxa"/>
            <w:tcBorders>
              <w:top w:val="nil"/>
              <w:left w:val="nil"/>
              <w:bottom w:val="nil"/>
              <w:right w:val="nil"/>
            </w:tcBorders>
            <w:shd w:val="clear" w:color="auto" w:fill="auto"/>
            <w:vAlign w:val="center"/>
            <w:hideMark/>
          </w:tcPr>
          <w:p w14:paraId="6F9C50E1"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4(N/S)</w:t>
            </w:r>
          </w:p>
        </w:tc>
        <w:tc>
          <w:tcPr>
            <w:tcW w:w="3524" w:type="dxa"/>
            <w:tcBorders>
              <w:top w:val="nil"/>
              <w:left w:val="nil"/>
              <w:bottom w:val="nil"/>
              <w:right w:val="nil"/>
            </w:tcBorders>
            <w:shd w:val="clear" w:color="auto" w:fill="auto"/>
            <w:vAlign w:val="center"/>
            <w:hideMark/>
          </w:tcPr>
          <w:p w14:paraId="5AD7C4CB" w14:textId="77777777" w:rsidR="002C5990" w:rsidRPr="002C5990" w:rsidRDefault="002C5990" w:rsidP="006F27F7">
            <w:pPr>
              <w:spacing w:after="0" w:line="240" w:lineRule="auto"/>
              <w:jc w:val="both"/>
              <w:rPr>
                <w:rFonts w:eastAsia="Times New Roman" w:cstheme="minorHAnsi"/>
                <w:sz w:val="20"/>
                <w:szCs w:val="20"/>
              </w:rPr>
            </w:pPr>
            <w:r w:rsidRPr="002C5990">
              <w:rPr>
                <w:rFonts w:eastAsia="Times New Roman" w:cstheme="minorHAnsi"/>
                <w:sz w:val="20"/>
                <w:szCs w:val="20"/>
              </w:rPr>
              <w:t>Re-Aeration solar versus wind aeration strategies</w:t>
            </w:r>
          </w:p>
        </w:tc>
        <w:tc>
          <w:tcPr>
            <w:tcW w:w="1620" w:type="dxa"/>
            <w:tcBorders>
              <w:top w:val="nil"/>
              <w:left w:val="nil"/>
              <w:bottom w:val="nil"/>
              <w:right w:val="nil"/>
            </w:tcBorders>
            <w:shd w:val="clear" w:color="auto" w:fill="auto"/>
            <w:vAlign w:val="center"/>
            <w:hideMark/>
          </w:tcPr>
          <w:p w14:paraId="22A57FBB"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sz w:val="20"/>
                <w:szCs w:val="20"/>
              </w:rPr>
              <w:t>Oxygen Demand, Odor, H</w:t>
            </w:r>
            <w:r w:rsidRPr="002C5990">
              <w:rPr>
                <w:rFonts w:eastAsia="Times New Roman" w:cstheme="minorHAnsi"/>
                <w:sz w:val="20"/>
                <w:szCs w:val="20"/>
                <w:vertAlign w:val="subscript"/>
              </w:rPr>
              <w:t>2</w:t>
            </w:r>
            <w:r w:rsidRPr="002C5990">
              <w:rPr>
                <w:rFonts w:eastAsia="Times New Roman" w:cstheme="minorHAnsi"/>
                <w:sz w:val="20"/>
                <w:szCs w:val="20"/>
              </w:rPr>
              <w:t>S</w:t>
            </w:r>
          </w:p>
        </w:tc>
        <w:tc>
          <w:tcPr>
            <w:tcW w:w="1080" w:type="dxa"/>
            <w:tcBorders>
              <w:top w:val="nil"/>
              <w:left w:val="nil"/>
              <w:bottom w:val="nil"/>
              <w:right w:val="nil"/>
            </w:tcBorders>
            <w:shd w:val="clear" w:color="auto" w:fill="auto"/>
            <w:vAlign w:val="center"/>
            <w:hideMark/>
          </w:tcPr>
          <w:p w14:paraId="4221F68F"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833</w:t>
            </w:r>
          </w:p>
        </w:tc>
        <w:tc>
          <w:tcPr>
            <w:tcW w:w="1260" w:type="dxa"/>
            <w:tcBorders>
              <w:top w:val="nil"/>
              <w:left w:val="nil"/>
              <w:bottom w:val="nil"/>
              <w:right w:val="nil"/>
            </w:tcBorders>
            <w:shd w:val="clear" w:color="auto" w:fill="auto"/>
            <w:vAlign w:val="center"/>
            <w:hideMark/>
          </w:tcPr>
          <w:p w14:paraId="2BFCACAF"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3.5 days</w:t>
            </w:r>
          </w:p>
        </w:tc>
      </w:tr>
      <w:tr w:rsidR="002C5990" w:rsidRPr="002C5990" w14:paraId="257541E7" w14:textId="77777777" w:rsidTr="006F27F7">
        <w:trPr>
          <w:trHeight w:val="675"/>
        </w:trPr>
        <w:tc>
          <w:tcPr>
            <w:tcW w:w="796" w:type="dxa"/>
            <w:tcBorders>
              <w:top w:val="nil"/>
              <w:left w:val="nil"/>
              <w:bottom w:val="nil"/>
              <w:right w:val="nil"/>
            </w:tcBorders>
            <w:shd w:val="clear" w:color="auto" w:fill="auto"/>
            <w:vAlign w:val="center"/>
            <w:hideMark/>
          </w:tcPr>
          <w:p w14:paraId="2A9CE86B"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5(N/S)</w:t>
            </w:r>
          </w:p>
        </w:tc>
        <w:tc>
          <w:tcPr>
            <w:tcW w:w="3524" w:type="dxa"/>
            <w:tcBorders>
              <w:top w:val="nil"/>
              <w:left w:val="nil"/>
              <w:bottom w:val="nil"/>
              <w:right w:val="nil"/>
            </w:tcBorders>
            <w:shd w:val="clear" w:color="auto" w:fill="auto"/>
            <w:vAlign w:val="center"/>
            <w:hideMark/>
          </w:tcPr>
          <w:p w14:paraId="608D1B33" w14:textId="62B9B7DF" w:rsidR="002C5990" w:rsidRPr="002C5990" w:rsidRDefault="002C5990" w:rsidP="006F27F7">
            <w:pPr>
              <w:spacing w:after="0" w:line="240" w:lineRule="auto"/>
              <w:jc w:val="both"/>
              <w:rPr>
                <w:rFonts w:eastAsia="Times New Roman" w:cstheme="minorHAnsi"/>
                <w:sz w:val="20"/>
                <w:szCs w:val="20"/>
              </w:rPr>
            </w:pPr>
            <w:r w:rsidRPr="002C5990">
              <w:rPr>
                <w:rFonts w:eastAsia="Times New Roman" w:cstheme="minorHAnsi"/>
                <w:sz w:val="20"/>
                <w:szCs w:val="20"/>
              </w:rPr>
              <w:t xml:space="preserve">Horizontal flow limestone beds facilitating additional zinc removal via </w:t>
            </w:r>
            <w:proofErr w:type="spellStart"/>
            <w:r w:rsidRPr="002C5990">
              <w:rPr>
                <w:rStyle w:val="CommentReference"/>
                <w:rFonts w:cstheme="minorHAnsi"/>
                <w:sz w:val="20"/>
                <w:szCs w:val="20"/>
              </w:rPr>
              <w:t>Smithsonite</w:t>
            </w:r>
            <w:proofErr w:type="spellEnd"/>
            <w:r w:rsidRPr="002C5990">
              <w:rPr>
                <w:rStyle w:val="CommentReference"/>
                <w:rFonts w:cstheme="minorHAnsi"/>
                <w:sz w:val="20"/>
                <w:szCs w:val="20"/>
              </w:rPr>
              <w:t xml:space="preserve"> </w:t>
            </w:r>
            <w:r w:rsidRPr="002C5990">
              <w:rPr>
                <w:rFonts w:eastAsia="Times New Roman" w:cstheme="minorHAnsi"/>
                <w:sz w:val="20"/>
                <w:szCs w:val="20"/>
              </w:rPr>
              <w:t>precipitation (ZnCO</w:t>
            </w:r>
            <w:r w:rsidRPr="002C5990">
              <w:rPr>
                <w:rFonts w:eastAsia="Times New Roman" w:cstheme="minorHAnsi"/>
                <w:sz w:val="20"/>
                <w:szCs w:val="20"/>
                <w:vertAlign w:val="subscript"/>
              </w:rPr>
              <w:t>3</w:t>
            </w:r>
            <w:r w:rsidRPr="002C5990">
              <w:rPr>
                <w:rFonts w:eastAsia="Times New Roman" w:cstheme="minorHAnsi"/>
                <w:sz w:val="20"/>
                <w:szCs w:val="20"/>
              </w:rPr>
              <w:t>).</w:t>
            </w:r>
          </w:p>
        </w:tc>
        <w:tc>
          <w:tcPr>
            <w:tcW w:w="1620" w:type="dxa"/>
            <w:tcBorders>
              <w:top w:val="nil"/>
              <w:left w:val="nil"/>
              <w:bottom w:val="nil"/>
              <w:right w:val="nil"/>
            </w:tcBorders>
            <w:shd w:val="clear" w:color="auto" w:fill="auto"/>
            <w:vAlign w:val="center"/>
            <w:hideMark/>
          </w:tcPr>
          <w:p w14:paraId="20595490"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sz w:val="20"/>
                <w:szCs w:val="20"/>
              </w:rPr>
              <w:t xml:space="preserve">Zn, </w:t>
            </w:r>
            <w:proofErr w:type="spellStart"/>
            <w:r w:rsidRPr="002C5990">
              <w:rPr>
                <w:rFonts w:eastAsia="Times New Roman" w:cstheme="minorHAnsi"/>
                <w:sz w:val="20"/>
                <w:szCs w:val="20"/>
              </w:rPr>
              <w:t>Mn</w:t>
            </w:r>
            <w:proofErr w:type="spellEnd"/>
            <w:r w:rsidRPr="002C5990">
              <w:rPr>
                <w:rFonts w:eastAsia="Times New Roman" w:cstheme="minorHAnsi"/>
                <w:sz w:val="20"/>
                <w:szCs w:val="20"/>
              </w:rPr>
              <w:t xml:space="preserve"> and hardness</w:t>
            </w:r>
          </w:p>
        </w:tc>
        <w:tc>
          <w:tcPr>
            <w:tcW w:w="1080" w:type="dxa"/>
            <w:tcBorders>
              <w:top w:val="nil"/>
              <w:left w:val="nil"/>
              <w:bottom w:val="nil"/>
              <w:right w:val="nil"/>
            </w:tcBorders>
            <w:shd w:val="clear" w:color="auto" w:fill="auto"/>
            <w:vAlign w:val="center"/>
            <w:hideMark/>
          </w:tcPr>
          <w:p w14:paraId="1E0DD468"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1147</w:t>
            </w:r>
          </w:p>
        </w:tc>
        <w:tc>
          <w:tcPr>
            <w:tcW w:w="1260" w:type="dxa"/>
            <w:tcBorders>
              <w:top w:val="nil"/>
              <w:left w:val="nil"/>
              <w:bottom w:val="nil"/>
              <w:right w:val="nil"/>
            </w:tcBorders>
            <w:shd w:val="clear" w:color="auto" w:fill="auto"/>
            <w:vAlign w:val="center"/>
            <w:hideMark/>
          </w:tcPr>
          <w:p w14:paraId="139A672F"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1.2 days</w:t>
            </w:r>
          </w:p>
        </w:tc>
      </w:tr>
      <w:tr w:rsidR="002C5990" w:rsidRPr="002C5990" w14:paraId="27E6031B" w14:textId="77777777" w:rsidTr="006F27F7">
        <w:trPr>
          <w:trHeight w:val="1017"/>
        </w:trPr>
        <w:tc>
          <w:tcPr>
            <w:tcW w:w="796" w:type="dxa"/>
            <w:tcBorders>
              <w:top w:val="nil"/>
              <w:left w:val="nil"/>
              <w:bottom w:val="single" w:sz="4" w:space="0" w:color="auto"/>
              <w:right w:val="nil"/>
            </w:tcBorders>
            <w:shd w:val="clear" w:color="auto" w:fill="auto"/>
            <w:vAlign w:val="center"/>
            <w:hideMark/>
          </w:tcPr>
          <w:p w14:paraId="1E6E0DDE"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6</w:t>
            </w:r>
          </w:p>
        </w:tc>
        <w:tc>
          <w:tcPr>
            <w:tcW w:w="3524" w:type="dxa"/>
            <w:tcBorders>
              <w:top w:val="nil"/>
              <w:left w:val="nil"/>
              <w:bottom w:val="single" w:sz="4" w:space="0" w:color="auto"/>
              <w:right w:val="nil"/>
            </w:tcBorders>
            <w:shd w:val="clear" w:color="auto" w:fill="auto"/>
            <w:vAlign w:val="center"/>
            <w:hideMark/>
          </w:tcPr>
          <w:p w14:paraId="7F16B40B" w14:textId="77777777" w:rsidR="002C5990" w:rsidRPr="002C5990" w:rsidRDefault="002C5990" w:rsidP="006F27F7">
            <w:pPr>
              <w:spacing w:after="0" w:line="240" w:lineRule="auto"/>
              <w:jc w:val="both"/>
              <w:rPr>
                <w:rFonts w:eastAsia="Times New Roman" w:cstheme="minorHAnsi"/>
                <w:sz w:val="20"/>
                <w:szCs w:val="20"/>
              </w:rPr>
            </w:pPr>
            <w:r w:rsidRPr="002C5990">
              <w:rPr>
                <w:rFonts w:eastAsia="Times New Roman" w:cstheme="minorHAnsi"/>
                <w:sz w:val="20"/>
                <w:szCs w:val="20"/>
              </w:rPr>
              <w:t>Polishing cell (pond-marsh-pond design) for flow consolidation and reaeration prior to discharge.</w:t>
            </w:r>
          </w:p>
        </w:tc>
        <w:tc>
          <w:tcPr>
            <w:tcW w:w="1620" w:type="dxa"/>
            <w:tcBorders>
              <w:top w:val="nil"/>
              <w:left w:val="nil"/>
              <w:bottom w:val="single" w:sz="4" w:space="0" w:color="auto"/>
              <w:right w:val="nil"/>
            </w:tcBorders>
            <w:shd w:val="clear" w:color="auto" w:fill="auto"/>
            <w:vAlign w:val="center"/>
            <w:hideMark/>
          </w:tcPr>
          <w:p w14:paraId="25060541"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sz w:val="20"/>
                <w:szCs w:val="20"/>
              </w:rPr>
              <w:t>Residual solids</w:t>
            </w:r>
          </w:p>
        </w:tc>
        <w:tc>
          <w:tcPr>
            <w:tcW w:w="1080" w:type="dxa"/>
            <w:tcBorders>
              <w:top w:val="nil"/>
              <w:left w:val="nil"/>
              <w:bottom w:val="single" w:sz="4" w:space="0" w:color="auto"/>
              <w:right w:val="nil"/>
            </w:tcBorders>
            <w:shd w:val="clear" w:color="auto" w:fill="auto"/>
            <w:vAlign w:val="center"/>
            <w:hideMark/>
          </w:tcPr>
          <w:p w14:paraId="730460CF"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1096</w:t>
            </w:r>
          </w:p>
        </w:tc>
        <w:tc>
          <w:tcPr>
            <w:tcW w:w="1260" w:type="dxa"/>
            <w:tcBorders>
              <w:top w:val="nil"/>
              <w:left w:val="nil"/>
              <w:bottom w:val="single" w:sz="4" w:space="0" w:color="auto"/>
              <w:right w:val="nil"/>
            </w:tcBorders>
            <w:shd w:val="clear" w:color="auto" w:fill="auto"/>
            <w:vAlign w:val="center"/>
            <w:hideMark/>
          </w:tcPr>
          <w:p w14:paraId="0A02C902"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0.8 days</w:t>
            </w:r>
          </w:p>
        </w:tc>
      </w:tr>
      <w:tr w:rsidR="002C5990" w:rsidRPr="002C5990" w14:paraId="2F3F2FF1" w14:textId="77777777" w:rsidTr="006F27F7">
        <w:trPr>
          <w:trHeight w:val="300"/>
        </w:trPr>
        <w:tc>
          <w:tcPr>
            <w:tcW w:w="7020" w:type="dxa"/>
            <w:gridSpan w:val="4"/>
            <w:tcBorders>
              <w:top w:val="single" w:sz="4" w:space="0" w:color="auto"/>
              <w:left w:val="nil"/>
              <w:bottom w:val="single" w:sz="4" w:space="0" w:color="auto"/>
              <w:right w:val="nil"/>
            </w:tcBorders>
            <w:shd w:val="clear" w:color="auto" w:fill="auto"/>
            <w:vAlign w:val="center"/>
            <w:hideMark/>
          </w:tcPr>
          <w:p w14:paraId="3E11F12F" w14:textId="77777777" w:rsidR="002C5990" w:rsidRPr="002C5990" w:rsidRDefault="002C5990" w:rsidP="006F27F7">
            <w:pPr>
              <w:spacing w:after="0" w:line="240" w:lineRule="auto"/>
              <w:jc w:val="right"/>
              <w:rPr>
                <w:rFonts w:eastAsia="Times New Roman" w:cstheme="minorHAnsi"/>
                <w:sz w:val="20"/>
                <w:szCs w:val="20"/>
              </w:rPr>
            </w:pPr>
            <w:r w:rsidRPr="002C5990">
              <w:rPr>
                <w:rFonts w:eastAsia="Times New Roman" w:cstheme="minorHAnsi"/>
                <w:iCs/>
                <w:sz w:val="20"/>
                <w:szCs w:val="20"/>
              </w:rPr>
              <w:t>Complete System Retention Time</w:t>
            </w:r>
          </w:p>
        </w:tc>
        <w:tc>
          <w:tcPr>
            <w:tcW w:w="1260" w:type="dxa"/>
            <w:tcBorders>
              <w:top w:val="nil"/>
              <w:left w:val="nil"/>
              <w:bottom w:val="single" w:sz="4" w:space="0" w:color="auto"/>
              <w:right w:val="nil"/>
            </w:tcBorders>
            <w:shd w:val="clear" w:color="auto" w:fill="auto"/>
            <w:vAlign w:val="center"/>
            <w:hideMark/>
          </w:tcPr>
          <w:p w14:paraId="515E71C3" w14:textId="77777777" w:rsidR="002C5990" w:rsidRPr="002C5990" w:rsidRDefault="002C5990" w:rsidP="006F27F7">
            <w:pPr>
              <w:spacing w:after="0" w:line="240" w:lineRule="auto"/>
              <w:jc w:val="center"/>
              <w:rPr>
                <w:rFonts w:eastAsia="Times New Roman" w:cstheme="minorHAnsi"/>
                <w:sz w:val="20"/>
                <w:szCs w:val="20"/>
              </w:rPr>
            </w:pPr>
            <w:r w:rsidRPr="002C5990">
              <w:rPr>
                <w:rFonts w:eastAsia="Times New Roman" w:cstheme="minorHAnsi"/>
                <w:iCs/>
                <w:sz w:val="20"/>
                <w:szCs w:val="20"/>
              </w:rPr>
              <w:t>20 days</w:t>
            </w:r>
          </w:p>
        </w:tc>
      </w:tr>
    </w:tbl>
    <w:p w14:paraId="261EEBD2" w14:textId="77777777" w:rsidR="002C5990" w:rsidRPr="002C5990" w:rsidRDefault="002C5990" w:rsidP="002C5990">
      <w:pPr>
        <w:jc w:val="both"/>
        <w:rPr>
          <w:rFonts w:cstheme="minorHAnsi"/>
          <w:sz w:val="20"/>
          <w:szCs w:val="20"/>
        </w:rPr>
      </w:pPr>
    </w:p>
    <w:p w14:paraId="0B49A4C5" w14:textId="332E606A" w:rsidR="002C5990" w:rsidRPr="0091367C" w:rsidRDefault="002C5990" w:rsidP="002C5990">
      <w:pPr>
        <w:spacing w:line="480" w:lineRule="auto"/>
        <w:jc w:val="both"/>
        <w:rPr>
          <w:rFonts w:cs="Arial"/>
          <w:sz w:val="20"/>
        </w:rPr>
      </w:pPr>
      <w:r w:rsidRPr="00CB734F">
        <w:rPr>
          <w:rFonts w:cs="Arial"/>
        </w:rPr>
        <w:t xml:space="preserve">Construction of the MRPTS began in </w:t>
      </w:r>
      <w:r>
        <w:rPr>
          <w:rFonts w:cs="Arial"/>
        </w:rPr>
        <w:t>July</w:t>
      </w:r>
      <w:r w:rsidRPr="00CB734F">
        <w:rPr>
          <w:rFonts w:cs="Arial"/>
        </w:rPr>
        <w:t xml:space="preserve"> of 2008, with rain</w:t>
      </w:r>
      <w:r>
        <w:rPr>
          <w:rFonts w:cs="Arial"/>
        </w:rPr>
        <w:t>-</w:t>
      </w:r>
      <w:r w:rsidRPr="00CB734F">
        <w:rPr>
          <w:rFonts w:cs="Arial"/>
        </w:rPr>
        <w:t>induced construction delays pushing system start</w:t>
      </w:r>
      <w:r>
        <w:rPr>
          <w:rFonts w:cs="Arial"/>
        </w:rPr>
        <w:t>-</w:t>
      </w:r>
      <w:r w:rsidRPr="00CB734F">
        <w:rPr>
          <w:rFonts w:cs="Arial"/>
        </w:rPr>
        <w:t>up to late November 2008. Flow control and consolidation structures were added to the three AMD seeps (A,</w:t>
      </w:r>
      <w:r>
        <w:rPr>
          <w:rFonts w:cs="Arial"/>
        </w:rPr>
        <w:t xml:space="preserve"> </w:t>
      </w:r>
      <w:r w:rsidRPr="00CB734F">
        <w:rPr>
          <w:rFonts w:cs="Arial"/>
        </w:rPr>
        <w:t>B, and D) ensuring that system loading could be quantified.  The preliminary oxidation cell (Cell 1) was designed based on the surface area</w:t>
      </w:r>
      <w:r>
        <w:rPr>
          <w:rFonts w:cs="Arial"/>
        </w:rPr>
        <w:t>-</w:t>
      </w:r>
      <w:r w:rsidRPr="00CB734F">
        <w:rPr>
          <w:rFonts w:cs="Arial"/>
        </w:rPr>
        <w:t>adjusted removal rate of 20 g/m</w:t>
      </w:r>
      <w:r w:rsidRPr="00CB734F">
        <w:rPr>
          <w:rFonts w:cs="Arial"/>
          <w:vertAlign w:val="superscript"/>
        </w:rPr>
        <w:t>2</w:t>
      </w:r>
      <w:r w:rsidRPr="00CB734F">
        <w:rPr>
          <w:rFonts w:cs="Arial"/>
        </w:rPr>
        <w:t xml:space="preserve">/day with 1.6 meters of vertical storage depth for accumulation and storage of iron oxides over time.  </w:t>
      </w:r>
      <w:r w:rsidRPr="00CB734F">
        <w:t xml:space="preserve">The system is a cells-in-series / parallel design with gravity flow via a net elevation </w:t>
      </w:r>
      <w:r>
        <w:t xml:space="preserve">head </w:t>
      </w:r>
      <w:r w:rsidRPr="00CB734F">
        <w:t xml:space="preserve">change of </w:t>
      </w:r>
      <w:r>
        <w:t>1.52 meters</w:t>
      </w:r>
      <w:r w:rsidRPr="00CB734F">
        <w:t xml:space="preserve"> from system influent to effluent driving the hydrology. The cells alternate between oxidative and reductive processes and flows are recombined in a polishing cell (cell 6) prior to discharge into an unnamed tributary of Tar Creek (Figure 1.1). A storm water </w:t>
      </w:r>
      <w:r>
        <w:t>diversion structure</w:t>
      </w:r>
      <w:r w:rsidRPr="00CB734F">
        <w:t xml:space="preserve"> diverts runoff from the surrounding area around the system ensuring that the source of the hydraulic load is only from the influent mine water seeps, and direct precipitation that falls on</w:t>
      </w:r>
      <w:r>
        <w:t xml:space="preserve"> the surface area of the system.</w:t>
      </w:r>
    </w:p>
    <w:p w14:paraId="56B90F6B" w14:textId="77777777" w:rsidR="009F7B64" w:rsidRDefault="009F7B64" w:rsidP="004F4017">
      <w:pPr>
        <w:pStyle w:val="Heading2"/>
      </w:pPr>
      <w:r>
        <w:t>MRPTS Performance Assessment</w:t>
      </w:r>
    </w:p>
    <w:p w14:paraId="14915257" w14:textId="77777777" w:rsidR="004F4017" w:rsidRPr="004F4017" w:rsidRDefault="004F4017" w:rsidP="004F4017"/>
    <w:p w14:paraId="26109E9C" w14:textId="77777777" w:rsidR="009F7B64" w:rsidRDefault="009F7B64" w:rsidP="004F4017">
      <w:pPr>
        <w:pStyle w:val="Heading4"/>
      </w:pPr>
      <w:r w:rsidRPr="004F4017">
        <w:t>Sample Collection and Analysis Methodologies</w:t>
      </w:r>
    </w:p>
    <w:p w14:paraId="66A199B1" w14:textId="77777777" w:rsidR="004F4017" w:rsidRPr="004F4017" w:rsidRDefault="004F4017" w:rsidP="004F4017"/>
    <w:p w14:paraId="241A5D9C" w14:textId="35121CD8" w:rsidR="007A581B" w:rsidRPr="009A519C" w:rsidRDefault="007A581B" w:rsidP="007A581B">
      <w:pPr>
        <w:spacing w:line="480" w:lineRule="auto"/>
        <w:ind w:right="36"/>
        <w:jc w:val="both"/>
        <w:rPr>
          <w:rFonts w:cs="Arial"/>
        </w:rPr>
      </w:pPr>
      <w:r w:rsidRPr="009A519C">
        <w:rPr>
          <w:rFonts w:cs="Arial"/>
        </w:rPr>
        <w:t xml:space="preserve">The performance of the MRPTS </w:t>
      </w:r>
      <w:r>
        <w:rPr>
          <w:rFonts w:cs="Arial"/>
        </w:rPr>
        <w:t>was</w:t>
      </w:r>
      <w:r w:rsidRPr="009A519C">
        <w:rPr>
          <w:rFonts w:cs="Arial"/>
        </w:rPr>
        <w:t xml:space="preserve"> monitored over time </w:t>
      </w:r>
      <w:r>
        <w:rPr>
          <w:rFonts w:cs="Arial"/>
        </w:rPr>
        <w:t xml:space="preserve">by research team members with the University of Oklahoma Center for Restoration of Ecosystems and Watersheds (CREW) </w:t>
      </w:r>
      <w:r w:rsidRPr="009A519C">
        <w:rPr>
          <w:rFonts w:cs="Arial"/>
        </w:rPr>
        <w:t xml:space="preserve">with respect to design expectations. </w:t>
      </w:r>
      <w:r>
        <w:rPr>
          <w:rFonts w:cs="Arial"/>
        </w:rPr>
        <w:t xml:space="preserve">Data presented are the results of these cooperative efforts.  </w:t>
      </w:r>
      <w:r w:rsidRPr="009A519C">
        <w:rPr>
          <w:rFonts w:cs="Arial"/>
        </w:rPr>
        <w:t xml:space="preserve">Water quality measurements </w:t>
      </w:r>
      <w:r>
        <w:rPr>
          <w:rFonts w:cs="Arial"/>
        </w:rPr>
        <w:t>(</w:t>
      </w:r>
      <w:r w:rsidRPr="0091367C">
        <w:rPr>
          <w:rFonts w:cs="Arial"/>
          <w:i/>
        </w:rPr>
        <w:t>in situ</w:t>
      </w:r>
      <w:r>
        <w:rPr>
          <w:rFonts w:cs="Arial"/>
        </w:rPr>
        <w:t xml:space="preserve">) </w:t>
      </w:r>
      <w:r w:rsidRPr="009A519C">
        <w:rPr>
          <w:rFonts w:cs="Arial"/>
        </w:rPr>
        <w:t xml:space="preserve">and </w:t>
      </w:r>
      <w:r>
        <w:rPr>
          <w:rFonts w:cs="Arial"/>
        </w:rPr>
        <w:t xml:space="preserve">grab </w:t>
      </w:r>
      <w:r w:rsidRPr="009A519C">
        <w:rPr>
          <w:rFonts w:cs="Arial"/>
        </w:rPr>
        <w:t xml:space="preserve">samples </w:t>
      </w:r>
      <w:r>
        <w:rPr>
          <w:rFonts w:cs="Arial"/>
        </w:rPr>
        <w:t>were</w:t>
      </w:r>
      <w:r w:rsidRPr="009A519C">
        <w:rPr>
          <w:rFonts w:cs="Arial"/>
        </w:rPr>
        <w:t xml:space="preserve"> </w:t>
      </w:r>
      <w:r w:rsidRPr="006368FE">
        <w:rPr>
          <w:rFonts w:cs="Arial"/>
        </w:rPr>
        <w:t>collected in</w:t>
      </w:r>
      <w:r w:rsidRPr="009A519C">
        <w:rPr>
          <w:rFonts w:cs="Arial"/>
        </w:rPr>
        <w:t xml:space="preserve"> 250</w:t>
      </w:r>
      <w:r>
        <w:rPr>
          <w:rFonts w:cs="Arial"/>
        </w:rPr>
        <w:t>-</w:t>
      </w:r>
      <w:r w:rsidRPr="009A519C">
        <w:rPr>
          <w:rFonts w:cs="Arial"/>
        </w:rPr>
        <w:t xml:space="preserve">mL HDPE bottles </w:t>
      </w:r>
      <w:r>
        <w:rPr>
          <w:rFonts w:cs="Arial"/>
        </w:rPr>
        <w:t>m</w:t>
      </w:r>
      <w:r w:rsidRPr="009A519C">
        <w:rPr>
          <w:rFonts w:cs="Arial"/>
        </w:rPr>
        <w:t xml:space="preserve">onthly (2008 to </w:t>
      </w:r>
      <w:r>
        <w:rPr>
          <w:rFonts w:cs="Arial"/>
        </w:rPr>
        <w:t xml:space="preserve">2010) </w:t>
      </w:r>
      <w:r w:rsidR="00F66236">
        <w:rPr>
          <w:rFonts w:cs="Arial"/>
        </w:rPr>
        <w:t>and quarterly</w:t>
      </w:r>
      <w:r>
        <w:rPr>
          <w:rFonts w:cs="Arial"/>
        </w:rPr>
        <w:t xml:space="preserve"> (2011 through 2015) for total metals, dissolved metals, and anions</w:t>
      </w:r>
      <w:r w:rsidRPr="009A519C">
        <w:rPr>
          <w:rFonts w:cs="Arial"/>
        </w:rPr>
        <w:t xml:space="preserve">. </w:t>
      </w:r>
      <w:r>
        <w:rPr>
          <w:rFonts w:cs="Arial"/>
        </w:rPr>
        <w:t>Dissolved metals samples were prepared on site using 0.45-µm filters to remove particulates. The total and the dissolved metals s</w:t>
      </w:r>
      <w:r w:rsidRPr="009A519C">
        <w:rPr>
          <w:rFonts w:cs="Arial"/>
        </w:rPr>
        <w:t xml:space="preserve">amples </w:t>
      </w:r>
      <w:r>
        <w:rPr>
          <w:rFonts w:cs="Arial"/>
        </w:rPr>
        <w:t>were</w:t>
      </w:r>
      <w:r w:rsidRPr="009A519C">
        <w:rPr>
          <w:rFonts w:cs="Arial"/>
        </w:rPr>
        <w:t xml:space="preserve"> digested </w:t>
      </w:r>
      <w:r>
        <w:rPr>
          <w:rFonts w:cs="Arial"/>
        </w:rPr>
        <w:lastRenderedPageBreak/>
        <w:t>following</w:t>
      </w:r>
      <w:r w:rsidRPr="009A519C">
        <w:rPr>
          <w:rFonts w:cs="Arial"/>
        </w:rPr>
        <w:t xml:space="preserve"> EPA </w:t>
      </w:r>
      <w:r>
        <w:rPr>
          <w:rFonts w:cs="Arial"/>
        </w:rPr>
        <w:t xml:space="preserve">Method </w:t>
      </w:r>
      <w:r w:rsidRPr="009A519C">
        <w:rPr>
          <w:rFonts w:cs="Arial"/>
        </w:rPr>
        <w:t xml:space="preserve">3015A and analyzed </w:t>
      </w:r>
      <w:r>
        <w:rPr>
          <w:rFonts w:cs="Arial"/>
        </w:rPr>
        <w:t xml:space="preserve">for </w:t>
      </w:r>
      <w:r w:rsidRPr="009A519C">
        <w:rPr>
          <w:rFonts w:cs="Arial"/>
        </w:rPr>
        <w:t>Al, As,</w:t>
      </w:r>
      <w:r w:rsidR="00F66236">
        <w:rPr>
          <w:rFonts w:cs="Arial"/>
        </w:rPr>
        <w:t xml:space="preserve"> Ca,</w:t>
      </w:r>
      <w:r w:rsidRPr="009A519C">
        <w:rPr>
          <w:rFonts w:cs="Arial"/>
        </w:rPr>
        <w:t xml:space="preserve"> Cd, Co, Cr, Cu, Fe,</w:t>
      </w:r>
      <w:r w:rsidR="00F66236">
        <w:rPr>
          <w:rFonts w:cs="Arial"/>
        </w:rPr>
        <w:t xml:space="preserve"> K, Mg,</w:t>
      </w:r>
      <w:r w:rsidRPr="009A519C">
        <w:rPr>
          <w:rFonts w:cs="Arial"/>
        </w:rPr>
        <w:t xml:space="preserve"> </w:t>
      </w:r>
      <w:proofErr w:type="spellStart"/>
      <w:r w:rsidRPr="009A519C">
        <w:rPr>
          <w:rFonts w:cs="Arial"/>
        </w:rPr>
        <w:t>Mn</w:t>
      </w:r>
      <w:proofErr w:type="spellEnd"/>
      <w:r w:rsidRPr="009A519C">
        <w:rPr>
          <w:rFonts w:cs="Arial"/>
        </w:rPr>
        <w:t>,</w:t>
      </w:r>
      <w:r w:rsidR="00F66236">
        <w:rPr>
          <w:rFonts w:cs="Arial"/>
        </w:rPr>
        <w:t xml:space="preserve"> Na,</w:t>
      </w:r>
      <w:r w:rsidRPr="009A519C">
        <w:rPr>
          <w:rFonts w:cs="Arial"/>
        </w:rPr>
        <w:t xml:space="preserve"> Ni, </w:t>
      </w:r>
      <w:proofErr w:type="spellStart"/>
      <w:r w:rsidRPr="009A519C">
        <w:rPr>
          <w:rFonts w:cs="Arial"/>
        </w:rPr>
        <w:t>Pb</w:t>
      </w:r>
      <w:proofErr w:type="spellEnd"/>
      <w:r w:rsidRPr="009A519C">
        <w:rPr>
          <w:rFonts w:cs="Arial"/>
        </w:rPr>
        <w:t xml:space="preserve">, </w:t>
      </w:r>
      <w:r>
        <w:rPr>
          <w:rFonts w:cs="Arial"/>
        </w:rPr>
        <w:t xml:space="preserve">and </w:t>
      </w:r>
      <w:r w:rsidRPr="009A519C">
        <w:rPr>
          <w:rFonts w:cs="Arial"/>
        </w:rPr>
        <w:t>Zn</w:t>
      </w:r>
      <w:r>
        <w:rPr>
          <w:rFonts w:cs="Arial"/>
        </w:rPr>
        <w:t xml:space="preserve"> </w:t>
      </w:r>
      <w:r w:rsidR="00F66236">
        <w:rPr>
          <w:rFonts w:cs="Arial"/>
        </w:rPr>
        <w:t xml:space="preserve">concentrations </w:t>
      </w:r>
      <w:r w:rsidR="00F66236" w:rsidRPr="009A519C">
        <w:rPr>
          <w:rFonts w:cs="Arial"/>
        </w:rPr>
        <w:t>via</w:t>
      </w:r>
      <w:r w:rsidRPr="009A519C">
        <w:rPr>
          <w:rFonts w:cs="Arial"/>
        </w:rPr>
        <w:t xml:space="preserve"> </w:t>
      </w:r>
      <w:r>
        <w:rPr>
          <w:rFonts w:cs="Arial"/>
        </w:rPr>
        <w:t>i</w:t>
      </w:r>
      <w:r w:rsidRPr="009A519C">
        <w:rPr>
          <w:rFonts w:cs="Arial"/>
        </w:rPr>
        <w:t>nductively coupled plasma</w:t>
      </w:r>
      <w:r>
        <w:rPr>
          <w:rFonts w:cs="Arial"/>
        </w:rPr>
        <w:t>-</w:t>
      </w:r>
      <w:r w:rsidRPr="009A519C">
        <w:rPr>
          <w:rFonts w:cs="Arial"/>
        </w:rPr>
        <w:t>optical emission spectroscopy (ICP-OES</w:t>
      </w:r>
      <w:r>
        <w:rPr>
          <w:rFonts w:cs="Arial"/>
        </w:rPr>
        <w:t xml:space="preserve">) following </w:t>
      </w:r>
      <w:r w:rsidRPr="009A519C">
        <w:rPr>
          <w:rFonts w:cs="Arial"/>
        </w:rPr>
        <w:t xml:space="preserve">EPA </w:t>
      </w:r>
      <w:r>
        <w:rPr>
          <w:rFonts w:cs="Arial"/>
        </w:rPr>
        <w:t xml:space="preserve">Method </w:t>
      </w:r>
      <w:r w:rsidRPr="009A519C">
        <w:rPr>
          <w:rFonts w:cs="Arial"/>
        </w:rPr>
        <w:t>6010</w:t>
      </w:r>
      <w:r>
        <w:rPr>
          <w:rFonts w:cs="Arial"/>
        </w:rPr>
        <w:t>A</w:t>
      </w:r>
      <w:r w:rsidRPr="009A519C">
        <w:rPr>
          <w:rFonts w:cs="Arial"/>
        </w:rPr>
        <w:t xml:space="preserve">. Turbidity </w:t>
      </w:r>
      <w:r>
        <w:rPr>
          <w:rFonts w:cs="Arial"/>
        </w:rPr>
        <w:t>was</w:t>
      </w:r>
      <w:r w:rsidRPr="009A519C">
        <w:rPr>
          <w:rFonts w:cs="Arial"/>
        </w:rPr>
        <w:t xml:space="preserve"> measured via triplicate grab samples with </w:t>
      </w:r>
      <w:r>
        <w:rPr>
          <w:rFonts w:cs="Arial"/>
        </w:rPr>
        <w:t>a</w:t>
      </w:r>
      <w:r w:rsidRPr="009A519C">
        <w:rPr>
          <w:rFonts w:cs="Arial"/>
        </w:rPr>
        <w:t xml:space="preserve"> </w:t>
      </w:r>
      <w:proofErr w:type="spellStart"/>
      <w:r w:rsidRPr="009A519C">
        <w:rPr>
          <w:rFonts w:cs="Arial"/>
        </w:rPr>
        <w:t>Hach</w:t>
      </w:r>
      <w:proofErr w:type="spellEnd"/>
      <w:r w:rsidRPr="009A519C">
        <w:rPr>
          <w:rFonts w:cs="Arial"/>
        </w:rPr>
        <w:t xml:space="preserve"> 2100P </w:t>
      </w:r>
      <w:proofErr w:type="spellStart"/>
      <w:r w:rsidRPr="009A519C">
        <w:rPr>
          <w:rFonts w:cs="Arial"/>
        </w:rPr>
        <w:t>turbidimeter</w:t>
      </w:r>
      <w:proofErr w:type="spellEnd"/>
      <w:r w:rsidRPr="009A519C">
        <w:rPr>
          <w:rFonts w:cs="Arial"/>
        </w:rPr>
        <w:t xml:space="preserve">. </w:t>
      </w:r>
      <w:r>
        <w:rPr>
          <w:rFonts w:cs="Arial"/>
        </w:rPr>
        <w:t>Total a</w:t>
      </w:r>
      <w:r w:rsidRPr="009A519C">
        <w:rPr>
          <w:rFonts w:cs="Arial"/>
        </w:rPr>
        <w:t xml:space="preserve">lkalinity </w:t>
      </w:r>
      <w:r>
        <w:rPr>
          <w:rFonts w:cs="Arial"/>
        </w:rPr>
        <w:t>was</w:t>
      </w:r>
      <w:r w:rsidRPr="009A519C">
        <w:rPr>
          <w:rFonts w:cs="Arial"/>
        </w:rPr>
        <w:t xml:space="preserve"> measured via </w:t>
      </w:r>
      <w:r>
        <w:rPr>
          <w:rFonts w:cs="Arial"/>
        </w:rPr>
        <w:t>three replicate</w:t>
      </w:r>
      <w:r w:rsidRPr="009A519C">
        <w:rPr>
          <w:rFonts w:cs="Arial"/>
        </w:rPr>
        <w:t xml:space="preserve"> digital titrations with 1.6</w:t>
      </w:r>
      <w:r>
        <w:rPr>
          <w:rFonts w:cs="Arial"/>
        </w:rPr>
        <w:t>-</w:t>
      </w:r>
      <w:r w:rsidRPr="009A519C">
        <w:rPr>
          <w:rFonts w:cs="Arial"/>
        </w:rPr>
        <w:t xml:space="preserve">N sulfuric acid and </w:t>
      </w:r>
      <w:proofErr w:type="spellStart"/>
      <w:r w:rsidRPr="009A519C">
        <w:rPr>
          <w:rFonts w:cs="Arial"/>
        </w:rPr>
        <w:t>brom</w:t>
      </w:r>
      <w:r>
        <w:rPr>
          <w:rFonts w:cs="Arial"/>
        </w:rPr>
        <w:t>o</w:t>
      </w:r>
      <w:r w:rsidRPr="009A519C">
        <w:rPr>
          <w:rFonts w:cs="Arial"/>
        </w:rPr>
        <w:t>cresol</w:t>
      </w:r>
      <w:proofErr w:type="spellEnd"/>
      <w:r w:rsidRPr="009A519C">
        <w:rPr>
          <w:rFonts w:cs="Arial"/>
        </w:rPr>
        <w:t xml:space="preserve"> green-methyl red indicator</w:t>
      </w:r>
      <w:r>
        <w:rPr>
          <w:rFonts w:cs="Arial"/>
        </w:rPr>
        <w:t xml:space="preserve"> in the field</w:t>
      </w:r>
      <w:r w:rsidRPr="009A519C">
        <w:rPr>
          <w:rFonts w:cs="Arial"/>
        </w:rPr>
        <w:t xml:space="preserve"> (</w:t>
      </w:r>
      <w:proofErr w:type="spellStart"/>
      <w:r w:rsidRPr="009A519C">
        <w:rPr>
          <w:rFonts w:cs="Arial"/>
        </w:rPr>
        <w:t>Hach</w:t>
      </w:r>
      <w:proofErr w:type="spellEnd"/>
      <w:r w:rsidRPr="009A519C">
        <w:rPr>
          <w:rFonts w:cs="Arial"/>
        </w:rPr>
        <w:t xml:space="preserve"> Method 8203</w:t>
      </w:r>
      <w:r>
        <w:rPr>
          <w:rFonts w:cs="Arial"/>
        </w:rPr>
        <w:t>/APHA 2320</w:t>
      </w:r>
      <w:r w:rsidRPr="009A519C">
        <w:rPr>
          <w:rFonts w:cs="Arial"/>
        </w:rPr>
        <w:t xml:space="preserve">).  </w:t>
      </w:r>
      <w:r w:rsidRPr="009A519C">
        <w:rPr>
          <w:rFonts w:cs="Arial"/>
          <w:i/>
        </w:rPr>
        <w:t xml:space="preserve">In situ </w:t>
      </w:r>
      <w:r w:rsidRPr="009A519C">
        <w:rPr>
          <w:rFonts w:cs="Arial"/>
        </w:rPr>
        <w:t xml:space="preserve">water quality </w:t>
      </w:r>
      <w:r>
        <w:rPr>
          <w:rFonts w:cs="Arial"/>
        </w:rPr>
        <w:t xml:space="preserve">physical </w:t>
      </w:r>
      <w:r w:rsidRPr="009A519C">
        <w:rPr>
          <w:rFonts w:cs="Arial"/>
        </w:rPr>
        <w:t xml:space="preserve">parameters </w:t>
      </w:r>
      <w:r>
        <w:rPr>
          <w:rFonts w:cs="Arial"/>
        </w:rPr>
        <w:t>(temperature (</w:t>
      </w:r>
      <w:proofErr w:type="spellStart"/>
      <w:r w:rsidRPr="000837FB">
        <w:rPr>
          <w:rFonts w:cs="Arial"/>
          <w:vertAlign w:val="superscript"/>
        </w:rPr>
        <w:t>o</w:t>
      </w:r>
      <w:r>
        <w:rPr>
          <w:rFonts w:cs="Arial"/>
        </w:rPr>
        <w:t>C</w:t>
      </w:r>
      <w:proofErr w:type="spellEnd"/>
      <w:r>
        <w:rPr>
          <w:rFonts w:cs="Arial"/>
        </w:rPr>
        <w:t xml:space="preserve">), </w:t>
      </w:r>
      <w:r w:rsidRPr="005A076A">
        <w:rPr>
          <w:rFonts w:cs="Arial"/>
        </w:rPr>
        <w:t>pH</w:t>
      </w:r>
      <w:r>
        <w:rPr>
          <w:rFonts w:cs="Arial"/>
        </w:rPr>
        <w:t xml:space="preserve"> (</w:t>
      </w:r>
      <w:proofErr w:type="spellStart"/>
      <w:r>
        <w:rPr>
          <w:rFonts w:cs="Arial"/>
        </w:rPr>
        <w:t>su</w:t>
      </w:r>
      <w:proofErr w:type="spellEnd"/>
      <w:r>
        <w:rPr>
          <w:rFonts w:cs="Arial"/>
        </w:rPr>
        <w:t>)</w:t>
      </w:r>
      <w:r w:rsidRPr="005A076A">
        <w:rPr>
          <w:rFonts w:cs="Arial"/>
        </w:rPr>
        <w:t xml:space="preserve">, </w:t>
      </w:r>
      <w:r>
        <w:rPr>
          <w:rFonts w:cs="Arial"/>
        </w:rPr>
        <w:t>c</w:t>
      </w:r>
      <w:r w:rsidRPr="005A076A">
        <w:rPr>
          <w:rFonts w:cs="Arial"/>
        </w:rPr>
        <w:t>ond</w:t>
      </w:r>
      <w:r>
        <w:rPr>
          <w:rFonts w:cs="Arial"/>
        </w:rPr>
        <w:t>uctivity (</w:t>
      </w:r>
      <w:r>
        <w:rPr>
          <w:rFonts w:cstheme="minorHAnsi"/>
        </w:rPr>
        <w:t>µ</w:t>
      </w:r>
      <w:r>
        <w:rPr>
          <w:rFonts w:cs="Arial"/>
        </w:rPr>
        <w:t>S/cm)</w:t>
      </w:r>
      <w:r w:rsidRPr="005A076A">
        <w:rPr>
          <w:rFonts w:cs="Arial"/>
        </w:rPr>
        <w:t xml:space="preserve">, </w:t>
      </w:r>
      <w:r>
        <w:rPr>
          <w:rFonts w:cs="Arial"/>
        </w:rPr>
        <w:t>s</w:t>
      </w:r>
      <w:r w:rsidRPr="005A076A">
        <w:rPr>
          <w:rFonts w:cs="Arial"/>
        </w:rPr>
        <w:t>p</w:t>
      </w:r>
      <w:r>
        <w:rPr>
          <w:rFonts w:cs="Arial"/>
        </w:rPr>
        <w:t>ecific conductance (</w:t>
      </w:r>
      <w:proofErr w:type="spellStart"/>
      <w:r>
        <w:rPr>
          <w:rFonts w:cs="Arial"/>
        </w:rPr>
        <w:t>mS</w:t>
      </w:r>
      <w:proofErr w:type="spellEnd"/>
      <w:r>
        <w:rPr>
          <w:rFonts w:cs="Arial"/>
        </w:rPr>
        <w:t>/cm)</w:t>
      </w:r>
      <w:r w:rsidRPr="005A076A">
        <w:rPr>
          <w:rFonts w:cs="Arial"/>
        </w:rPr>
        <w:t>,</w:t>
      </w:r>
      <w:r>
        <w:rPr>
          <w:rFonts w:cs="Arial"/>
        </w:rPr>
        <w:t xml:space="preserve"> sa</w:t>
      </w:r>
      <w:r w:rsidRPr="005A076A">
        <w:rPr>
          <w:rFonts w:cs="Arial"/>
        </w:rPr>
        <w:t>l</w:t>
      </w:r>
      <w:r>
        <w:rPr>
          <w:rFonts w:cs="Arial"/>
        </w:rPr>
        <w:t>inity (</w:t>
      </w:r>
      <w:proofErr w:type="spellStart"/>
      <w:r>
        <w:rPr>
          <w:rFonts w:cs="Arial"/>
        </w:rPr>
        <w:t>ppt</w:t>
      </w:r>
      <w:proofErr w:type="spellEnd"/>
      <w:r>
        <w:rPr>
          <w:rFonts w:cs="Arial"/>
        </w:rPr>
        <w:t>)</w:t>
      </w:r>
      <w:r w:rsidRPr="005A076A">
        <w:rPr>
          <w:rFonts w:cs="Arial"/>
        </w:rPr>
        <w:t xml:space="preserve">, </w:t>
      </w:r>
      <w:r>
        <w:rPr>
          <w:rFonts w:cs="Arial"/>
        </w:rPr>
        <w:t>total dissolved solids (g/L)</w:t>
      </w:r>
      <w:r w:rsidRPr="005A076A">
        <w:rPr>
          <w:rFonts w:cs="Arial"/>
        </w:rPr>
        <w:t>,</w:t>
      </w:r>
      <w:r>
        <w:rPr>
          <w:rFonts w:cs="Arial"/>
        </w:rPr>
        <w:t xml:space="preserve"> dissolved oxygen (mg/L and %), and oxidation-reduction potential (mV) were measured </w:t>
      </w:r>
      <w:r w:rsidRPr="009A519C">
        <w:rPr>
          <w:rFonts w:cs="Arial"/>
        </w:rPr>
        <w:t>with a field</w:t>
      </w:r>
      <w:r>
        <w:rPr>
          <w:rFonts w:cs="Arial"/>
        </w:rPr>
        <w:t>-</w:t>
      </w:r>
      <w:r w:rsidRPr="009A519C">
        <w:rPr>
          <w:rFonts w:cs="Arial"/>
        </w:rPr>
        <w:t xml:space="preserve">calibrated YSI </w:t>
      </w:r>
      <w:r>
        <w:rPr>
          <w:rFonts w:cs="Arial"/>
        </w:rPr>
        <w:t xml:space="preserve">600 </w:t>
      </w:r>
      <w:proofErr w:type="spellStart"/>
      <w:r>
        <w:rPr>
          <w:rFonts w:cs="Arial"/>
        </w:rPr>
        <w:t>Series</w:t>
      </w:r>
      <w:proofErr w:type="spellEnd"/>
      <w:r>
        <w:rPr>
          <w:rFonts w:cs="Arial"/>
        </w:rPr>
        <w:t xml:space="preserve"> </w:t>
      </w:r>
      <w:proofErr w:type="spellStart"/>
      <w:r w:rsidRPr="009A519C">
        <w:rPr>
          <w:rFonts w:cs="Arial"/>
        </w:rPr>
        <w:t>Sonde</w:t>
      </w:r>
      <w:proofErr w:type="spellEnd"/>
      <w:r w:rsidRPr="009A519C">
        <w:rPr>
          <w:rFonts w:cs="Arial"/>
        </w:rPr>
        <w:t>/650</w:t>
      </w:r>
      <w:r>
        <w:rPr>
          <w:rFonts w:cs="Arial"/>
        </w:rPr>
        <w:t xml:space="preserve"> MDS</w:t>
      </w:r>
      <w:r w:rsidRPr="009A519C">
        <w:rPr>
          <w:rFonts w:cs="Arial"/>
        </w:rPr>
        <w:t xml:space="preserve"> interface at the outflow </w:t>
      </w:r>
      <w:r>
        <w:rPr>
          <w:rFonts w:cs="Arial"/>
        </w:rPr>
        <w:t xml:space="preserve">of </w:t>
      </w:r>
      <w:r w:rsidRPr="009A519C">
        <w:rPr>
          <w:rFonts w:cs="Arial"/>
        </w:rPr>
        <w:t>each treatment unit and fo</w:t>
      </w:r>
      <w:r>
        <w:rPr>
          <w:rFonts w:cs="Arial"/>
        </w:rPr>
        <w:t xml:space="preserve">r the three system influent seeps. </w:t>
      </w:r>
    </w:p>
    <w:p w14:paraId="72A23C0A" w14:textId="77777777" w:rsidR="009D74F0" w:rsidRDefault="007A581B" w:rsidP="004875FF">
      <w:pPr>
        <w:spacing w:before="100" w:beforeAutospacing="1" w:after="100" w:afterAutospacing="1" w:line="480" w:lineRule="auto"/>
        <w:ind w:right="36"/>
        <w:jc w:val="both"/>
        <w:rPr>
          <w:rFonts w:cs="Arial"/>
        </w:rPr>
      </w:pPr>
      <w:r>
        <w:rPr>
          <w:rFonts w:cs="Arial"/>
        </w:rPr>
        <w:t xml:space="preserve">CREW operates under an EPA-approved Quality Management Plan and related Quality Assurance Project Plans.  CREW quality assurance-quality control (QA/QC) protocols dictate instrument calibration, and field verification.  Inclusion of duplicate, blank, and standard spike samples for all analyses are included in a suite of Standard Operating Procedures (SOPs). </w:t>
      </w:r>
      <w:r w:rsidRPr="00057EDB">
        <w:rPr>
          <w:rFonts w:cs="Arial"/>
        </w:rPr>
        <w:t xml:space="preserve"> </w:t>
      </w:r>
      <w:r w:rsidRPr="009A519C">
        <w:rPr>
          <w:shd w:val="clear" w:color="auto" w:fill="FFFFFF"/>
        </w:rPr>
        <w:t xml:space="preserve">Chain of Custody (COC) </w:t>
      </w:r>
      <w:r>
        <w:rPr>
          <w:shd w:val="clear" w:color="auto" w:fill="FFFFFF"/>
        </w:rPr>
        <w:t>forms identify</w:t>
      </w:r>
      <w:r w:rsidRPr="009A519C">
        <w:rPr>
          <w:shd w:val="clear" w:color="auto" w:fill="FFFFFF"/>
        </w:rPr>
        <w:t>, track, and document sample</w:t>
      </w:r>
      <w:r>
        <w:rPr>
          <w:shd w:val="clear" w:color="auto" w:fill="FFFFFF"/>
        </w:rPr>
        <w:t xml:space="preserve"> handling</w:t>
      </w:r>
      <w:r w:rsidRPr="009A519C">
        <w:rPr>
          <w:shd w:val="clear" w:color="auto" w:fill="FFFFFF"/>
        </w:rPr>
        <w:t xml:space="preserve"> and analysis </w:t>
      </w:r>
      <w:r>
        <w:rPr>
          <w:shd w:val="clear" w:color="auto" w:fill="FFFFFF"/>
        </w:rPr>
        <w:t>outputs</w:t>
      </w:r>
      <w:r w:rsidRPr="009A519C">
        <w:rPr>
          <w:shd w:val="clear" w:color="auto" w:fill="FFFFFF"/>
        </w:rPr>
        <w:t xml:space="preserve"> throughout the laboratory testing process.</w:t>
      </w:r>
      <w:r w:rsidRPr="009A519C">
        <w:rPr>
          <w:rFonts w:cs="Arial"/>
        </w:rPr>
        <w:t xml:space="preserve"> </w:t>
      </w:r>
      <w:r>
        <w:rPr>
          <w:rFonts w:cs="Arial"/>
        </w:rPr>
        <w:t>Field equipment is serviced and calibrated before deployment to determine any performance issues, and then recalibrated on site to ensure accuracy by correcting for environmental influences.  Total and dissolved metals samples are preserved with 2 mL of concentrated trace metal-grade nitric acid upon collection. Field duplicate and blank samples are collected for every 10 samples, and calibration checks to document drift are performed at the end of the sample collection period.  Samples are transported on ice (4</w:t>
      </w:r>
      <w:r w:rsidRPr="009A519C">
        <w:rPr>
          <w:rFonts w:cs="Arial"/>
          <w:vertAlign w:val="superscript"/>
        </w:rPr>
        <w:t>o</w:t>
      </w:r>
      <w:r>
        <w:rPr>
          <w:rFonts w:cs="Arial"/>
        </w:rPr>
        <w:t xml:space="preserve"> C) back to CREW laboratories for processing. Sample processing is monitored for random and systematic error with duplicate, blank, and standard spikes to assess matrix effects for positive / negative measurement bias. Samples analyzed in </w:t>
      </w:r>
      <w:r>
        <w:rPr>
          <w:rFonts w:cs="Arial"/>
        </w:rPr>
        <w:lastRenderedPageBreak/>
        <w:t xml:space="preserve">the laboratory are also accompanied by a set of laboratory duplicate, blank, and standard spikes for every 10 samples collected to assess precision and accuracy of methodologies and instrumentation. Laboratory equipment is calibrated before each analysis, with verification standards and blanks placed into the sample analysis queue for every 10 samples. Yttrium (3 ppm) is used as an internal standard for all ICP-OES analyses as a correction for non-spectral interferences.  Waste loadings from sample processing and analysis are documented alongside collection vessels that are managed by OU Environmental Health and </w:t>
      </w:r>
      <w:r w:rsidR="009D74F0">
        <w:rPr>
          <w:rFonts w:cs="Arial"/>
        </w:rPr>
        <w:t>Safety protocols and personnel.</w:t>
      </w:r>
    </w:p>
    <w:p w14:paraId="06B53322" w14:textId="6ADB1ADB" w:rsidR="007A581B" w:rsidRPr="009D74F0" w:rsidRDefault="007A581B" w:rsidP="004875FF">
      <w:pPr>
        <w:spacing w:before="100" w:beforeAutospacing="1" w:after="100" w:afterAutospacing="1" w:line="360" w:lineRule="auto"/>
        <w:ind w:right="36"/>
        <w:jc w:val="both"/>
        <w:rPr>
          <w:rFonts w:cs="Arial"/>
          <w:i/>
        </w:rPr>
      </w:pPr>
      <w:r w:rsidRPr="009D74F0">
        <w:rPr>
          <w:i/>
        </w:rPr>
        <w:t xml:space="preserve">MRPTS Performance </w:t>
      </w:r>
    </w:p>
    <w:p w14:paraId="5AA48F35" w14:textId="22CD01FA" w:rsidR="009F7B64" w:rsidRDefault="007A581B" w:rsidP="001E3B0E">
      <w:pPr>
        <w:spacing w:before="100" w:beforeAutospacing="1" w:after="100" w:afterAutospacing="1" w:line="480" w:lineRule="auto"/>
        <w:jc w:val="both"/>
        <w:rPr>
          <w:rFonts w:cs="Arial"/>
        </w:rPr>
      </w:pPr>
      <w:r>
        <w:rPr>
          <w:rFonts w:cs="Arial"/>
        </w:rPr>
        <w:t xml:space="preserve">Table 1.4 is a summary of mean values </w:t>
      </w:r>
      <w:r>
        <w:rPr>
          <w:rFonts w:cstheme="minorHAnsi"/>
        </w:rPr>
        <w:t>±</w:t>
      </w:r>
      <w:r>
        <w:rPr>
          <w:rFonts w:cs="Arial"/>
        </w:rPr>
        <w:t xml:space="preserve"> standard deviation (</w:t>
      </w:r>
      <w:r>
        <w:rPr>
          <w:rFonts w:cstheme="minorHAnsi"/>
        </w:rPr>
        <w:t>σ</w:t>
      </w:r>
      <w:r>
        <w:rPr>
          <w:rFonts w:cs="Arial"/>
        </w:rPr>
        <w:t>) for each treatment cell type in the system with parallel cells averaged together for reporting purpose</w:t>
      </w:r>
      <w:r w:rsidR="00F66236">
        <w:rPr>
          <w:rFonts w:cs="Arial"/>
        </w:rPr>
        <w:t xml:space="preserve">s. </w:t>
      </w:r>
      <w:r>
        <w:rPr>
          <w:rFonts w:cs="Arial"/>
        </w:rPr>
        <w:t xml:space="preserve">The MRPTS has functioned in accordance with its objectives of metals removal and alkalinity generation over the first seven years of operation. The metals loaded into the passive treatment system are in the dissolved state, and are removed through the cooperative effort of oxidation/reduction reactions favored by individual cell design.  Iron oxidation, hydrolysis, sedimentation, and accumulation within Cell 1 removes 73% of the total iron on average. The addition of Cell 2N/2S in series with Cell 1 removes approximately 95% of the iron load as iron </w:t>
      </w:r>
      <w:proofErr w:type="spellStart"/>
      <w:r>
        <w:rPr>
          <w:rFonts w:cs="Arial"/>
        </w:rPr>
        <w:t>oxyhydroxides</w:t>
      </w:r>
      <w:proofErr w:type="spellEnd"/>
      <w:r>
        <w:rPr>
          <w:rFonts w:cs="Arial"/>
        </w:rPr>
        <w:t xml:space="preserve"> (Figure 1.2).  The average removal rate of iron within Cell 1 (19.0 </w:t>
      </w:r>
      <w:r>
        <w:rPr>
          <w:rFonts w:cstheme="minorHAnsi"/>
        </w:rPr>
        <w:t xml:space="preserve">± </w:t>
      </w:r>
      <w:r>
        <w:rPr>
          <w:rFonts w:cs="Arial"/>
        </w:rPr>
        <w:t>3.4 g Fe / m</w:t>
      </w:r>
      <w:r w:rsidRPr="00C87C44">
        <w:rPr>
          <w:rFonts w:cs="Arial"/>
          <w:vertAlign w:val="superscript"/>
        </w:rPr>
        <w:t>2</w:t>
      </w:r>
      <w:r>
        <w:rPr>
          <w:rFonts w:cs="Arial"/>
        </w:rPr>
        <w:t>/day for 2009-2013) is consistent with the design rate of 20 g/m</w:t>
      </w:r>
      <w:r w:rsidRPr="00DB2E58">
        <w:rPr>
          <w:rFonts w:cs="Arial"/>
          <w:vertAlign w:val="superscript"/>
        </w:rPr>
        <w:t>2</w:t>
      </w:r>
      <w:r>
        <w:rPr>
          <w:rFonts w:cs="Arial"/>
        </w:rPr>
        <w:t>/</w:t>
      </w:r>
      <w:r w:rsidR="00F66236">
        <w:rPr>
          <w:rFonts w:cs="Arial"/>
        </w:rPr>
        <w:t xml:space="preserve">day. </w:t>
      </w:r>
      <w:r>
        <w:rPr>
          <w:rFonts w:cs="Arial"/>
        </w:rPr>
        <w:t>The greatest variability in iron removal was observed in Cell 1 as indicated by the large standard deviation error bars in figure 1.2 and</w:t>
      </w:r>
      <w:r w:rsidR="004875FF">
        <w:rPr>
          <w:rFonts w:cs="Arial"/>
        </w:rPr>
        <w:t xml:space="preserve"> warrants a more detailed assessment for the optimization of the iron removal mechanism.</w:t>
      </w:r>
      <w:r w:rsidR="001E3B0E">
        <w:rPr>
          <w:rFonts w:cs="Arial"/>
        </w:rPr>
        <w:br/>
      </w:r>
      <w:r w:rsidR="004875FF">
        <w:rPr>
          <w:noProof/>
        </w:rPr>
        <w:lastRenderedPageBreak/>
        <w:drawing>
          <wp:inline distT="0" distB="0" distL="0" distR="0" wp14:anchorId="653633BA" wp14:editId="6B6B5670">
            <wp:extent cx="7967963" cy="5049918"/>
            <wp:effectExtent l="0" t="7937" r="6667" b="6668"/>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0624" t="21304" r="6424" b="15398"/>
                    <a:stretch/>
                  </pic:blipFill>
                  <pic:spPr bwMode="auto">
                    <a:xfrm rot="16200000">
                      <a:off x="0" y="0"/>
                      <a:ext cx="7967963" cy="5049918"/>
                    </a:xfrm>
                    <a:prstGeom prst="rect">
                      <a:avLst/>
                    </a:prstGeom>
                    <a:ln>
                      <a:noFill/>
                    </a:ln>
                    <a:extLst>
                      <a:ext uri="{53640926-AAD7-44D8-BBD7-CCE9431645EC}">
                        <a14:shadowObscured xmlns:a14="http://schemas.microsoft.com/office/drawing/2010/main"/>
                      </a:ext>
                    </a:extLst>
                  </pic:spPr>
                </pic:pic>
              </a:graphicData>
            </a:graphic>
          </wp:inline>
        </w:drawing>
      </w:r>
      <w:r w:rsidR="009F7B64">
        <w:rPr>
          <w:noProof/>
        </w:rPr>
        <w:lastRenderedPageBreak/>
        <w:drawing>
          <wp:inline distT="0" distB="0" distL="0" distR="0" wp14:anchorId="20B1A849" wp14:editId="3E864082">
            <wp:extent cx="5353050" cy="277177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9F7B64" w:rsidRPr="004875FF">
        <w:rPr>
          <w:rFonts w:cs="Arial"/>
          <w:sz w:val="20"/>
          <w:szCs w:val="20"/>
        </w:rPr>
        <w:t>Figure 1.2: Total and Dissolved iron removal in the MRPTS with respect to treatment cell. Error bars indicate the standard deviation of the dataset.</w:t>
      </w:r>
      <w:r w:rsidR="009F7B64">
        <w:rPr>
          <w:rFonts w:cs="Arial"/>
        </w:rPr>
        <w:t xml:space="preserve">  </w:t>
      </w:r>
    </w:p>
    <w:p w14:paraId="185BAE87" w14:textId="47793280" w:rsidR="004875FF" w:rsidRDefault="004875FF" w:rsidP="004875FF">
      <w:pPr>
        <w:spacing w:before="100" w:beforeAutospacing="1" w:after="100" w:afterAutospacing="1" w:line="480" w:lineRule="auto"/>
        <w:ind w:right="36"/>
        <w:jc w:val="both"/>
        <w:rPr>
          <w:rFonts w:cs="Arial"/>
        </w:rPr>
      </w:pPr>
      <w:r>
        <w:rPr>
          <w:rFonts w:cs="Arial"/>
        </w:rPr>
        <w:t xml:space="preserve">Most trace metals are removed in the vertical flow bioreactors (VFBRs) per design of Cell 3N/S. Bacterial communities within the compost layer and the continuously flooded substrate maintain reducing conditions that favor the precipitation of trace metals as metal sulfides and sorption onto organic surfaces. Zinc loading into the passive treatment system is attenuated by 20% within Cell 1, and by 37% by Cell 2N/S effluent through iron sorption within the </w:t>
      </w:r>
      <w:r w:rsidR="00CC135E">
        <w:rPr>
          <w:rFonts w:cs="Arial"/>
        </w:rPr>
        <w:t>oxidative</w:t>
      </w:r>
      <w:r>
        <w:rPr>
          <w:rFonts w:cs="Arial"/>
        </w:rPr>
        <w:t xml:space="preserve"> unit (Cell 1 + Cell 2N/S). Cadmium concentrations diminished by 70% within Cell 1, and by 88% by the effluent flow out of C2N/S. Lead concentrations decreased by 54% of the initial concentration within Cell 1 and 62% within the oxidative units (Cell 1 + C2N/S). Arsenic concentrations dropped below detection limits within Cell 1, indicating effective sorption to iron solids before reaching C2N/S.  Alkalinity is consumed within the oxidative unit as iron oxidation and hydrolysis liberate latent acidity, yet additional alkalinity is generated within Cell 3N/S and maintained throughout the rest of the system (Cells 4N/S, 5N/S, and 6). </w:t>
      </w:r>
    </w:p>
    <w:p w14:paraId="104320DA" w14:textId="3B45859C" w:rsidR="004875FF" w:rsidRDefault="004875FF" w:rsidP="004875FF">
      <w:pPr>
        <w:spacing w:before="100" w:beforeAutospacing="1" w:after="100" w:afterAutospacing="1" w:line="480" w:lineRule="auto"/>
        <w:ind w:right="36"/>
        <w:jc w:val="both"/>
        <w:rPr>
          <w:rFonts w:cs="Arial"/>
        </w:rPr>
      </w:pPr>
      <w:r>
        <w:rPr>
          <w:rFonts w:cs="Arial"/>
        </w:rPr>
        <w:lastRenderedPageBreak/>
        <w:t>The impact of the passive treatment system on the water quality of the tributary stream is documented in Table 1.5. The removal</w:t>
      </w:r>
      <w:r w:rsidR="00CC135E">
        <w:rPr>
          <w:rFonts w:cs="Arial"/>
        </w:rPr>
        <w:t xml:space="preserve"> of iron from the water column (oxidation, hydrolysis, and sedimentation)</w:t>
      </w:r>
      <w:r>
        <w:rPr>
          <w:rFonts w:cs="Arial"/>
        </w:rPr>
        <w:t xml:space="preserve"> and retention</w:t>
      </w:r>
      <w:r w:rsidR="00CC135E">
        <w:rPr>
          <w:rFonts w:cs="Arial"/>
        </w:rPr>
        <w:t xml:space="preserve"> (accumulation of sequestered </w:t>
      </w:r>
      <w:r w:rsidR="001E3B0E">
        <w:rPr>
          <w:rFonts w:cs="Arial"/>
        </w:rPr>
        <w:t>precipitates) of</w:t>
      </w:r>
      <w:r>
        <w:rPr>
          <w:rFonts w:cs="Arial"/>
        </w:rPr>
        <w:t xml:space="preserve"> metals within the passive treatment system yielded improved water quality in the tributary downstream from the passive treatment system for iron, zinc, nickel, cadmium, lead, and arsenic.  The removal and storage of metals species from the Mayer Ranch seeps improves water quality through prevention of point source impacts, as well as through dilution of metals concentrations being transported within the tributary from upstream AMD loading.  Although a primary function of the passive treatment system is removal and retention, it does export sulfate and hardness as total dissolved solids. </w:t>
      </w:r>
      <w:proofErr w:type="spellStart"/>
      <w:r>
        <w:rPr>
          <w:rFonts w:cs="Arial"/>
        </w:rPr>
        <w:t>Nairn</w:t>
      </w:r>
      <w:proofErr w:type="spellEnd"/>
      <w:r>
        <w:rPr>
          <w:rFonts w:cs="Arial"/>
        </w:rPr>
        <w:t xml:space="preserve"> et al. (2010) reported over the first-year performance of the passive treatment system including sulfate, hardness, and alkalinity export in addition to metals removal with performances consistent to the seven-year average.  </w:t>
      </w:r>
      <w:proofErr w:type="spellStart"/>
      <w:r>
        <w:rPr>
          <w:rFonts w:cs="Arial"/>
        </w:rPr>
        <w:t>Labar</w:t>
      </w:r>
      <w:proofErr w:type="spellEnd"/>
      <w:r>
        <w:rPr>
          <w:rFonts w:cs="Arial"/>
        </w:rPr>
        <w:t xml:space="preserve"> et al. (2010) reported on tributary water quality improvement after one year of operation. Fish diversity and abundance surveys area currently underway to determine ecosystem-level effects of site-specific AMD remediation of surface water resources previously impacted by the Mayer Ranch seeps, with sunfish, darters, and largemouth bass being observed in the channel for the first time since the initial mine water discharge in 1979 </w:t>
      </w:r>
      <w:r w:rsidR="00B816F7">
        <w:rPr>
          <w:rFonts w:cs="Arial"/>
        </w:rPr>
        <w:t>(</w:t>
      </w:r>
      <w:proofErr w:type="spellStart"/>
      <w:r w:rsidR="00B816F7">
        <w:rPr>
          <w:rFonts w:cs="Arial"/>
        </w:rPr>
        <w:t>Franssen</w:t>
      </w:r>
      <w:proofErr w:type="spellEnd"/>
      <w:r w:rsidR="00B816F7">
        <w:rPr>
          <w:rFonts w:cs="Arial"/>
        </w:rPr>
        <w:t xml:space="preserve"> 2009; </w:t>
      </w:r>
      <w:proofErr w:type="spellStart"/>
      <w:r w:rsidR="001B48F7">
        <w:rPr>
          <w:rFonts w:cs="Arial"/>
        </w:rPr>
        <w:t>Bergey</w:t>
      </w:r>
      <w:proofErr w:type="spellEnd"/>
      <w:r w:rsidR="001B48F7">
        <w:rPr>
          <w:rFonts w:cs="Arial"/>
        </w:rPr>
        <w:t xml:space="preserve"> and White 2010; </w:t>
      </w:r>
      <w:r w:rsidR="00B816F7">
        <w:rPr>
          <w:rFonts w:cs="Arial"/>
        </w:rPr>
        <w:t>Sheppard et al 2014)</w:t>
      </w:r>
      <w:r w:rsidR="00232D6F">
        <w:rPr>
          <w:rFonts w:cs="Arial"/>
        </w:rPr>
        <w:t xml:space="preserve">. </w:t>
      </w:r>
      <w:r>
        <w:rPr>
          <w:rFonts w:cs="Arial"/>
        </w:rPr>
        <w:t xml:space="preserve">Lessons learned from system performance, maintenance, and operations influence the design of future passive treatment systems within the same watershed. </w:t>
      </w:r>
    </w:p>
    <w:p w14:paraId="752382F7" w14:textId="77777777" w:rsidR="001E3B0E" w:rsidRDefault="001E3B0E" w:rsidP="004875FF">
      <w:pPr>
        <w:spacing w:before="100" w:beforeAutospacing="1" w:after="100" w:afterAutospacing="1" w:line="480" w:lineRule="auto"/>
        <w:ind w:right="36"/>
        <w:jc w:val="both"/>
        <w:rPr>
          <w:rFonts w:cs="Arial"/>
        </w:rPr>
      </w:pPr>
    </w:p>
    <w:p w14:paraId="57BF5B2C" w14:textId="16A7CB1C" w:rsidR="009F7B64" w:rsidRPr="00232D6F" w:rsidRDefault="009F7B64" w:rsidP="004F4017">
      <w:pPr>
        <w:pStyle w:val="Heading3"/>
        <w:rPr>
          <w:rFonts w:asciiTheme="minorHAnsi" w:hAnsiTheme="minorHAnsi" w:cstheme="minorHAnsi"/>
          <w:szCs w:val="20"/>
        </w:rPr>
      </w:pPr>
      <w:r w:rsidRPr="00232D6F">
        <w:rPr>
          <w:rFonts w:asciiTheme="minorHAnsi" w:hAnsiTheme="minorHAnsi" w:cstheme="minorHAnsi"/>
          <w:szCs w:val="20"/>
        </w:rPr>
        <w:lastRenderedPageBreak/>
        <w:t xml:space="preserve">Table 1.5: </w:t>
      </w:r>
      <w:r w:rsidR="00232D6F" w:rsidRPr="00232D6F">
        <w:rPr>
          <w:rFonts w:asciiTheme="minorHAnsi" w:hAnsiTheme="minorHAnsi" w:cstheme="minorHAnsi"/>
          <w:szCs w:val="20"/>
        </w:rPr>
        <w:t>Mean</w:t>
      </w:r>
      <w:r w:rsidRPr="00232D6F">
        <w:rPr>
          <w:rFonts w:asciiTheme="minorHAnsi" w:hAnsiTheme="minorHAnsi" w:cstheme="minorHAnsi"/>
          <w:szCs w:val="20"/>
        </w:rPr>
        <w:t xml:space="preserve"> (</w:t>
      </w:r>
      <w:r w:rsidR="00232D6F" w:rsidRPr="00232D6F">
        <w:rPr>
          <w:rFonts w:asciiTheme="minorHAnsi" w:hAnsiTheme="minorHAnsi" w:cstheme="minorHAnsi"/>
          <w:szCs w:val="20"/>
        </w:rPr>
        <w:t>±standard deviation</w:t>
      </w:r>
      <w:r w:rsidRPr="00232D6F">
        <w:rPr>
          <w:rFonts w:asciiTheme="minorHAnsi" w:hAnsiTheme="minorHAnsi" w:cstheme="minorHAnsi"/>
          <w:szCs w:val="20"/>
        </w:rPr>
        <w:t xml:space="preserve">) Water Quality Impact of the Mayer Ranch Passive Treatment System on the Unnamed Tributary 2009-2015. </w:t>
      </w:r>
      <w:r w:rsidR="004F4017" w:rsidRPr="00232D6F">
        <w:rPr>
          <w:rFonts w:asciiTheme="minorHAnsi" w:hAnsiTheme="minorHAnsi" w:cstheme="minorHAnsi"/>
          <w:szCs w:val="20"/>
        </w:rPr>
        <w:t>(Continued on next page)</w:t>
      </w:r>
    </w:p>
    <w:tbl>
      <w:tblPr>
        <w:tblW w:w="8280" w:type="dxa"/>
        <w:tblLook w:val="04A0" w:firstRow="1" w:lastRow="0" w:firstColumn="1" w:lastColumn="0" w:noHBand="0" w:noVBand="1"/>
      </w:tblPr>
      <w:tblGrid>
        <w:gridCol w:w="1272"/>
        <w:gridCol w:w="740"/>
        <w:gridCol w:w="2128"/>
        <w:gridCol w:w="1800"/>
        <w:gridCol w:w="2340"/>
      </w:tblGrid>
      <w:tr w:rsidR="001E3B0E" w:rsidRPr="00232D6F" w14:paraId="1665B13A" w14:textId="5EC1D3A1" w:rsidTr="001E3B0E">
        <w:trPr>
          <w:trHeight w:val="575"/>
        </w:trPr>
        <w:tc>
          <w:tcPr>
            <w:tcW w:w="1272" w:type="dxa"/>
            <w:tcBorders>
              <w:top w:val="single" w:sz="4" w:space="0" w:color="auto"/>
              <w:left w:val="nil"/>
              <w:bottom w:val="double" w:sz="6" w:space="0" w:color="auto"/>
              <w:right w:val="nil"/>
            </w:tcBorders>
            <w:shd w:val="clear" w:color="auto" w:fill="auto"/>
            <w:vAlign w:val="bottom"/>
            <w:hideMark/>
          </w:tcPr>
          <w:p w14:paraId="63199B59" w14:textId="77777777" w:rsidR="001E3B0E" w:rsidRPr="00232D6F" w:rsidRDefault="001E3B0E" w:rsidP="00232D6F">
            <w:pPr>
              <w:spacing w:after="0" w:line="240" w:lineRule="auto"/>
              <w:rPr>
                <w:rFonts w:eastAsia="Times New Roman" w:cstheme="minorHAnsi"/>
                <w:bCs/>
                <w:sz w:val="20"/>
                <w:szCs w:val="20"/>
              </w:rPr>
            </w:pPr>
            <w:r w:rsidRPr="00232D6F">
              <w:rPr>
                <w:rFonts w:eastAsia="Times New Roman" w:cstheme="minorHAnsi"/>
                <w:bCs/>
                <w:sz w:val="20"/>
                <w:szCs w:val="20"/>
              </w:rPr>
              <w:t>Total Metals</w:t>
            </w:r>
          </w:p>
        </w:tc>
        <w:tc>
          <w:tcPr>
            <w:tcW w:w="740" w:type="dxa"/>
            <w:tcBorders>
              <w:top w:val="single" w:sz="4" w:space="0" w:color="auto"/>
              <w:left w:val="nil"/>
              <w:bottom w:val="double" w:sz="6" w:space="0" w:color="auto"/>
              <w:right w:val="nil"/>
            </w:tcBorders>
            <w:shd w:val="clear" w:color="auto" w:fill="auto"/>
            <w:vAlign w:val="bottom"/>
            <w:hideMark/>
          </w:tcPr>
          <w:p w14:paraId="6869828A" w14:textId="77777777" w:rsidR="001E3B0E" w:rsidRPr="00232D6F" w:rsidRDefault="001E3B0E" w:rsidP="00232D6F">
            <w:pPr>
              <w:spacing w:after="0" w:line="240" w:lineRule="auto"/>
              <w:jc w:val="center"/>
              <w:rPr>
                <w:rFonts w:eastAsia="Times New Roman" w:cstheme="minorHAnsi"/>
                <w:bCs/>
                <w:sz w:val="20"/>
                <w:szCs w:val="20"/>
              </w:rPr>
            </w:pPr>
            <w:r w:rsidRPr="00232D6F">
              <w:rPr>
                <w:rFonts w:eastAsia="Times New Roman" w:cstheme="minorHAnsi"/>
                <w:bCs/>
                <w:sz w:val="20"/>
                <w:szCs w:val="20"/>
              </w:rPr>
              <w:t>units</w:t>
            </w:r>
          </w:p>
        </w:tc>
        <w:tc>
          <w:tcPr>
            <w:tcW w:w="2128" w:type="dxa"/>
            <w:tcBorders>
              <w:top w:val="single" w:sz="4" w:space="0" w:color="auto"/>
              <w:left w:val="nil"/>
              <w:bottom w:val="double" w:sz="6" w:space="0" w:color="auto"/>
              <w:right w:val="nil"/>
            </w:tcBorders>
            <w:shd w:val="clear" w:color="auto" w:fill="auto"/>
            <w:vAlign w:val="bottom"/>
            <w:hideMark/>
          </w:tcPr>
          <w:p w14:paraId="32C1E6D6" w14:textId="77777777" w:rsidR="001E3B0E" w:rsidRPr="00232D6F" w:rsidRDefault="001E3B0E" w:rsidP="00232D6F">
            <w:pPr>
              <w:spacing w:after="0" w:line="240" w:lineRule="auto"/>
              <w:jc w:val="center"/>
              <w:rPr>
                <w:rFonts w:eastAsia="Times New Roman" w:cstheme="minorHAnsi"/>
                <w:bCs/>
                <w:sz w:val="20"/>
                <w:szCs w:val="20"/>
              </w:rPr>
            </w:pPr>
            <w:r w:rsidRPr="00232D6F">
              <w:rPr>
                <w:rFonts w:eastAsia="Times New Roman" w:cstheme="minorHAnsi"/>
                <w:bCs/>
                <w:sz w:val="20"/>
                <w:szCs w:val="20"/>
              </w:rPr>
              <w:t>Tributary Upstream from PTS</w:t>
            </w:r>
          </w:p>
        </w:tc>
        <w:tc>
          <w:tcPr>
            <w:tcW w:w="1800" w:type="dxa"/>
            <w:tcBorders>
              <w:top w:val="single" w:sz="4" w:space="0" w:color="auto"/>
              <w:left w:val="nil"/>
              <w:bottom w:val="double" w:sz="6" w:space="0" w:color="auto"/>
              <w:right w:val="nil"/>
            </w:tcBorders>
            <w:shd w:val="clear" w:color="auto" w:fill="auto"/>
            <w:vAlign w:val="bottom"/>
            <w:hideMark/>
          </w:tcPr>
          <w:p w14:paraId="41453096" w14:textId="77777777" w:rsidR="001E3B0E" w:rsidRPr="00232D6F" w:rsidRDefault="001E3B0E" w:rsidP="00232D6F">
            <w:pPr>
              <w:spacing w:after="0" w:line="240" w:lineRule="auto"/>
              <w:jc w:val="center"/>
              <w:rPr>
                <w:rFonts w:eastAsia="Times New Roman" w:cstheme="minorHAnsi"/>
                <w:bCs/>
                <w:sz w:val="20"/>
                <w:szCs w:val="20"/>
              </w:rPr>
            </w:pPr>
            <w:r w:rsidRPr="00232D6F">
              <w:rPr>
                <w:rFonts w:eastAsia="Times New Roman" w:cstheme="minorHAnsi"/>
                <w:bCs/>
                <w:sz w:val="20"/>
                <w:szCs w:val="20"/>
              </w:rPr>
              <w:t>MRPTS Effluent (C6Out)</w:t>
            </w:r>
          </w:p>
        </w:tc>
        <w:tc>
          <w:tcPr>
            <w:tcW w:w="2340" w:type="dxa"/>
            <w:tcBorders>
              <w:top w:val="single" w:sz="4" w:space="0" w:color="auto"/>
              <w:left w:val="nil"/>
              <w:bottom w:val="double" w:sz="6" w:space="0" w:color="auto"/>
              <w:right w:val="nil"/>
            </w:tcBorders>
            <w:vAlign w:val="bottom"/>
          </w:tcPr>
          <w:p w14:paraId="0DF8AD56" w14:textId="0B5FC634" w:rsidR="001E3B0E" w:rsidRPr="00232D6F" w:rsidRDefault="001E3B0E" w:rsidP="00232D6F">
            <w:pPr>
              <w:spacing w:after="0" w:line="240" w:lineRule="auto"/>
              <w:jc w:val="center"/>
              <w:rPr>
                <w:rFonts w:eastAsia="Times New Roman" w:cstheme="minorHAnsi"/>
                <w:bCs/>
                <w:sz w:val="20"/>
                <w:szCs w:val="20"/>
              </w:rPr>
            </w:pPr>
            <w:r w:rsidRPr="00232D6F">
              <w:rPr>
                <w:rFonts w:eastAsia="Times New Roman" w:cstheme="minorHAnsi"/>
                <w:bCs/>
                <w:sz w:val="20"/>
                <w:szCs w:val="20"/>
              </w:rPr>
              <w:t>Tributary Downstream from PTS</w:t>
            </w:r>
          </w:p>
        </w:tc>
      </w:tr>
      <w:tr w:rsidR="001E3B0E" w:rsidRPr="00232D6F" w14:paraId="2DC5DD3C" w14:textId="6388236E" w:rsidTr="001E3B0E">
        <w:trPr>
          <w:trHeight w:val="270"/>
        </w:trPr>
        <w:tc>
          <w:tcPr>
            <w:tcW w:w="1272" w:type="dxa"/>
            <w:tcBorders>
              <w:top w:val="nil"/>
              <w:left w:val="nil"/>
              <w:bottom w:val="nil"/>
              <w:right w:val="nil"/>
            </w:tcBorders>
            <w:shd w:val="clear" w:color="auto" w:fill="auto"/>
            <w:noWrap/>
            <w:vAlign w:val="bottom"/>
            <w:hideMark/>
          </w:tcPr>
          <w:p w14:paraId="564CC387" w14:textId="77777777" w:rsidR="001E3B0E" w:rsidRPr="00232D6F" w:rsidRDefault="001E3B0E" w:rsidP="00232D6F">
            <w:pPr>
              <w:spacing w:after="0" w:line="240" w:lineRule="auto"/>
              <w:jc w:val="right"/>
              <w:rPr>
                <w:rFonts w:eastAsia="Times New Roman" w:cstheme="minorHAnsi"/>
                <w:color w:val="000000"/>
                <w:sz w:val="20"/>
                <w:szCs w:val="20"/>
              </w:rPr>
            </w:pPr>
            <w:r w:rsidRPr="00232D6F">
              <w:rPr>
                <w:rFonts w:eastAsia="Times New Roman" w:cstheme="minorHAnsi"/>
                <w:color w:val="000000"/>
                <w:sz w:val="20"/>
                <w:szCs w:val="20"/>
              </w:rPr>
              <w:t>Iron</w:t>
            </w:r>
          </w:p>
        </w:tc>
        <w:tc>
          <w:tcPr>
            <w:tcW w:w="740" w:type="dxa"/>
            <w:tcBorders>
              <w:top w:val="nil"/>
              <w:left w:val="nil"/>
              <w:bottom w:val="nil"/>
              <w:right w:val="nil"/>
            </w:tcBorders>
            <w:shd w:val="clear" w:color="auto" w:fill="auto"/>
            <w:noWrap/>
            <w:vAlign w:val="bottom"/>
            <w:hideMark/>
          </w:tcPr>
          <w:p w14:paraId="59F5FA7E" w14:textId="77777777" w:rsidR="001E3B0E" w:rsidRPr="00232D6F" w:rsidRDefault="001E3B0E" w:rsidP="00232D6F">
            <w:pPr>
              <w:spacing w:after="0" w:line="240" w:lineRule="auto"/>
              <w:jc w:val="center"/>
              <w:rPr>
                <w:rFonts w:eastAsia="Times New Roman" w:cstheme="minorHAnsi"/>
                <w:color w:val="000000"/>
                <w:sz w:val="20"/>
                <w:szCs w:val="20"/>
              </w:rPr>
            </w:pPr>
            <w:r w:rsidRPr="00232D6F">
              <w:rPr>
                <w:rFonts w:eastAsia="Times New Roman" w:cstheme="minorHAnsi"/>
                <w:color w:val="000000"/>
                <w:sz w:val="20"/>
                <w:szCs w:val="20"/>
              </w:rPr>
              <w:t>mg/L</w:t>
            </w:r>
          </w:p>
        </w:tc>
        <w:tc>
          <w:tcPr>
            <w:tcW w:w="2128" w:type="dxa"/>
            <w:tcBorders>
              <w:top w:val="nil"/>
              <w:left w:val="nil"/>
              <w:bottom w:val="nil"/>
              <w:right w:val="nil"/>
            </w:tcBorders>
            <w:shd w:val="clear" w:color="auto" w:fill="auto"/>
            <w:noWrap/>
            <w:vAlign w:val="bottom"/>
            <w:hideMark/>
          </w:tcPr>
          <w:p w14:paraId="4C97958E"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46.3 ± 27.9</w:t>
            </w:r>
          </w:p>
        </w:tc>
        <w:tc>
          <w:tcPr>
            <w:tcW w:w="1800" w:type="dxa"/>
            <w:tcBorders>
              <w:top w:val="nil"/>
              <w:left w:val="nil"/>
              <w:bottom w:val="nil"/>
              <w:right w:val="nil"/>
            </w:tcBorders>
            <w:shd w:val="clear" w:color="auto" w:fill="auto"/>
            <w:noWrap/>
            <w:vAlign w:val="bottom"/>
            <w:hideMark/>
          </w:tcPr>
          <w:p w14:paraId="3EAA7E8E"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0.510 ± 0.433</w:t>
            </w:r>
          </w:p>
        </w:tc>
        <w:tc>
          <w:tcPr>
            <w:tcW w:w="2340" w:type="dxa"/>
            <w:tcBorders>
              <w:top w:val="nil"/>
              <w:left w:val="nil"/>
              <w:bottom w:val="nil"/>
              <w:right w:val="nil"/>
            </w:tcBorders>
            <w:vAlign w:val="bottom"/>
          </w:tcPr>
          <w:p w14:paraId="64A20124" w14:textId="74436A1E"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18.5 ± 15.5</w:t>
            </w:r>
          </w:p>
        </w:tc>
      </w:tr>
      <w:tr w:rsidR="001E3B0E" w:rsidRPr="00232D6F" w14:paraId="24CCFCD5" w14:textId="19A3C72A" w:rsidTr="001E3B0E">
        <w:trPr>
          <w:trHeight w:val="255"/>
        </w:trPr>
        <w:tc>
          <w:tcPr>
            <w:tcW w:w="1272" w:type="dxa"/>
            <w:tcBorders>
              <w:top w:val="nil"/>
              <w:left w:val="nil"/>
              <w:bottom w:val="nil"/>
              <w:right w:val="nil"/>
            </w:tcBorders>
            <w:shd w:val="clear" w:color="auto" w:fill="auto"/>
            <w:noWrap/>
            <w:vAlign w:val="bottom"/>
            <w:hideMark/>
          </w:tcPr>
          <w:p w14:paraId="1AC523DC" w14:textId="77777777" w:rsidR="001E3B0E" w:rsidRPr="00232D6F" w:rsidRDefault="001E3B0E" w:rsidP="00232D6F">
            <w:pPr>
              <w:spacing w:after="0" w:line="240" w:lineRule="auto"/>
              <w:jc w:val="right"/>
              <w:rPr>
                <w:rFonts w:eastAsia="Times New Roman" w:cstheme="minorHAnsi"/>
                <w:color w:val="000000"/>
                <w:sz w:val="20"/>
                <w:szCs w:val="20"/>
              </w:rPr>
            </w:pPr>
            <w:r w:rsidRPr="00232D6F">
              <w:rPr>
                <w:rFonts w:eastAsia="Times New Roman" w:cstheme="minorHAnsi"/>
                <w:color w:val="000000"/>
                <w:sz w:val="20"/>
                <w:szCs w:val="20"/>
              </w:rPr>
              <w:t>Zinc</w:t>
            </w:r>
          </w:p>
        </w:tc>
        <w:tc>
          <w:tcPr>
            <w:tcW w:w="740" w:type="dxa"/>
            <w:tcBorders>
              <w:top w:val="nil"/>
              <w:left w:val="nil"/>
              <w:bottom w:val="nil"/>
              <w:right w:val="nil"/>
            </w:tcBorders>
            <w:shd w:val="clear" w:color="auto" w:fill="auto"/>
            <w:noWrap/>
            <w:vAlign w:val="bottom"/>
            <w:hideMark/>
          </w:tcPr>
          <w:p w14:paraId="17FD7954" w14:textId="77777777" w:rsidR="001E3B0E" w:rsidRPr="00232D6F" w:rsidRDefault="001E3B0E" w:rsidP="00232D6F">
            <w:pPr>
              <w:spacing w:after="0" w:line="240" w:lineRule="auto"/>
              <w:jc w:val="center"/>
              <w:rPr>
                <w:rFonts w:eastAsia="Times New Roman" w:cstheme="minorHAnsi"/>
                <w:color w:val="000000"/>
                <w:sz w:val="20"/>
                <w:szCs w:val="20"/>
              </w:rPr>
            </w:pPr>
            <w:r w:rsidRPr="00232D6F">
              <w:rPr>
                <w:rFonts w:eastAsia="Times New Roman" w:cstheme="minorHAnsi"/>
                <w:color w:val="000000"/>
                <w:sz w:val="20"/>
                <w:szCs w:val="20"/>
              </w:rPr>
              <w:t>mg/L</w:t>
            </w:r>
          </w:p>
        </w:tc>
        <w:tc>
          <w:tcPr>
            <w:tcW w:w="2128" w:type="dxa"/>
            <w:tcBorders>
              <w:top w:val="nil"/>
              <w:left w:val="nil"/>
              <w:bottom w:val="nil"/>
              <w:right w:val="nil"/>
            </w:tcBorders>
            <w:shd w:val="clear" w:color="auto" w:fill="auto"/>
            <w:noWrap/>
            <w:vAlign w:val="bottom"/>
            <w:hideMark/>
          </w:tcPr>
          <w:p w14:paraId="72244D26"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6.45 ± 2.37</w:t>
            </w:r>
          </w:p>
        </w:tc>
        <w:tc>
          <w:tcPr>
            <w:tcW w:w="1800" w:type="dxa"/>
            <w:tcBorders>
              <w:top w:val="nil"/>
              <w:left w:val="nil"/>
              <w:bottom w:val="nil"/>
              <w:right w:val="nil"/>
            </w:tcBorders>
            <w:shd w:val="clear" w:color="auto" w:fill="auto"/>
            <w:noWrap/>
            <w:vAlign w:val="bottom"/>
            <w:hideMark/>
          </w:tcPr>
          <w:p w14:paraId="1649B5B7"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0.458 ± 0.879</w:t>
            </w:r>
          </w:p>
        </w:tc>
        <w:tc>
          <w:tcPr>
            <w:tcW w:w="2340" w:type="dxa"/>
            <w:tcBorders>
              <w:top w:val="nil"/>
              <w:left w:val="nil"/>
              <w:bottom w:val="nil"/>
              <w:right w:val="nil"/>
            </w:tcBorders>
            <w:vAlign w:val="bottom"/>
          </w:tcPr>
          <w:p w14:paraId="05475D47" w14:textId="594AF613"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3.64 ± 02.01</w:t>
            </w:r>
          </w:p>
        </w:tc>
      </w:tr>
      <w:tr w:rsidR="001E3B0E" w:rsidRPr="00232D6F" w14:paraId="300C49A1" w14:textId="4B281639" w:rsidTr="001E3B0E">
        <w:trPr>
          <w:trHeight w:val="255"/>
        </w:trPr>
        <w:tc>
          <w:tcPr>
            <w:tcW w:w="1272" w:type="dxa"/>
            <w:tcBorders>
              <w:top w:val="nil"/>
              <w:left w:val="nil"/>
              <w:bottom w:val="nil"/>
              <w:right w:val="nil"/>
            </w:tcBorders>
            <w:shd w:val="clear" w:color="auto" w:fill="auto"/>
            <w:noWrap/>
            <w:vAlign w:val="bottom"/>
            <w:hideMark/>
          </w:tcPr>
          <w:p w14:paraId="670C3891" w14:textId="77777777" w:rsidR="001E3B0E" w:rsidRPr="00232D6F" w:rsidRDefault="001E3B0E" w:rsidP="00232D6F">
            <w:pPr>
              <w:spacing w:after="0" w:line="240" w:lineRule="auto"/>
              <w:jc w:val="right"/>
              <w:rPr>
                <w:rFonts w:eastAsia="Times New Roman" w:cstheme="minorHAnsi"/>
                <w:color w:val="000000"/>
                <w:sz w:val="20"/>
                <w:szCs w:val="20"/>
              </w:rPr>
            </w:pPr>
            <w:r w:rsidRPr="00232D6F">
              <w:rPr>
                <w:rFonts w:eastAsia="Times New Roman" w:cstheme="minorHAnsi"/>
                <w:color w:val="000000"/>
                <w:sz w:val="20"/>
                <w:szCs w:val="20"/>
              </w:rPr>
              <w:t>Nickel</w:t>
            </w:r>
          </w:p>
        </w:tc>
        <w:tc>
          <w:tcPr>
            <w:tcW w:w="740" w:type="dxa"/>
            <w:tcBorders>
              <w:top w:val="nil"/>
              <w:left w:val="nil"/>
              <w:bottom w:val="nil"/>
              <w:right w:val="nil"/>
            </w:tcBorders>
            <w:shd w:val="clear" w:color="auto" w:fill="auto"/>
            <w:noWrap/>
            <w:vAlign w:val="bottom"/>
            <w:hideMark/>
          </w:tcPr>
          <w:p w14:paraId="5AE2ED90" w14:textId="77777777" w:rsidR="001E3B0E" w:rsidRPr="00232D6F" w:rsidRDefault="001E3B0E" w:rsidP="00232D6F">
            <w:pPr>
              <w:spacing w:after="0" w:line="240" w:lineRule="auto"/>
              <w:jc w:val="center"/>
              <w:rPr>
                <w:rFonts w:eastAsia="Times New Roman" w:cstheme="minorHAnsi"/>
                <w:color w:val="000000"/>
                <w:sz w:val="20"/>
                <w:szCs w:val="20"/>
              </w:rPr>
            </w:pPr>
            <w:r w:rsidRPr="00232D6F">
              <w:rPr>
                <w:rFonts w:eastAsia="Times New Roman" w:cstheme="minorHAnsi"/>
                <w:color w:val="000000"/>
                <w:sz w:val="20"/>
                <w:szCs w:val="20"/>
              </w:rPr>
              <w:t>mg/L</w:t>
            </w:r>
          </w:p>
        </w:tc>
        <w:tc>
          <w:tcPr>
            <w:tcW w:w="2128" w:type="dxa"/>
            <w:tcBorders>
              <w:top w:val="nil"/>
              <w:left w:val="nil"/>
              <w:bottom w:val="nil"/>
              <w:right w:val="nil"/>
            </w:tcBorders>
            <w:shd w:val="clear" w:color="auto" w:fill="auto"/>
            <w:noWrap/>
            <w:vAlign w:val="bottom"/>
            <w:hideMark/>
          </w:tcPr>
          <w:p w14:paraId="4EC093D0"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0.385 ± 0.176</w:t>
            </w:r>
          </w:p>
        </w:tc>
        <w:tc>
          <w:tcPr>
            <w:tcW w:w="1800" w:type="dxa"/>
            <w:tcBorders>
              <w:top w:val="nil"/>
              <w:left w:val="nil"/>
              <w:bottom w:val="nil"/>
              <w:right w:val="nil"/>
            </w:tcBorders>
            <w:shd w:val="clear" w:color="auto" w:fill="auto"/>
            <w:noWrap/>
            <w:vAlign w:val="bottom"/>
            <w:hideMark/>
          </w:tcPr>
          <w:p w14:paraId="345B5D05"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0.160 ± 0.202</w:t>
            </w:r>
          </w:p>
        </w:tc>
        <w:tc>
          <w:tcPr>
            <w:tcW w:w="2340" w:type="dxa"/>
            <w:tcBorders>
              <w:top w:val="nil"/>
              <w:left w:val="nil"/>
              <w:bottom w:val="nil"/>
              <w:right w:val="nil"/>
            </w:tcBorders>
            <w:vAlign w:val="bottom"/>
          </w:tcPr>
          <w:p w14:paraId="1FBFB92A" w14:textId="2BCF2B44"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0.247 ± 0.141</w:t>
            </w:r>
          </w:p>
        </w:tc>
      </w:tr>
      <w:tr w:rsidR="001E3B0E" w:rsidRPr="00232D6F" w14:paraId="7966770F" w14:textId="226DF26E" w:rsidTr="001E3B0E">
        <w:trPr>
          <w:trHeight w:val="255"/>
        </w:trPr>
        <w:tc>
          <w:tcPr>
            <w:tcW w:w="1272" w:type="dxa"/>
            <w:tcBorders>
              <w:top w:val="nil"/>
              <w:left w:val="nil"/>
              <w:bottom w:val="nil"/>
              <w:right w:val="nil"/>
            </w:tcBorders>
            <w:shd w:val="clear" w:color="auto" w:fill="auto"/>
            <w:noWrap/>
            <w:vAlign w:val="bottom"/>
            <w:hideMark/>
          </w:tcPr>
          <w:p w14:paraId="627183E5" w14:textId="77777777" w:rsidR="001E3B0E" w:rsidRPr="00232D6F" w:rsidRDefault="001E3B0E" w:rsidP="00232D6F">
            <w:pPr>
              <w:spacing w:after="0" w:line="240" w:lineRule="auto"/>
              <w:jc w:val="right"/>
              <w:rPr>
                <w:rFonts w:eastAsia="Times New Roman" w:cstheme="minorHAnsi"/>
                <w:color w:val="000000"/>
                <w:sz w:val="20"/>
                <w:szCs w:val="20"/>
              </w:rPr>
            </w:pPr>
            <w:r w:rsidRPr="00232D6F">
              <w:rPr>
                <w:rFonts w:eastAsia="Times New Roman" w:cstheme="minorHAnsi"/>
                <w:color w:val="000000"/>
                <w:sz w:val="20"/>
                <w:szCs w:val="20"/>
              </w:rPr>
              <w:t>Cadmium</w:t>
            </w:r>
          </w:p>
        </w:tc>
        <w:tc>
          <w:tcPr>
            <w:tcW w:w="740" w:type="dxa"/>
            <w:tcBorders>
              <w:top w:val="nil"/>
              <w:left w:val="nil"/>
              <w:bottom w:val="nil"/>
              <w:right w:val="nil"/>
            </w:tcBorders>
            <w:shd w:val="clear" w:color="auto" w:fill="auto"/>
            <w:noWrap/>
            <w:vAlign w:val="bottom"/>
            <w:hideMark/>
          </w:tcPr>
          <w:p w14:paraId="37DDE34D" w14:textId="77777777" w:rsidR="001E3B0E" w:rsidRPr="00232D6F" w:rsidRDefault="001E3B0E" w:rsidP="00232D6F">
            <w:pPr>
              <w:spacing w:after="0" w:line="240" w:lineRule="auto"/>
              <w:jc w:val="center"/>
              <w:rPr>
                <w:rFonts w:eastAsia="Times New Roman" w:cstheme="minorHAnsi"/>
                <w:color w:val="000000"/>
                <w:sz w:val="20"/>
                <w:szCs w:val="20"/>
              </w:rPr>
            </w:pPr>
            <w:r w:rsidRPr="00232D6F">
              <w:rPr>
                <w:rFonts w:eastAsia="Times New Roman" w:cstheme="minorHAnsi"/>
                <w:color w:val="000000"/>
                <w:sz w:val="20"/>
                <w:szCs w:val="20"/>
              </w:rPr>
              <w:t>µg/L</w:t>
            </w:r>
          </w:p>
        </w:tc>
        <w:tc>
          <w:tcPr>
            <w:tcW w:w="2128" w:type="dxa"/>
            <w:tcBorders>
              <w:top w:val="nil"/>
              <w:left w:val="nil"/>
              <w:bottom w:val="nil"/>
              <w:right w:val="nil"/>
            </w:tcBorders>
            <w:shd w:val="clear" w:color="auto" w:fill="auto"/>
            <w:noWrap/>
            <w:vAlign w:val="bottom"/>
            <w:hideMark/>
          </w:tcPr>
          <w:p w14:paraId="5665C528"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13.7 ± 9.1</w:t>
            </w:r>
          </w:p>
        </w:tc>
        <w:tc>
          <w:tcPr>
            <w:tcW w:w="1800" w:type="dxa"/>
            <w:tcBorders>
              <w:top w:val="nil"/>
              <w:left w:val="nil"/>
              <w:bottom w:val="nil"/>
              <w:right w:val="nil"/>
            </w:tcBorders>
            <w:shd w:val="clear" w:color="auto" w:fill="auto"/>
            <w:noWrap/>
            <w:vAlign w:val="bottom"/>
            <w:hideMark/>
          </w:tcPr>
          <w:p w14:paraId="320B5FC9"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1.05 ± 0.214</w:t>
            </w:r>
          </w:p>
        </w:tc>
        <w:tc>
          <w:tcPr>
            <w:tcW w:w="2340" w:type="dxa"/>
            <w:tcBorders>
              <w:top w:val="nil"/>
              <w:left w:val="nil"/>
              <w:bottom w:val="nil"/>
              <w:right w:val="nil"/>
            </w:tcBorders>
            <w:vAlign w:val="bottom"/>
          </w:tcPr>
          <w:p w14:paraId="4680FB32" w14:textId="45BBACEA"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6.32 ± 3.76</w:t>
            </w:r>
          </w:p>
        </w:tc>
      </w:tr>
      <w:tr w:rsidR="001E3B0E" w:rsidRPr="00232D6F" w14:paraId="2E683FAD" w14:textId="10B0B5AF" w:rsidTr="001E3B0E">
        <w:trPr>
          <w:trHeight w:val="255"/>
        </w:trPr>
        <w:tc>
          <w:tcPr>
            <w:tcW w:w="1272" w:type="dxa"/>
            <w:tcBorders>
              <w:top w:val="nil"/>
              <w:left w:val="nil"/>
              <w:bottom w:val="nil"/>
              <w:right w:val="nil"/>
            </w:tcBorders>
            <w:shd w:val="clear" w:color="auto" w:fill="auto"/>
            <w:noWrap/>
            <w:vAlign w:val="bottom"/>
            <w:hideMark/>
          </w:tcPr>
          <w:p w14:paraId="6AF280DE" w14:textId="77777777" w:rsidR="001E3B0E" w:rsidRPr="00232D6F" w:rsidRDefault="001E3B0E" w:rsidP="00232D6F">
            <w:pPr>
              <w:spacing w:after="0" w:line="240" w:lineRule="auto"/>
              <w:jc w:val="right"/>
              <w:rPr>
                <w:rFonts w:eastAsia="Times New Roman" w:cstheme="minorHAnsi"/>
                <w:color w:val="000000"/>
                <w:sz w:val="20"/>
                <w:szCs w:val="20"/>
              </w:rPr>
            </w:pPr>
            <w:r w:rsidRPr="00232D6F">
              <w:rPr>
                <w:rFonts w:eastAsia="Times New Roman" w:cstheme="minorHAnsi"/>
                <w:color w:val="000000"/>
                <w:sz w:val="20"/>
                <w:szCs w:val="20"/>
              </w:rPr>
              <w:t>Lead</w:t>
            </w:r>
          </w:p>
        </w:tc>
        <w:tc>
          <w:tcPr>
            <w:tcW w:w="740" w:type="dxa"/>
            <w:tcBorders>
              <w:top w:val="nil"/>
              <w:left w:val="nil"/>
              <w:bottom w:val="nil"/>
              <w:right w:val="nil"/>
            </w:tcBorders>
            <w:shd w:val="clear" w:color="auto" w:fill="auto"/>
            <w:noWrap/>
            <w:vAlign w:val="bottom"/>
            <w:hideMark/>
          </w:tcPr>
          <w:p w14:paraId="7446BFC1" w14:textId="77777777" w:rsidR="001E3B0E" w:rsidRPr="00232D6F" w:rsidRDefault="001E3B0E" w:rsidP="00232D6F">
            <w:pPr>
              <w:spacing w:after="0" w:line="240" w:lineRule="auto"/>
              <w:jc w:val="center"/>
              <w:rPr>
                <w:rFonts w:eastAsia="Times New Roman" w:cstheme="minorHAnsi"/>
                <w:color w:val="000000"/>
                <w:sz w:val="20"/>
                <w:szCs w:val="20"/>
              </w:rPr>
            </w:pPr>
            <w:r w:rsidRPr="00232D6F">
              <w:rPr>
                <w:rFonts w:eastAsia="Times New Roman" w:cstheme="minorHAnsi"/>
                <w:color w:val="000000"/>
                <w:sz w:val="20"/>
                <w:szCs w:val="20"/>
              </w:rPr>
              <w:t>µg/L</w:t>
            </w:r>
          </w:p>
        </w:tc>
        <w:tc>
          <w:tcPr>
            <w:tcW w:w="2128" w:type="dxa"/>
            <w:tcBorders>
              <w:top w:val="nil"/>
              <w:left w:val="nil"/>
              <w:bottom w:val="nil"/>
              <w:right w:val="nil"/>
            </w:tcBorders>
            <w:shd w:val="clear" w:color="auto" w:fill="auto"/>
            <w:noWrap/>
            <w:vAlign w:val="bottom"/>
            <w:hideMark/>
          </w:tcPr>
          <w:p w14:paraId="593739BC"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38.1 ± 15.0</w:t>
            </w:r>
          </w:p>
        </w:tc>
        <w:tc>
          <w:tcPr>
            <w:tcW w:w="1800" w:type="dxa"/>
            <w:tcBorders>
              <w:top w:val="nil"/>
              <w:left w:val="nil"/>
              <w:bottom w:val="nil"/>
              <w:right w:val="nil"/>
            </w:tcBorders>
            <w:shd w:val="clear" w:color="auto" w:fill="auto"/>
            <w:noWrap/>
            <w:vAlign w:val="bottom"/>
            <w:hideMark/>
          </w:tcPr>
          <w:p w14:paraId="6B0B5FD4"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BDL</w:t>
            </w:r>
          </w:p>
        </w:tc>
        <w:tc>
          <w:tcPr>
            <w:tcW w:w="2340" w:type="dxa"/>
            <w:tcBorders>
              <w:top w:val="nil"/>
              <w:left w:val="nil"/>
              <w:bottom w:val="nil"/>
              <w:right w:val="nil"/>
            </w:tcBorders>
            <w:vAlign w:val="bottom"/>
          </w:tcPr>
          <w:p w14:paraId="51C14FC4" w14:textId="4BE56559"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26.5 ± 3.52</w:t>
            </w:r>
          </w:p>
        </w:tc>
      </w:tr>
      <w:tr w:rsidR="001E3B0E" w:rsidRPr="00232D6F" w14:paraId="0CF04717" w14:textId="5B32F538" w:rsidTr="001E3B0E">
        <w:trPr>
          <w:trHeight w:val="255"/>
        </w:trPr>
        <w:tc>
          <w:tcPr>
            <w:tcW w:w="1272" w:type="dxa"/>
            <w:tcBorders>
              <w:top w:val="nil"/>
              <w:left w:val="nil"/>
              <w:bottom w:val="nil"/>
              <w:right w:val="nil"/>
            </w:tcBorders>
            <w:shd w:val="clear" w:color="auto" w:fill="auto"/>
            <w:noWrap/>
            <w:vAlign w:val="bottom"/>
            <w:hideMark/>
          </w:tcPr>
          <w:p w14:paraId="705FACD5" w14:textId="77777777" w:rsidR="001E3B0E" w:rsidRPr="00232D6F" w:rsidRDefault="001E3B0E" w:rsidP="00232D6F">
            <w:pPr>
              <w:spacing w:after="0" w:line="240" w:lineRule="auto"/>
              <w:jc w:val="right"/>
              <w:rPr>
                <w:rFonts w:eastAsia="Times New Roman" w:cstheme="minorHAnsi"/>
                <w:color w:val="000000"/>
                <w:sz w:val="20"/>
                <w:szCs w:val="20"/>
              </w:rPr>
            </w:pPr>
            <w:r w:rsidRPr="00232D6F">
              <w:rPr>
                <w:rFonts w:eastAsia="Times New Roman" w:cstheme="minorHAnsi"/>
                <w:color w:val="000000"/>
                <w:sz w:val="20"/>
                <w:szCs w:val="20"/>
              </w:rPr>
              <w:t>Arsenic</w:t>
            </w:r>
          </w:p>
        </w:tc>
        <w:tc>
          <w:tcPr>
            <w:tcW w:w="740" w:type="dxa"/>
            <w:tcBorders>
              <w:top w:val="nil"/>
              <w:left w:val="nil"/>
              <w:bottom w:val="nil"/>
              <w:right w:val="nil"/>
            </w:tcBorders>
            <w:shd w:val="clear" w:color="auto" w:fill="auto"/>
            <w:noWrap/>
            <w:vAlign w:val="bottom"/>
            <w:hideMark/>
          </w:tcPr>
          <w:p w14:paraId="2176512E" w14:textId="77777777" w:rsidR="001E3B0E" w:rsidRPr="00232D6F" w:rsidRDefault="001E3B0E" w:rsidP="00232D6F">
            <w:pPr>
              <w:spacing w:after="0" w:line="240" w:lineRule="auto"/>
              <w:jc w:val="center"/>
              <w:rPr>
                <w:rFonts w:eastAsia="Times New Roman" w:cstheme="minorHAnsi"/>
                <w:color w:val="000000"/>
                <w:sz w:val="20"/>
                <w:szCs w:val="20"/>
              </w:rPr>
            </w:pPr>
            <w:r w:rsidRPr="00232D6F">
              <w:rPr>
                <w:rFonts w:eastAsia="Times New Roman" w:cstheme="minorHAnsi"/>
                <w:color w:val="000000"/>
                <w:sz w:val="20"/>
                <w:szCs w:val="20"/>
              </w:rPr>
              <w:t>µg/L</w:t>
            </w:r>
          </w:p>
        </w:tc>
        <w:tc>
          <w:tcPr>
            <w:tcW w:w="2128" w:type="dxa"/>
            <w:tcBorders>
              <w:top w:val="nil"/>
              <w:left w:val="nil"/>
              <w:bottom w:val="nil"/>
              <w:right w:val="nil"/>
            </w:tcBorders>
            <w:shd w:val="clear" w:color="auto" w:fill="auto"/>
            <w:noWrap/>
            <w:vAlign w:val="bottom"/>
            <w:hideMark/>
          </w:tcPr>
          <w:p w14:paraId="53151778"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BDL</w:t>
            </w:r>
          </w:p>
        </w:tc>
        <w:tc>
          <w:tcPr>
            <w:tcW w:w="1800" w:type="dxa"/>
            <w:tcBorders>
              <w:top w:val="nil"/>
              <w:left w:val="nil"/>
              <w:bottom w:val="nil"/>
              <w:right w:val="nil"/>
            </w:tcBorders>
            <w:shd w:val="clear" w:color="auto" w:fill="auto"/>
            <w:noWrap/>
            <w:vAlign w:val="bottom"/>
            <w:hideMark/>
          </w:tcPr>
          <w:p w14:paraId="0016FCE3"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BDL</w:t>
            </w:r>
          </w:p>
        </w:tc>
        <w:tc>
          <w:tcPr>
            <w:tcW w:w="2340" w:type="dxa"/>
            <w:tcBorders>
              <w:top w:val="nil"/>
              <w:left w:val="nil"/>
              <w:bottom w:val="nil"/>
              <w:right w:val="nil"/>
            </w:tcBorders>
            <w:vAlign w:val="bottom"/>
          </w:tcPr>
          <w:p w14:paraId="16DB54D6" w14:textId="3A6DE71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BDL</w:t>
            </w:r>
          </w:p>
        </w:tc>
      </w:tr>
      <w:tr w:rsidR="001E3B0E" w:rsidRPr="00232D6F" w14:paraId="0DE0E0A1" w14:textId="21DC51F8" w:rsidTr="001E3B0E">
        <w:trPr>
          <w:trHeight w:val="647"/>
        </w:trPr>
        <w:tc>
          <w:tcPr>
            <w:tcW w:w="1272" w:type="dxa"/>
            <w:tcBorders>
              <w:top w:val="single" w:sz="4" w:space="0" w:color="auto"/>
              <w:left w:val="nil"/>
              <w:bottom w:val="double" w:sz="6" w:space="0" w:color="auto"/>
              <w:right w:val="nil"/>
            </w:tcBorders>
            <w:shd w:val="clear" w:color="auto" w:fill="auto"/>
            <w:vAlign w:val="bottom"/>
            <w:hideMark/>
          </w:tcPr>
          <w:p w14:paraId="78E400CA" w14:textId="77777777" w:rsidR="001E3B0E" w:rsidRPr="00232D6F" w:rsidRDefault="001E3B0E" w:rsidP="00232D6F">
            <w:pPr>
              <w:spacing w:after="0" w:line="240" w:lineRule="auto"/>
              <w:rPr>
                <w:rFonts w:eastAsia="Times New Roman" w:cstheme="minorHAnsi"/>
                <w:bCs/>
                <w:sz w:val="20"/>
                <w:szCs w:val="20"/>
              </w:rPr>
            </w:pPr>
            <w:r w:rsidRPr="00232D6F">
              <w:rPr>
                <w:rFonts w:eastAsia="Times New Roman" w:cstheme="minorHAnsi"/>
                <w:bCs/>
                <w:sz w:val="20"/>
                <w:szCs w:val="20"/>
              </w:rPr>
              <w:t>Dissolved Metals</w:t>
            </w:r>
          </w:p>
        </w:tc>
        <w:tc>
          <w:tcPr>
            <w:tcW w:w="740" w:type="dxa"/>
            <w:tcBorders>
              <w:top w:val="single" w:sz="4" w:space="0" w:color="auto"/>
              <w:left w:val="nil"/>
              <w:bottom w:val="double" w:sz="6" w:space="0" w:color="auto"/>
              <w:right w:val="nil"/>
            </w:tcBorders>
            <w:shd w:val="clear" w:color="auto" w:fill="auto"/>
            <w:vAlign w:val="bottom"/>
            <w:hideMark/>
          </w:tcPr>
          <w:p w14:paraId="5DFF3F29" w14:textId="77777777" w:rsidR="001E3B0E" w:rsidRPr="00232D6F" w:rsidRDefault="001E3B0E" w:rsidP="00232D6F">
            <w:pPr>
              <w:spacing w:after="0" w:line="240" w:lineRule="auto"/>
              <w:jc w:val="center"/>
              <w:rPr>
                <w:rFonts w:eastAsia="Times New Roman" w:cstheme="minorHAnsi"/>
                <w:bCs/>
                <w:sz w:val="20"/>
                <w:szCs w:val="20"/>
              </w:rPr>
            </w:pPr>
            <w:r w:rsidRPr="00232D6F">
              <w:rPr>
                <w:rFonts w:eastAsia="Times New Roman" w:cstheme="minorHAnsi"/>
                <w:bCs/>
                <w:sz w:val="20"/>
                <w:szCs w:val="20"/>
              </w:rPr>
              <w:t>units</w:t>
            </w:r>
          </w:p>
        </w:tc>
        <w:tc>
          <w:tcPr>
            <w:tcW w:w="2128" w:type="dxa"/>
            <w:tcBorders>
              <w:top w:val="single" w:sz="4" w:space="0" w:color="auto"/>
              <w:left w:val="nil"/>
              <w:bottom w:val="double" w:sz="6" w:space="0" w:color="auto"/>
              <w:right w:val="nil"/>
            </w:tcBorders>
            <w:shd w:val="clear" w:color="auto" w:fill="auto"/>
            <w:vAlign w:val="bottom"/>
            <w:hideMark/>
          </w:tcPr>
          <w:p w14:paraId="2426E063" w14:textId="77777777" w:rsidR="001E3B0E" w:rsidRPr="00232D6F" w:rsidRDefault="001E3B0E" w:rsidP="00232D6F">
            <w:pPr>
              <w:spacing w:after="0" w:line="240" w:lineRule="auto"/>
              <w:jc w:val="center"/>
              <w:rPr>
                <w:rFonts w:eastAsia="Times New Roman" w:cstheme="minorHAnsi"/>
                <w:bCs/>
                <w:sz w:val="20"/>
                <w:szCs w:val="20"/>
              </w:rPr>
            </w:pPr>
            <w:r w:rsidRPr="00232D6F">
              <w:rPr>
                <w:rFonts w:eastAsia="Times New Roman" w:cstheme="minorHAnsi"/>
                <w:bCs/>
                <w:sz w:val="20"/>
                <w:szCs w:val="20"/>
              </w:rPr>
              <w:t>Tributary Upstream from PTS</w:t>
            </w:r>
          </w:p>
        </w:tc>
        <w:tc>
          <w:tcPr>
            <w:tcW w:w="1800" w:type="dxa"/>
            <w:tcBorders>
              <w:top w:val="single" w:sz="4" w:space="0" w:color="auto"/>
              <w:left w:val="nil"/>
              <w:bottom w:val="double" w:sz="6" w:space="0" w:color="auto"/>
              <w:right w:val="nil"/>
            </w:tcBorders>
            <w:shd w:val="clear" w:color="auto" w:fill="auto"/>
            <w:vAlign w:val="bottom"/>
            <w:hideMark/>
          </w:tcPr>
          <w:p w14:paraId="43542374" w14:textId="77777777" w:rsidR="001E3B0E" w:rsidRPr="00232D6F" w:rsidRDefault="001E3B0E" w:rsidP="00232D6F">
            <w:pPr>
              <w:spacing w:after="0" w:line="240" w:lineRule="auto"/>
              <w:jc w:val="center"/>
              <w:rPr>
                <w:rFonts w:eastAsia="Times New Roman" w:cstheme="minorHAnsi"/>
                <w:bCs/>
                <w:sz w:val="20"/>
                <w:szCs w:val="20"/>
              </w:rPr>
            </w:pPr>
            <w:r w:rsidRPr="00232D6F">
              <w:rPr>
                <w:rFonts w:eastAsia="Times New Roman" w:cstheme="minorHAnsi"/>
                <w:bCs/>
                <w:sz w:val="20"/>
                <w:szCs w:val="20"/>
              </w:rPr>
              <w:t>MRPTS Effluent (C6Out)</w:t>
            </w:r>
          </w:p>
        </w:tc>
        <w:tc>
          <w:tcPr>
            <w:tcW w:w="2340" w:type="dxa"/>
            <w:tcBorders>
              <w:top w:val="single" w:sz="4" w:space="0" w:color="auto"/>
              <w:left w:val="nil"/>
              <w:bottom w:val="double" w:sz="6" w:space="0" w:color="auto"/>
              <w:right w:val="nil"/>
            </w:tcBorders>
            <w:vAlign w:val="bottom"/>
          </w:tcPr>
          <w:p w14:paraId="2A8DAC5C" w14:textId="25473C71" w:rsidR="001E3B0E" w:rsidRPr="00232D6F" w:rsidRDefault="001E3B0E" w:rsidP="00232D6F">
            <w:pPr>
              <w:spacing w:after="0" w:line="240" w:lineRule="auto"/>
              <w:jc w:val="center"/>
              <w:rPr>
                <w:rFonts w:eastAsia="Times New Roman" w:cstheme="minorHAnsi"/>
                <w:bCs/>
                <w:sz w:val="20"/>
                <w:szCs w:val="20"/>
              </w:rPr>
            </w:pPr>
            <w:r w:rsidRPr="00232D6F">
              <w:rPr>
                <w:rFonts w:eastAsia="Times New Roman" w:cstheme="minorHAnsi"/>
                <w:bCs/>
                <w:sz w:val="20"/>
                <w:szCs w:val="20"/>
              </w:rPr>
              <w:t>Tributary Downstream from PTS</w:t>
            </w:r>
          </w:p>
        </w:tc>
      </w:tr>
      <w:tr w:rsidR="001E3B0E" w:rsidRPr="00232D6F" w14:paraId="70F3BCEB" w14:textId="0F9D174D" w:rsidTr="001E3B0E">
        <w:trPr>
          <w:trHeight w:val="270"/>
        </w:trPr>
        <w:tc>
          <w:tcPr>
            <w:tcW w:w="1272" w:type="dxa"/>
            <w:tcBorders>
              <w:top w:val="nil"/>
              <w:left w:val="nil"/>
              <w:bottom w:val="nil"/>
              <w:right w:val="nil"/>
            </w:tcBorders>
            <w:shd w:val="clear" w:color="auto" w:fill="auto"/>
            <w:noWrap/>
            <w:vAlign w:val="bottom"/>
            <w:hideMark/>
          </w:tcPr>
          <w:p w14:paraId="07162F8C" w14:textId="77777777" w:rsidR="001E3B0E" w:rsidRPr="00232D6F" w:rsidRDefault="001E3B0E" w:rsidP="00232D6F">
            <w:pPr>
              <w:spacing w:after="0" w:line="240" w:lineRule="auto"/>
              <w:jc w:val="right"/>
              <w:rPr>
                <w:rFonts w:eastAsia="Times New Roman" w:cstheme="minorHAnsi"/>
                <w:color w:val="000000"/>
                <w:sz w:val="20"/>
                <w:szCs w:val="20"/>
              </w:rPr>
            </w:pPr>
            <w:r w:rsidRPr="00232D6F">
              <w:rPr>
                <w:rFonts w:eastAsia="Times New Roman" w:cstheme="minorHAnsi"/>
                <w:color w:val="000000"/>
                <w:sz w:val="20"/>
                <w:szCs w:val="20"/>
              </w:rPr>
              <w:t>Iron</w:t>
            </w:r>
          </w:p>
        </w:tc>
        <w:tc>
          <w:tcPr>
            <w:tcW w:w="740" w:type="dxa"/>
            <w:tcBorders>
              <w:top w:val="nil"/>
              <w:left w:val="nil"/>
              <w:bottom w:val="nil"/>
              <w:right w:val="nil"/>
            </w:tcBorders>
            <w:shd w:val="clear" w:color="auto" w:fill="auto"/>
            <w:noWrap/>
            <w:vAlign w:val="bottom"/>
            <w:hideMark/>
          </w:tcPr>
          <w:p w14:paraId="792AC408" w14:textId="77777777" w:rsidR="001E3B0E" w:rsidRPr="00232D6F" w:rsidRDefault="001E3B0E" w:rsidP="00232D6F">
            <w:pPr>
              <w:spacing w:after="0" w:line="240" w:lineRule="auto"/>
              <w:jc w:val="center"/>
              <w:rPr>
                <w:rFonts w:eastAsia="Times New Roman" w:cstheme="minorHAnsi"/>
                <w:color w:val="000000"/>
                <w:sz w:val="20"/>
                <w:szCs w:val="20"/>
              </w:rPr>
            </w:pPr>
            <w:r w:rsidRPr="00232D6F">
              <w:rPr>
                <w:rFonts w:eastAsia="Times New Roman" w:cstheme="minorHAnsi"/>
                <w:color w:val="000000"/>
                <w:sz w:val="20"/>
                <w:szCs w:val="20"/>
              </w:rPr>
              <w:t>mg/L</w:t>
            </w:r>
          </w:p>
        </w:tc>
        <w:tc>
          <w:tcPr>
            <w:tcW w:w="2128" w:type="dxa"/>
            <w:tcBorders>
              <w:top w:val="nil"/>
              <w:left w:val="nil"/>
              <w:bottom w:val="nil"/>
              <w:right w:val="nil"/>
            </w:tcBorders>
            <w:shd w:val="clear" w:color="auto" w:fill="auto"/>
            <w:noWrap/>
            <w:vAlign w:val="bottom"/>
            <w:hideMark/>
          </w:tcPr>
          <w:p w14:paraId="78AF4D41"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38.2 ± 24.6</w:t>
            </w:r>
          </w:p>
        </w:tc>
        <w:tc>
          <w:tcPr>
            <w:tcW w:w="1800" w:type="dxa"/>
            <w:tcBorders>
              <w:top w:val="nil"/>
              <w:left w:val="nil"/>
              <w:bottom w:val="nil"/>
              <w:right w:val="nil"/>
            </w:tcBorders>
            <w:shd w:val="clear" w:color="auto" w:fill="auto"/>
            <w:noWrap/>
            <w:vAlign w:val="bottom"/>
            <w:hideMark/>
          </w:tcPr>
          <w:p w14:paraId="73B13965"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0.130 ± 0.144</w:t>
            </w:r>
          </w:p>
        </w:tc>
        <w:tc>
          <w:tcPr>
            <w:tcW w:w="2340" w:type="dxa"/>
            <w:tcBorders>
              <w:top w:val="nil"/>
              <w:left w:val="nil"/>
              <w:bottom w:val="nil"/>
              <w:right w:val="nil"/>
            </w:tcBorders>
            <w:vAlign w:val="bottom"/>
          </w:tcPr>
          <w:p w14:paraId="3A87BD89" w14:textId="38E681C9"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13.8 ± 11.4</w:t>
            </w:r>
          </w:p>
        </w:tc>
      </w:tr>
      <w:tr w:rsidR="001E3B0E" w:rsidRPr="00232D6F" w14:paraId="32DF1048" w14:textId="72157C65" w:rsidTr="001E3B0E">
        <w:trPr>
          <w:trHeight w:val="255"/>
        </w:trPr>
        <w:tc>
          <w:tcPr>
            <w:tcW w:w="1272" w:type="dxa"/>
            <w:tcBorders>
              <w:top w:val="nil"/>
              <w:left w:val="nil"/>
              <w:bottom w:val="nil"/>
              <w:right w:val="nil"/>
            </w:tcBorders>
            <w:shd w:val="clear" w:color="auto" w:fill="auto"/>
            <w:noWrap/>
            <w:vAlign w:val="bottom"/>
            <w:hideMark/>
          </w:tcPr>
          <w:p w14:paraId="51A36C7F" w14:textId="77777777" w:rsidR="001E3B0E" w:rsidRPr="00232D6F" w:rsidRDefault="001E3B0E" w:rsidP="00232D6F">
            <w:pPr>
              <w:spacing w:after="0" w:line="240" w:lineRule="auto"/>
              <w:jc w:val="right"/>
              <w:rPr>
                <w:rFonts w:eastAsia="Times New Roman" w:cstheme="minorHAnsi"/>
                <w:color w:val="000000"/>
                <w:sz w:val="20"/>
                <w:szCs w:val="20"/>
              </w:rPr>
            </w:pPr>
            <w:r w:rsidRPr="00232D6F">
              <w:rPr>
                <w:rFonts w:eastAsia="Times New Roman" w:cstheme="minorHAnsi"/>
                <w:color w:val="000000"/>
                <w:sz w:val="20"/>
                <w:szCs w:val="20"/>
              </w:rPr>
              <w:t>Zinc</w:t>
            </w:r>
          </w:p>
        </w:tc>
        <w:tc>
          <w:tcPr>
            <w:tcW w:w="740" w:type="dxa"/>
            <w:tcBorders>
              <w:top w:val="nil"/>
              <w:left w:val="nil"/>
              <w:bottom w:val="nil"/>
              <w:right w:val="nil"/>
            </w:tcBorders>
            <w:shd w:val="clear" w:color="auto" w:fill="auto"/>
            <w:noWrap/>
            <w:vAlign w:val="bottom"/>
            <w:hideMark/>
          </w:tcPr>
          <w:p w14:paraId="058617FC" w14:textId="77777777" w:rsidR="001E3B0E" w:rsidRPr="00232D6F" w:rsidRDefault="001E3B0E" w:rsidP="00232D6F">
            <w:pPr>
              <w:spacing w:after="0" w:line="240" w:lineRule="auto"/>
              <w:jc w:val="center"/>
              <w:rPr>
                <w:rFonts w:eastAsia="Times New Roman" w:cstheme="minorHAnsi"/>
                <w:color w:val="000000"/>
                <w:sz w:val="20"/>
                <w:szCs w:val="20"/>
              </w:rPr>
            </w:pPr>
            <w:r w:rsidRPr="00232D6F">
              <w:rPr>
                <w:rFonts w:eastAsia="Times New Roman" w:cstheme="minorHAnsi"/>
                <w:color w:val="000000"/>
                <w:sz w:val="20"/>
                <w:szCs w:val="20"/>
              </w:rPr>
              <w:t>mg/L</w:t>
            </w:r>
          </w:p>
        </w:tc>
        <w:tc>
          <w:tcPr>
            <w:tcW w:w="2128" w:type="dxa"/>
            <w:tcBorders>
              <w:top w:val="nil"/>
              <w:left w:val="nil"/>
              <w:bottom w:val="nil"/>
              <w:right w:val="nil"/>
            </w:tcBorders>
            <w:shd w:val="clear" w:color="auto" w:fill="auto"/>
            <w:noWrap/>
            <w:vAlign w:val="bottom"/>
            <w:hideMark/>
          </w:tcPr>
          <w:p w14:paraId="0452DBD8"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5.90 ± 2.21</w:t>
            </w:r>
          </w:p>
        </w:tc>
        <w:tc>
          <w:tcPr>
            <w:tcW w:w="1800" w:type="dxa"/>
            <w:tcBorders>
              <w:top w:val="nil"/>
              <w:left w:val="nil"/>
              <w:bottom w:val="nil"/>
              <w:right w:val="nil"/>
            </w:tcBorders>
            <w:shd w:val="clear" w:color="auto" w:fill="auto"/>
            <w:noWrap/>
            <w:vAlign w:val="bottom"/>
            <w:hideMark/>
          </w:tcPr>
          <w:p w14:paraId="1E6C1144"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0.438 ± 1.02</w:t>
            </w:r>
          </w:p>
        </w:tc>
        <w:tc>
          <w:tcPr>
            <w:tcW w:w="2340" w:type="dxa"/>
            <w:tcBorders>
              <w:top w:val="nil"/>
              <w:left w:val="nil"/>
              <w:bottom w:val="nil"/>
              <w:right w:val="nil"/>
            </w:tcBorders>
            <w:vAlign w:val="bottom"/>
          </w:tcPr>
          <w:p w14:paraId="14FB400F" w14:textId="7E0DC179"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3.20 ± 1.55</w:t>
            </w:r>
          </w:p>
        </w:tc>
      </w:tr>
      <w:tr w:rsidR="001E3B0E" w:rsidRPr="00232D6F" w14:paraId="34F08C2F" w14:textId="11CFFC1E" w:rsidTr="001E3B0E">
        <w:trPr>
          <w:trHeight w:val="255"/>
        </w:trPr>
        <w:tc>
          <w:tcPr>
            <w:tcW w:w="1272" w:type="dxa"/>
            <w:tcBorders>
              <w:top w:val="nil"/>
              <w:left w:val="nil"/>
              <w:bottom w:val="nil"/>
              <w:right w:val="nil"/>
            </w:tcBorders>
            <w:shd w:val="clear" w:color="auto" w:fill="auto"/>
            <w:noWrap/>
            <w:vAlign w:val="bottom"/>
            <w:hideMark/>
          </w:tcPr>
          <w:p w14:paraId="328064F0" w14:textId="77777777" w:rsidR="001E3B0E" w:rsidRPr="00232D6F" w:rsidRDefault="001E3B0E" w:rsidP="00232D6F">
            <w:pPr>
              <w:spacing w:after="0" w:line="240" w:lineRule="auto"/>
              <w:jc w:val="right"/>
              <w:rPr>
                <w:rFonts w:eastAsia="Times New Roman" w:cstheme="minorHAnsi"/>
                <w:color w:val="000000"/>
                <w:sz w:val="20"/>
                <w:szCs w:val="20"/>
              </w:rPr>
            </w:pPr>
            <w:r w:rsidRPr="00232D6F">
              <w:rPr>
                <w:rFonts w:eastAsia="Times New Roman" w:cstheme="minorHAnsi"/>
                <w:color w:val="000000"/>
                <w:sz w:val="20"/>
                <w:szCs w:val="20"/>
              </w:rPr>
              <w:t>Nickel</w:t>
            </w:r>
          </w:p>
        </w:tc>
        <w:tc>
          <w:tcPr>
            <w:tcW w:w="740" w:type="dxa"/>
            <w:tcBorders>
              <w:top w:val="nil"/>
              <w:left w:val="nil"/>
              <w:bottom w:val="nil"/>
              <w:right w:val="nil"/>
            </w:tcBorders>
            <w:shd w:val="clear" w:color="auto" w:fill="auto"/>
            <w:noWrap/>
            <w:vAlign w:val="bottom"/>
            <w:hideMark/>
          </w:tcPr>
          <w:p w14:paraId="02AD094F" w14:textId="77777777" w:rsidR="001E3B0E" w:rsidRPr="00232D6F" w:rsidRDefault="001E3B0E" w:rsidP="00232D6F">
            <w:pPr>
              <w:spacing w:after="0" w:line="240" w:lineRule="auto"/>
              <w:jc w:val="center"/>
              <w:rPr>
                <w:rFonts w:eastAsia="Times New Roman" w:cstheme="minorHAnsi"/>
                <w:color w:val="000000"/>
                <w:sz w:val="20"/>
                <w:szCs w:val="20"/>
              </w:rPr>
            </w:pPr>
            <w:r w:rsidRPr="00232D6F">
              <w:rPr>
                <w:rFonts w:eastAsia="Times New Roman" w:cstheme="minorHAnsi"/>
                <w:color w:val="000000"/>
                <w:sz w:val="20"/>
                <w:szCs w:val="20"/>
              </w:rPr>
              <w:t>mg/L</w:t>
            </w:r>
          </w:p>
        </w:tc>
        <w:tc>
          <w:tcPr>
            <w:tcW w:w="2128" w:type="dxa"/>
            <w:tcBorders>
              <w:top w:val="nil"/>
              <w:left w:val="nil"/>
              <w:bottom w:val="nil"/>
              <w:right w:val="nil"/>
            </w:tcBorders>
            <w:shd w:val="clear" w:color="auto" w:fill="auto"/>
            <w:noWrap/>
            <w:vAlign w:val="bottom"/>
            <w:hideMark/>
          </w:tcPr>
          <w:p w14:paraId="434ABF11"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0.376 ± 0.163</w:t>
            </w:r>
          </w:p>
        </w:tc>
        <w:tc>
          <w:tcPr>
            <w:tcW w:w="1800" w:type="dxa"/>
            <w:tcBorders>
              <w:top w:val="nil"/>
              <w:left w:val="nil"/>
              <w:bottom w:val="nil"/>
              <w:right w:val="nil"/>
            </w:tcBorders>
            <w:shd w:val="clear" w:color="auto" w:fill="auto"/>
            <w:noWrap/>
            <w:vAlign w:val="bottom"/>
            <w:hideMark/>
          </w:tcPr>
          <w:p w14:paraId="3CF598B7"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0.165 ± 0.213</w:t>
            </w:r>
          </w:p>
        </w:tc>
        <w:tc>
          <w:tcPr>
            <w:tcW w:w="2340" w:type="dxa"/>
            <w:tcBorders>
              <w:top w:val="nil"/>
              <w:left w:val="nil"/>
              <w:bottom w:val="nil"/>
              <w:right w:val="nil"/>
            </w:tcBorders>
            <w:vAlign w:val="bottom"/>
          </w:tcPr>
          <w:p w14:paraId="60C46C1C" w14:textId="70C44DC5"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0.232 ± 0.115</w:t>
            </w:r>
          </w:p>
        </w:tc>
      </w:tr>
      <w:tr w:rsidR="001E3B0E" w:rsidRPr="00232D6F" w14:paraId="16D144B9" w14:textId="0D5B40D0" w:rsidTr="001E3B0E">
        <w:trPr>
          <w:trHeight w:val="255"/>
        </w:trPr>
        <w:tc>
          <w:tcPr>
            <w:tcW w:w="1272" w:type="dxa"/>
            <w:tcBorders>
              <w:top w:val="nil"/>
              <w:left w:val="nil"/>
              <w:bottom w:val="nil"/>
              <w:right w:val="nil"/>
            </w:tcBorders>
            <w:shd w:val="clear" w:color="auto" w:fill="auto"/>
            <w:noWrap/>
            <w:vAlign w:val="bottom"/>
            <w:hideMark/>
          </w:tcPr>
          <w:p w14:paraId="0B3EA98A" w14:textId="77777777" w:rsidR="001E3B0E" w:rsidRPr="00232D6F" w:rsidRDefault="001E3B0E" w:rsidP="00232D6F">
            <w:pPr>
              <w:spacing w:after="0" w:line="240" w:lineRule="auto"/>
              <w:jc w:val="right"/>
              <w:rPr>
                <w:rFonts w:eastAsia="Times New Roman" w:cstheme="minorHAnsi"/>
                <w:color w:val="000000"/>
                <w:sz w:val="20"/>
                <w:szCs w:val="20"/>
              </w:rPr>
            </w:pPr>
            <w:r w:rsidRPr="00232D6F">
              <w:rPr>
                <w:rFonts w:eastAsia="Times New Roman" w:cstheme="minorHAnsi"/>
                <w:color w:val="000000"/>
                <w:sz w:val="20"/>
                <w:szCs w:val="20"/>
              </w:rPr>
              <w:t>Cadmium</w:t>
            </w:r>
          </w:p>
        </w:tc>
        <w:tc>
          <w:tcPr>
            <w:tcW w:w="740" w:type="dxa"/>
            <w:tcBorders>
              <w:top w:val="nil"/>
              <w:left w:val="nil"/>
              <w:bottom w:val="nil"/>
              <w:right w:val="nil"/>
            </w:tcBorders>
            <w:shd w:val="clear" w:color="auto" w:fill="auto"/>
            <w:noWrap/>
            <w:vAlign w:val="bottom"/>
            <w:hideMark/>
          </w:tcPr>
          <w:p w14:paraId="7DFACB07" w14:textId="77777777" w:rsidR="001E3B0E" w:rsidRPr="00232D6F" w:rsidRDefault="001E3B0E" w:rsidP="00232D6F">
            <w:pPr>
              <w:spacing w:after="0" w:line="240" w:lineRule="auto"/>
              <w:jc w:val="center"/>
              <w:rPr>
                <w:rFonts w:eastAsia="Times New Roman" w:cstheme="minorHAnsi"/>
                <w:color w:val="000000"/>
                <w:sz w:val="20"/>
                <w:szCs w:val="20"/>
              </w:rPr>
            </w:pPr>
            <w:r w:rsidRPr="00232D6F">
              <w:rPr>
                <w:rFonts w:eastAsia="Times New Roman" w:cstheme="minorHAnsi"/>
                <w:color w:val="000000"/>
                <w:sz w:val="20"/>
                <w:szCs w:val="20"/>
              </w:rPr>
              <w:t>µg/L</w:t>
            </w:r>
          </w:p>
        </w:tc>
        <w:tc>
          <w:tcPr>
            <w:tcW w:w="2128" w:type="dxa"/>
            <w:tcBorders>
              <w:top w:val="nil"/>
              <w:left w:val="nil"/>
              <w:bottom w:val="nil"/>
              <w:right w:val="nil"/>
            </w:tcBorders>
            <w:shd w:val="clear" w:color="auto" w:fill="auto"/>
            <w:noWrap/>
            <w:vAlign w:val="bottom"/>
            <w:hideMark/>
          </w:tcPr>
          <w:p w14:paraId="194BB8B7"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10.2 ± 5.3</w:t>
            </w:r>
          </w:p>
        </w:tc>
        <w:tc>
          <w:tcPr>
            <w:tcW w:w="1800" w:type="dxa"/>
            <w:tcBorders>
              <w:top w:val="nil"/>
              <w:left w:val="nil"/>
              <w:bottom w:val="nil"/>
              <w:right w:val="nil"/>
            </w:tcBorders>
            <w:shd w:val="clear" w:color="auto" w:fill="auto"/>
            <w:noWrap/>
            <w:vAlign w:val="bottom"/>
            <w:hideMark/>
          </w:tcPr>
          <w:p w14:paraId="7C6A587A"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BDL</w:t>
            </w:r>
          </w:p>
        </w:tc>
        <w:tc>
          <w:tcPr>
            <w:tcW w:w="2340" w:type="dxa"/>
            <w:tcBorders>
              <w:top w:val="nil"/>
              <w:left w:val="nil"/>
              <w:bottom w:val="nil"/>
              <w:right w:val="nil"/>
            </w:tcBorders>
            <w:vAlign w:val="bottom"/>
          </w:tcPr>
          <w:p w14:paraId="0DC7010E" w14:textId="35E86080"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4.60 ± 2.46</w:t>
            </w:r>
          </w:p>
        </w:tc>
      </w:tr>
      <w:tr w:rsidR="001E3B0E" w:rsidRPr="00232D6F" w14:paraId="73D6214A" w14:textId="1B842BB3" w:rsidTr="001E3B0E">
        <w:trPr>
          <w:trHeight w:val="255"/>
        </w:trPr>
        <w:tc>
          <w:tcPr>
            <w:tcW w:w="1272" w:type="dxa"/>
            <w:tcBorders>
              <w:top w:val="nil"/>
              <w:left w:val="nil"/>
              <w:bottom w:val="nil"/>
              <w:right w:val="nil"/>
            </w:tcBorders>
            <w:shd w:val="clear" w:color="auto" w:fill="auto"/>
            <w:noWrap/>
            <w:vAlign w:val="bottom"/>
            <w:hideMark/>
          </w:tcPr>
          <w:p w14:paraId="75461F2E" w14:textId="77777777" w:rsidR="001E3B0E" w:rsidRPr="00232D6F" w:rsidRDefault="001E3B0E" w:rsidP="00232D6F">
            <w:pPr>
              <w:spacing w:after="0" w:line="240" w:lineRule="auto"/>
              <w:jc w:val="right"/>
              <w:rPr>
                <w:rFonts w:eastAsia="Times New Roman" w:cstheme="minorHAnsi"/>
                <w:color w:val="000000"/>
                <w:sz w:val="20"/>
                <w:szCs w:val="20"/>
              </w:rPr>
            </w:pPr>
            <w:r w:rsidRPr="00232D6F">
              <w:rPr>
                <w:rFonts w:eastAsia="Times New Roman" w:cstheme="minorHAnsi"/>
                <w:color w:val="000000"/>
                <w:sz w:val="20"/>
                <w:szCs w:val="20"/>
              </w:rPr>
              <w:t>Lead</w:t>
            </w:r>
          </w:p>
        </w:tc>
        <w:tc>
          <w:tcPr>
            <w:tcW w:w="740" w:type="dxa"/>
            <w:tcBorders>
              <w:top w:val="nil"/>
              <w:left w:val="nil"/>
              <w:bottom w:val="nil"/>
              <w:right w:val="nil"/>
            </w:tcBorders>
            <w:shd w:val="clear" w:color="auto" w:fill="auto"/>
            <w:noWrap/>
            <w:vAlign w:val="bottom"/>
            <w:hideMark/>
          </w:tcPr>
          <w:p w14:paraId="1E272DD6" w14:textId="77777777" w:rsidR="001E3B0E" w:rsidRPr="00232D6F" w:rsidRDefault="001E3B0E" w:rsidP="00232D6F">
            <w:pPr>
              <w:spacing w:after="0" w:line="240" w:lineRule="auto"/>
              <w:jc w:val="center"/>
              <w:rPr>
                <w:rFonts w:eastAsia="Times New Roman" w:cstheme="minorHAnsi"/>
                <w:color w:val="000000"/>
                <w:sz w:val="20"/>
                <w:szCs w:val="20"/>
              </w:rPr>
            </w:pPr>
            <w:r w:rsidRPr="00232D6F">
              <w:rPr>
                <w:rFonts w:eastAsia="Times New Roman" w:cstheme="minorHAnsi"/>
                <w:color w:val="000000"/>
                <w:sz w:val="20"/>
                <w:szCs w:val="20"/>
              </w:rPr>
              <w:t>µg/L</w:t>
            </w:r>
          </w:p>
        </w:tc>
        <w:tc>
          <w:tcPr>
            <w:tcW w:w="2128" w:type="dxa"/>
            <w:tcBorders>
              <w:top w:val="nil"/>
              <w:left w:val="nil"/>
              <w:bottom w:val="nil"/>
              <w:right w:val="nil"/>
            </w:tcBorders>
            <w:shd w:val="clear" w:color="auto" w:fill="auto"/>
            <w:noWrap/>
            <w:vAlign w:val="bottom"/>
            <w:hideMark/>
          </w:tcPr>
          <w:p w14:paraId="6016239C"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37.8 ± 8.9</w:t>
            </w:r>
          </w:p>
        </w:tc>
        <w:tc>
          <w:tcPr>
            <w:tcW w:w="1800" w:type="dxa"/>
            <w:tcBorders>
              <w:top w:val="nil"/>
              <w:left w:val="nil"/>
              <w:bottom w:val="nil"/>
              <w:right w:val="nil"/>
            </w:tcBorders>
            <w:shd w:val="clear" w:color="auto" w:fill="auto"/>
            <w:noWrap/>
            <w:vAlign w:val="bottom"/>
            <w:hideMark/>
          </w:tcPr>
          <w:p w14:paraId="431766F8"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BDL</w:t>
            </w:r>
          </w:p>
        </w:tc>
        <w:tc>
          <w:tcPr>
            <w:tcW w:w="2340" w:type="dxa"/>
            <w:tcBorders>
              <w:top w:val="nil"/>
              <w:left w:val="nil"/>
              <w:bottom w:val="nil"/>
              <w:right w:val="nil"/>
            </w:tcBorders>
            <w:vAlign w:val="bottom"/>
          </w:tcPr>
          <w:p w14:paraId="1BEFE032" w14:textId="2ECAD190"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28.4 ± 2.2</w:t>
            </w:r>
          </w:p>
        </w:tc>
      </w:tr>
      <w:tr w:rsidR="001E3B0E" w:rsidRPr="00232D6F" w14:paraId="4908BF90" w14:textId="1B6011F8" w:rsidTr="001E3B0E">
        <w:trPr>
          <w:trHeight w:val="255"/>
        </w:trPr>
        <w:tc>
          <w:tcPr>
            <w:tcW w:w="1272" w:type="dxa"/>
            <w:tcBorders>
              <w:top w:val="nil"/>
              <w:left w:val="nil"/>
              <w:bottom w:val="nil"/>
              <w:right w:val="nil"/>
            </w:tcBorders>
            <w:shd w:val="clear" w:color="auto" w:fill="auto"/>
            <w:noWrap/>
            <w:vAlign w:val="bottom"/>
            <w:hideMark/>
          </w:tcPr>
          <w:p w14:paraId="78C814FB" w14:textId="77777777" w:rsidR="001E3B0E" w:rsidRPr="00232D6F" w:rsidRDefault="001E3B0E" w:rsidP="00232D6F">
            <w:pPr>
              <w:spacing w:after="0" w:line="240" w:lineRule="auto"/>
              <w:jc w:val="right"/>
              <w:rPr>
                <w:rFonts w:eastAsia="Times New Roman" w:cstheme="minorHAnsi"/>
                <w:color w:val="000000"/>
                <w:sz w:val="20"/>
                <w:szCs w:val="20"/>
              </w:rPr>
            </w:pPr>
            <w:r w:rsidRPr="00232D6F">
              <w:rPr>
                <w:rFonts w:eastAsia="Times New Roman" w:cstheme="minorHAnsi"/>
                <w:color w:val="000000"/>
                <w:sz w:val="20"/>
                <w:szCs w:val="20"/>
              </w:rPr>
              <w:t>Arsenic</w:t>
            </w:r>
          </w:p>
        </w:tc>
        <w:tc>
          <w:tcPr>
            <w:tcW w:w="740" w:type="dxa"/>
            <w:tcBorders>
              <w:top w:val="nil"/>
              <w:left w:val="nil"/>
              <w:bottom w:val="nil"/>
              <w:right w:val="nil"/>
            </w:tcBorders>
            <w:shd w:val="clear" w:color="auto" w:fill="auto"/>
            <w:noWrap/>
            <w:vAlign w:val="bottom"/>
            <w:hideMark/>
          </w:tcPr>
          <w:p w14:paraId="2ED9E030" w14:textId="77777777" w:rsidR="001E3B0E" w:rsidRPr="00232D6F" w:rsidRDefault="001E3B0E" w:rsidP="00232D6F">
            <w:pPr>
              <w:spacing w:after="0" w:line="240" w:lineRule="auto"/>
              <w:jc w:val="center"/>
              <w:rPr>
                <w:rFonts w:eastAsia="Times New Roman" w:cstheme="minorHAnsi"/>
                <w:color w:val="000000"/>
                <w:sz w:val="20"/>
                <w:szCs w:val="20"/>
              </w:rPr>
            </w:pPr>
            <w:r w:rsidRPr="00232D6F">
              <w:rPr>
                <w:rFonts w:eastAsia="Times New Roman" w:cstheme="minorHAnsi"/>
                <w:color w:val="000000"/>
                <w:sz w:val="20"/>
                <w:szCs w:val="20"/>
              </w:rPr>
              <w:t>µg/L</w:t>
            </w:r>
          </w:p>
        </w:tc>
        <w:tc>
          <w:tcPr>
            <w:tcW w:w="2128" w:type="dxa"/>
            <w:tcBorders>
              <w:top w:val="nil"/>
              <w:left w:val="nil"/>
              <w:bottom w:val="nil"/>
              <w:right w:val="nil"/>
            </w:tcBorders>
            <w:shd w:val="clear" w:color="auto" w:fill="auto"/>
            <w:noWrap/>
            <w:vAlign w:val="bottom"/>
            <w:hideMark/>
          </w:tcPr>
          <w:p w14:paraId="777A66C7"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BDL</w:t>
            </w:r>
          </w:p>
        </w:tc>
        <w:tc>
          <w:tcPr>
            <w:tcW w:w="1800" w:type="dxa"/>
            <w:tcBorders>
              <w:top w:val="nil"/>
              <w:left w:val="nil"/>
              <w:bottom w:val="nil"/>
              <w:right w:val="nil"/>
            </w:tcBorders>
            <w:shd w:val="clear" w:color="auto" w:fill="auto"/>
            <w:noWrap/>
            <w:vAlign w:val="bottom"/>
            <w:hideMark/>
          </w:tcPr>
          <w:p w14:paraId="1A9E6155"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BDL</w:t>
            </w:r>
          </w:p>
        </w:tc>
        <w:tc>
          <w:tcPr>
            <w:tcW w:w="2340" w:type="dxa"/>
            <w:tcBorders>
              <w:top w:val="nil"/>
              <w:left w:val="nil"/>
              <w:bottom w:val="nil"/>
              <w:right w:val="nil"/>
            </w:tcBorders>
            <w:vAlign w:val="bottom"/>
          </w:tcPr>
          <w:p w14:paraId="1BF32A29" w14:textId="35D64A98"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BDL</w:t>
            </w:r>
          </w:p>
        </w:tc>
      </w:tr>
      <w:tr w:rsidR="001E3B0E" w:rsidRPr="00232D6F" w14:paraId="437F4BAA" w14:textId="7E1F282A" w:rsidTr="001E3B0E">
        <w:trPr>
          <w:trHeight w:val="683"/>
        </w:trPr>
        <w:tc>
          <w:tcPr>
            <w:tcW w:w="1272" w:type="dxa"/>
            <w:tcBorders>
              <w:top w:val="single" w:sz="4" w:space="0" w:color="auto"/>
              <w:left w:val="nil"/>
              <w:bottom w:val="double" w:sz="6" w:space="0" w:color="auto"/>
              <w:right w:val="nil"/>
            </w:tcBorders>
            <w:shd w:val="clear" w:color="auto" w:fill="auto"/>
            <w:vAlign w:val="bottom"/>
            <w:hideMark/>
          </w:tcPr>
          <w:p w14:paraId="6FA9CE4D" w14:textId="77777777" w:rsidR="001E3B0E" w:rsidRPr="00232D6F" w:rsidRDefault="001E3B0E" w:rsidP="00232D6F">
            <w:pPr>
              <w:spacing w:after="0" w:line="240" w:lineRule="auto"/>
              <w:rPr>
                <w:rFonts w:eastAsia="Times New Roman" w:cstheme="minorHAnsi"/>
                <w:bCs/>
                <w:color w:val="000000"/>
                <w:sz w:val="20"/>
                <w:szCs w:val="20"/>
              </w:rPr>
            </w:pPr>
            <w:r w:rsidRPr="00232D6F">
              <w:rPr>
                <w:rFonts w:eastAsia="Times New Roman" w:cstheme="minorHAnsi"/>
                <w:bCs/>
                <w:color w:val="000000"/>
                <w:sz w:val="20"/>
                <w:szCs w:val="20"/>
              </w:rPr>
              <w:t>Field Parameters</w:t>
            </w:r>
          </w:p>
        </w:tc>
        <w:tc>
          <w:tcPr>
            <w:tcW w:w="740" w:type="dxa"/>
            <w:tcBorders>
              <w:top w:val="single" w:sz="4" w:space="0" w:color="auto"/>
              <w:left w:val="nil"/>
              <w:bottom w:val="double" w:sz="6" w:space="0" w:color="auto"/>
              <w:right w:val="nil"/>
            </w:tcBorders>
            <w:shd w:val="clear" w:color="auto" w:fill="auto"/>
            <w:vAlign w:val="bottom"/>
            <w:hideMark/>
          </w:tcPr>
          <w:p w14:paraId="605C5BC1" w14:textId="77777777" w:rsidR="001E3B0E" w:rsidRPr="00232D6F" w:rsidRDefault="001E3B0E" w:rsidP="00232D6F">
            <w:pPr>
              <w:spacing w:after="0" w:line="240" w:lineRule="auto"/>
              <w:jc w:val="center"/>
              <w:rPr>
                <w:rFonts w:eastAsia="Times New Roman" w:cstheme="minorHAnsi"/>
                <w:bCs/>
                <w:sz w:val="20"/>
                <w:szCs w:val="20"/>
              </w:rPr>
            </w:pPr>
            <w:r w:rsidRPr="00232D6F">
              <w:rPr>
                <w:rFonts w:eastAsia="Times New Roman" w:cstheme="minorHAnsi"/>
                <w:bCs/>
                <w:sz w:val="20"/>
                <w:szCs w:val="20"/>
              </w:rPr>
              <w:t>units</w:t>
            </w:r>
          </w:p>
        </w:tc>
        <w:tc>
          <w:tcPr>
            <w:tcW w:w="2128" w:type="dxa"/>
            <w:tcBorders>
              <w:top w:val="single" w:sz="4" w:space="0" w:color="auto"/>
              <w:left w:val="nil"/>
              <w:bottom w:val="double" w:sz="6" w:space="0" w:color="auto"/>
              <w:right w:val="nil"/>
            </w:tcBorders>
            <w:shd w:val="clear" w:color="auto" w:fill="auto"/>
            <w:vAlign w:val="bottom"/>
            <w:hideMark/>
          </w:tcPr>
          <w:p w14:paraId="5238D7A6" w14:textId="77777777" w:rsidR="001E3B0E" w:rsidRPr="00232D6F" w:rsidRDefault="001E3B0E" w:rsidP="00232D6F">
            <w:pPr>
              <w:spacing w:after="0" w:line="240" w:lineRule="auto"/>
              <w:jc w:val="center"/>
              <w:rPr>
                <w:rFonts w:eastAsia="Times New Roman" w:cstheme="minorHAnsi"/>
                <w:bCs/>
                <w:sz w:val="20"/>
                <w:szCs w:val="20"/>
              </w:rPr>
            </w:pPr>
            <w:r w:rsidRPr="00232D6F">
              <w:rPr>
                <w:rFonts w:eastAsia="Times New Roman" w:cstheme="minorHAnsi"/>
                <w:bCs/>
                <w:sz w:val="20"/>
                <w:szCs w:val="20"/>
              </w:rPr>
              <w:t>Tributary Upstream from PTS</w:t>
            </w:r>
          </w:p>
        </w:tc>
        <w:tc>
          <w:tcPr>
            <w:tcW w:w="1800" w:type="dxa"/>
            <w:tcBorders>
              <w:top w:val="single" w:sz="4" w:space="0" w:color="auto"/>
              <w:left w:val="nil"/>
              <w:bottom w:val="double" w:sz="6" w:space="0" w:color="auto"/>
              <w:right w:val="nil"/>
            </w:tcBorders>
            <w:shd w:val="clear" w:color="auto" w:fill="auto"/>
            <w:vAlign w:val="bottom"/>
            <w:hideMark/>
          </w:tcPr>
          <w:p w14:paraId="019EC885" w14:textId="77777777" w:rsidR="001E3B0E" w:rsidRPr="00232D6F" w:rsidRDefault="001E3B0E" w:rsidP="00232D6F">
            <w:pPr>
              <w:spacing w:after="0" w:line="240" w:lineRule="auto"/>
              <w:jc w:val="center"/>
              <w:rPr>
                <w:rFonts w:eastAsia="Times New Roman" w:cstheme="minorHAnsi"/>
                <w:bCs/>
                <w:sz w:val="20"/>
                <w:szCs w:val="20"/>
              </w:rPr>
            </w:pPr>
            <w:r w:rsidRPr="00232D6F">
              <w:rPr>
                <w:rFonts w:eastAsia="Times New Roman" w:cstheme="minorHAnsi"/>
                <w:bCs/>
                <w:sz w:val="20"/>
                <w:szCs w:val="20"/>
              </w:rPr>
              <w:t>MRPTS Effluent (C6Out)</w:t>
            </w:r>
          </w:p>
        </w:tc>
        <w:tc>
          <w:tcPr>
            <w:tcW w:w="2340" w:type="dxa"/>
            <w:tcBorders>
              <w:top w:val="single" w:sz="4" w:space="0" w:color="auto"/>
              <w:left w:val="nil"/>
              <w:bottom w:val="double" w:sz="6" w:space="0" w:color="auto"/>
              <w:right w:val="nil"/>
            </w:tcBorders>
            <w:vAlign w:val="bottom"/>
          </w:tcPr>
          <w:p w14:paraId="0EE552AA" w14:textId="78F8756B" w:rsidR="001E3B0E" w:rsidRPr="00232D6F" w:rsidRDefault="001E3B0E" w:rsidP="00232D6F">
            <w:pPr>
              <w:spacing w:after="0" w:line="240" w:lineRule="auto"/>
              <w:jc w:val="center"/>
              <w:rPr>
                <w:rFonts w:eastAsia="Times New Roman" w:cstheme="minorHAnsi"/>
                <w:bCs/>
                <w:sz w:val="20"/>
                <w:szCs w:val="20"/>
              </w:rPr>
            </w:pPr>
            <w:r w:rsidRPr="00232D6F">
              <w:rPr>
                <w:rFonts w:eastAsia="Times New Roman" w:cstheme="minorHAnsi"/>
                <w:bCs/>
                <w:sz w:val="20"/>
                <w:szCs w:val="20"/>
              </w:rPr>
              <w:t>Tributary Downstream from PTS</w:t>
            </w:r>
          </w:p>
        </w:tc>
      </w:tr>
      <w:tr w:rsidR="001E3B0E" w:rsidRPr="00232D6F" w14:paraId="44D4A863" w14:textId="2AC5E446" w:rsidTr="001E3B0E">
        <w:trPr>
          <w:trHeight w:val="270"/>
        </w:trPr>
        <w:tc>
          <w:tcPr>
            <w:tcW w:w="1272" w:type="dxa"/>
            <w:tcBorders>
              <w:top w:val="nil"/>
              <w:left w:val="nil"/>
              <w:bottom w:val="nil"/>
              <w:right w:val="nil"/>
            </w:tcBorders>
            <w:shd w:val="clear" w:color="auto" w:fill="auto"/>
            <w:noWrap/>
            <w:vAlign w:val="bottom"/>
            <w:hideMark/>
          </w:tcPr>
          <w:p w14:paraId="05869F31" w14:textId="77777777" w:rsidR="001E3B0E" w:rsidRPr="00232D6F" w:rsidRDefault="001E3B0E" w:rsidP="00232D6F">
            <w:pPr>
              <w:spacing w:after="0" w:line="240" w:lineRule="auto"/>
              <w:jc w:val="right"/>
              <w:rPr>
                <w:rFonts w:eastAsia="Times New Roman" w:cstheme="minorHAnsi"/>
                <w:sz w:val="20"/>
                <w:szCs w:val="20"/>
              </w:rPr>
            </w:pPr>
            <w:r w:rsidRPr="00232D6F">
              <w:rPr>
                <w:rFonts w:eastAsia="Times New Roman" w:cstheme="minorHAnsi"/>
                <w:sz w:val="20"/>
                <w:szCs w:val="20"/>
              </w:rPr>
              <w:t>Cond</w:t>
            </w:r>
          </w:p>
        </w:tc>
        <w:tc>
          <w:tcPr>
            <w:tcW w:w="740"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1895BEFE" w14:textId="77777777" w:rsidR="001E3B0E" w:rsidRPr="00232D6F" w:rsidRDefault="001E3B0E" w:rsidP="00232D6F">
            <w:pPr>
              <w:spacing w:after="0" w:line="240" w:lineRule="auto"/>
              <w:jc w:val="center"/>
              <w:rPr>
                <w:rFonts w:eastAsia="Times New Roman" w:cstheme="minorHAnsi"/>
                <w:color w:val="000000"/>
                <w:sz w:val="20"/>
                <w:szCs w:val="20"/>
              </w:rPr>
            </w:pPr>
            <w:r w:rsidRPr="00232D6F">
              <w:rPr>
                <w:rFonts w:eastAsia="Times New Roman" w:cstheme="minorHAnsi"/>
                <w:color w:val="000000"/>
                <w:sz w:val="20"/>
                <w:szCs w:val="20"/>
              </w:rPr>
              <w:t>µS/cm</w:t>
            </w:r>
          </w:p>
        </w:tc>
        <w:tc>
          <w:tcPr>
            <w:tcW w:w="2128" w:type="dxa"/>
            <w:tcBorders>
              <w:top w:val="nil"/>
              <w:left w:val="nil"/>
              <w:bottom w:val="nil"/>
              <w:right w:val="nil"/>
            </w:tcBorders>
            <w:shd w:val="clear" w:color="auto" w:fill="auto"/>
            <w:noWrap/>
            <w:vAlign w:val="bottom"/>
            <w:hideMark/>
          </w:tcPr>
          <w:p w14:paraId="43CCE5D9"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2039 ± 791</w:t>
            </w:r>
          </w:p>
        </w:tc>
        <w:tc>
          <w:tcPr>
            <w:tcW w:w="1800" w:type="dxa"/>
            <w:tcBorders>
              <w:top w:val="nil"/>
              <w:left w:val="nil"/>
              <w:bottom w:val="nil"/>
              <w:right w:val="nil"/>
            </w:tcBorders>
            <w:shd w:val="clear" w:color="auto" w:fill="auto"/>
            <w:noWrap/>
            <w:vAlign w:val="bottom"/>
            <w:hideMark/>
          </w:tcPr>
          <w:p w14:paraId="11F6D1A0"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2550 ± 747</w:t>
            </w:r>
          </w:p>
        </w:tc>
        <w:tc>
          <w:tcPr>
            <w:tcW w:w="2340" w:type="dxa"/>
            <w:tcBorders>
              <w:top w:val="nil"/>
              <w:left w:val="nil"/>
              <w:bottom w:val="nil"/>
              <w:right w:val="nil"/>
            </w:tcBorders>
            <w:vAlign w:val="bottom"/>
          </w:tcPr>
          <w:p w14:paraId="513C3ED4" w14:textId="6EBD7FA8"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2152 ± 787</w:t>
            </w:r>
          </w:p>
        </w:tc>
      </w:tr>
      <w:tr w:rsidR="001E3B0E" w:rsidRPr="00232D6F" w14:paraId="231F5DB5" w14:textId="2EF723E0" w:rsidTr="001E3B0E">
        <w:trPr>
          <w:trHeight w:val="255"/>
        </w:trPr>
        <w:tc>
          <w:tcPr>
            <w:tcW w:w="1272" w:type="dxa"/>
            <w:tcBorders>
              <w:top w:val="nil"/>
              <w:left w:val="nil"/>
              <w:bottom w:val="nil"/>
              <w:right w:val="nil"/>
            </w:tcBorders>
            <w:shd w:val="clear" w:color="auto" w:fill="auto"/>
            <w:noWrap/>
            <w:vAlign w:val="bottom"/>
            <w:hideMark/>
          </w:tcPr>
          <w:p w14:paraId="2D4CBFD3" w14:textId="77777777" w:rsidR="001E3B0E" w:rsidRPr="00232D6F" w:rsidRDefault="001E3B0E" w:rsidP="00232D6F">
            <w:pPr>
              <w:spacing w:after="0" w:line="240" w:lineRule="auto"/>
              <w:jc w:val="right"/>
              <w:rPr>
                <w:rFonts w:eastAsia="Times New Roman" w:cstheme="minorHAnsi"/>
                <w:sz w:val="20"/>
                <w:szCs w:val="20"/>
              </w:rPr>
            </w:pPr>
            <w:r w:rsidRPr="00232D6F">
              <w:rPr>
                <w:rFonts w:eastAsia="Times New Roman" w:cstheme="minorHAnsi"/>
                <w:sz w:val="20"/>
                <w:szCs w:val="20"/>
              </w:rPr>
              <w:t>TDS</w:t>
            </w:r>
          </w:p>
        </w:tc>
        <w:tc>
          <w:tcPr>
            <w:tcW w:w="740" w:type="dxa"/>
            <w:tcBorders>
              <w:top w:val="nil"/>
              <w:left w:val="nil"/>
              <w:bottom w:val="nil"/>
              <w:right w:val="nil"/>
            </w:tcBorders>
            <w:shd w:val="clear" w:color="auto" w:fill="auto"/>
            <w:noWrap/>
            <w:vAlign w:val="bottom"/>
            <w:hideMark/>
          </w:tcPr>
          <w:p w14:paraId="7467BDAB"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g/L</w:t>
            </w:r>
          </w:p>
        </w:tc>
        <w:tc>
          <w:tcPr>
            <w:tcW w:w="2128" w:type="dxa"/>
            <w:tcBorders>
              <w:top w:val="nil"/>
              <w:left w:val="nil"/>
              <w:bottom w:val="nil"/>
              <w:right w:val="nil"/>
            </w:tcBorders>
            <w:shd w:val="clear" w:color="auto" w:fill="auto"/>
            <w:noWrap/>
            <w:vAlign w:val="bottom"/>
            <w:hideMark/>
          </w:tcPr>
          <w:p w14:paraId="4AE435EB"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1.63 ± 0.47</w:t>
            </w:r>
          </w:p>
        </w:tc>
        <w:tc>
          <w:tcPr>
            <w:tcW w:w="1800" w:type="dxa"/>
            <w:tcBorders>
              <w:top w:val="nil"/>
              <w:left w:val="nil"/>
              <w:bottom w:val="nil"/>
              <w:right w:val="nil"/>
            </w:tcBorders>
            <w:shd w:val="clear" w:color="auto" w:fill="auto"/>
            <w:noWrap/>
            <w:vAlign w:val="bottom"/>
            <w:hideMark/>
          </w:tcPr>
          <w:p w14:paraId="6FE4445C"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2.05 ± 0.21</w:t>
            </w:r>
          </w:p>
        </w:tc>
        <w:tc>
          <w:tcPr>
            <w:tcW w:w="2340" w:type="dxa"/>
            <w:tcBorders>
              <w:top w:val="nil"/>
              <w:left w:val="nil"/>
              <w:bottom w:val="nil"/>
              <w:right w:val="nil"/>
            </w:tcBorders>
            <w:vAlign w:val="bottom"/>
          </w:tcPr>
          <w:p w14:paraId="1FC12206" w14:textId="76D73E8C"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1.77 ± 0.37</w:t>
            </w:r>
          </w:p>
        </w:tc>
      </w:tr>
      <w:tr w:rsidR="001E3B0E" w:rsidRPr="00232D6F" w14:paraId="6F694646" w14:textId="505C4DA9" w:rsidTr="001E3B0E">
        <w:trPr>
          <w:trHeight w:val="255"/>
        </w:trPr>
        <w:tc>
          <w:tcPr>
            <w:tcW w:w="1272" w:type="dxa"/>
            <w:tcBorders>
              <w:top w:val="nil"/>
              <w:left w:val="nil"/>
              <w:bottom w:val="nil"/>
              <w:right w:val="nil"/>
            </w:tcBorders>
            <w:shd w:val="clear" w:color="auto" w:fill="auto"/>
            <w:noWrap/>
            <w:vAlign w:val="bottom"/>
            <w:hideMark/>
          </w:tcPr>
          <w:p w14:paraId="055AABF8" w14:textId="77777777" w:rsidR="001E3B0E" w:rsidRPr="00232D6F" w:rsidRDefault="001E3B0E" w:rsidP="00232D6F">
            <w:pPr>
              <w:spacing w:after="0" w:line="240" w:lineRule="auto"/>
              <w:jc w:val="right"/>
              <w:rPr>
                <w:rFonts w:eastAsia="Times New Roman" w:cstheme="minorHAnsi"/>
                <w:sz w:val="20"/>
                <w:szCs w:val="20"/>
              </w:rPr>
            </w:pPr>
            <w:r w:rsidRPr="00232D6F">
              <w:rPr>
                <w:rFonts w:eastAsia="Times New Roman" w:cstheme="minorHAnsi"/>
                <w:sz w:val="20"/>
                <w:szCs w:val="20"/>
              </w:rPr>
              <w:t>Salinity</w:t>
            </w:r>
          </w:p>
        </w:tc>
        <w:tc>
          <w:tcPr>
            <w:tcW w:w="740" w:type="dxa"/>
            <w:tcBorders>
              <w:top w:val="nil"/>
              <w:left w:val="nil"/>
              <w:bottom w:val="nil"/>
              <w:right w:val="nil"/>
            </w:tcBorders>
            <w:shd w:val="clear" w:color="auto" w:fill="auto"/>
            <w:noWrap/>
            <w:vAlign w:val="bottom"/>
            <w:hideMark/>
          </w:tcPr>
          <w:p w14:paraId="0283F9F3" w14:textId="77777777" w:rsidR="001E3B0E" w:rsidRPr="00232D6F" w:rsidRDefault="001E3B0E" w:rsidP="00232D6F">
            <w:pPr>
              <w:spacing w:after="0" w:line="240" w:lineRule="auto"/>
              <w:jc w:val="center"/>
              <w:rPr>
                <w:rFonts w:eastAsia="Times New Roman" w:cstheme="minorHAnsi"/>
                <w:sz w:val="20"/>
                <w:szCs w:val="20"/>
              </w:rPr>
            </w:pPr>
            <w:proofErr w:type="spellStart"/>
            <w:r w:rsidRPr="00232D6F">
              <w:rPr>
                <w:rFonts w:eastAsia="Times New Roman" w:cstheme="minorHAnsi"/>
                <w:sz w:val="20"/>
                <w:szCs w:val="20"/>
              </w:rPr>
              <w:t>ppt</w:t>
            </w:r>
            <w:proofErr w:type="spellEnd"/>
          </w:p>
        </w:tc>
        <w:tc>
          <w:tcPr>
            <w:tcW w:w="2128" w:type="dxa"/>
            <w:tcBorders>
              <w:top w:val="nil"/>
              <w:left w:val="nil"/>
              <w:bottom w:val="nil"/>
              <w:right w:val="nil"/>
            </w:tcBorders>
            <w:shd w:val="clear" w:color="auto" w:fill="auto"/>
            <w:noWrap/>
            <w:vAlign w:val="bottom"/>
            <w:hideMark/>
          </w:tcPr>
          <w:p w14:paraId="1C18A33D"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1.30 ± 0.39</w:t>
            </w:r>
          </w:p>
        </w:tc>
        <w:tc>
          <w:tcPr>
            <w:tcW w:w="1800" w:type="dxa"/>
            <w:tcBorders>
              <w:top w:val="nil"/>
              <w:left w:val="nil"/>
              <w:bottom w:val="nil"/>
              <w:right w:val="nil"/>
            </w:tcBorders>
            <w:shd w:val="clear" w:color="auto" w:fill="auto"/>
            <w:noWrap/>
            <w:vAlign w:val="bottom"/>
            <w:hideMark/>
          </w:tcPr>
          <w:p w14:paraId="10FA5A5C"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1.64 ± 0.18</w:t>
            </w:r>
          </w:p>
        </w:tc>
        <w:tc>
          <w:tcPr>
            <w:tcW w:w="2340" w:type="dxa"/>
            <w:tcBorders>
              <w:top w:val="nil"/>
              <w:left w:val="nil"/>
              <w:bottom w:val="nil"/>
              <w:right w:val="nil"/>
            </w:tcBorders>
            <w:vAlign w:val="bottom"/>
          </w:tcPr>
          <w:p w14:paraId="58AC6D21" w14:textId="3A877E11"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1.41 ± 0.37</w:t>
            </w:r>
          </w:p>
        </w:tc>
      </w:tr>
      <w:tr w:rsidR="001E3B0E" w:rsidRPr="00232D6F" w14:paraId="373D5BA3" w14:textId="54C82863" w:rsidTr="001E3B0E">
        <w:trPr>
          <w:trHeight w:val="285"/>
        </w:trPr>
        <w:tc>
          <w:tcPr>
            <w:tcW w:w="1272" w:type="dxa"/>
            <w:tcBorders>
              <w:top w:val="nil"/>
              <w:left w:val="nil"/>
              <w:bottom w:val="nil"/>
              <w:right w:val="nil"/>
            </w:tcBorders>
            <w:shd w:val="clear" w:color="auto" w:fill="auto"/>
            <w:noWrap/>
            <w:vAlign w:val="bottom"/>
            <w:hideMark/>
          </w:tcPr>
          <w:p w14:paraId="34B9D6E1" w14:textId="77777777" w:rsidR="001E3B0E" w:rsidRPr="00232D6F" w:rsidRDefault="001E3B0E" w:rsidP="00232D6F">
            <w:pPr>
              <w:spacing w:after="0" w:line="240" w:lineRule="auto"/>
              <w:jc w:val="right"/>
              <w:rPr>
                <w:rFonts w:eastAsia="Times New Roman" w:cstheme="minorHAnsi"/>
                <w:sz w:val="20"/>
                <w:szCs w:val="20"/>
              </w:rPr>
            </w:pPr>
            <w:proofErr w:type="spellStart"/>
            <w:r w:rsidRPr="00232D6F">
              <w:rPr>
                <w:rFonts w:eastAsia="Times New Roman" w:cstheme="minorHAnsi"/>
                <w:sz w:val="20"/>
                <w:szCs w:val="20"/>
              </w:rPr>
              <w:t>DO</w:t>
            </w:r>
            <w:r w:rsidRPr="00232D6F">
              <w:rPr>
                <w:rFonts w:eastAsia="Times New Roman" w:cstheme="minorHAnsi"/>
                <w:sz w:val="20"/>
                <w:szCs w:val="20"/>
                <w:vertAlign w:val="subscript"/>
              </w:rPr>
              <w:t>Sat</w:t>
            </w:r>
            <w:proofErr w:type="spellEnd"/>
          </w:p>
        </w:tc>
        <w:tc>
          <w:tcPr>
            <w:tcW w:w="740" w:type="dxa"/>
            <w:tcBorders>
              <w:top w:val="nil"/>
              <w:left w:val="nil"/>
              <w:bottom w:val="nil"/>
              <w:right w:val="nil"/>
            </w:tcBorders>
            <w:shd w:val="clear" w:color="auto" w:fill="auto"/>
            <w:noWrap/>
            <w:vAlign w:val="bottom"/>
            <w:hideMark/>
          </w:tcPr>
          <w:p w14:paraId="58753B7F"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w:t>
            </w:r>
          </w:p>
        </w:tc>
        <w:tc>
          <w:tcPr>
            <w:tcW w:w="2128" w:type="dxa"/>
            <w:tcBorders>
              <w:top w:val="nil"/>
              <w:left w:val="nil"/>
              <w:bottom w:val="nil"/>
              <w:right w:val="nil"/>
            </w:tcBorders>
            <w:shd w:val="clear" w:color="auto" w:fill="auto"/>
            <w:noWrap/>
            <w:vAlign w:val="bottom"/>
            <w:hideMark/>
          </w:tcPr>
          <w:p w14:paraId="24785519"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50.1 ± 29.5</w:t>
            </w:r>
          </w:p>
        </w:tc>
        <w:tc>
          <w:tcPr>
            <w:tcW w:w="1800" w:type="dxa"/>
            <w:tcBorders>
              <w:top w:val="nil"/>
              <w:left w:val="nil"/>
              <w:bottom w:val="nil"/>
              <w:right w:val="nil"/>
            </w:tcBorders>
            <w:shd w:val="clear" w:color="auto" w:fill="auto"/>
            <w:noWrap/>
            <w:vAlign w:val="bottom"/>
            <w:hideMark/>
          </w:tcPr>
          <w:p w14:paraId="49BB7326"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35.7 ± 21.2</w:t>
            </w:r>
          </w:p>
        </w:tc>
        <w:tc>
          <w:tcPr>
            <w:tcW w:w="2340" w:type="dxa"/>
            <w:tcBorders>
              <w:top w:val="nil"/>
              <w:left w:val="nil"/>
              <w:bottom w:val="nil"/>
              <w:right w:val="nil"/>
            </w:tcBorders>
            <w:vAlign w:val="bottom"/>
          </w:tcPr>
          <w:p w14:paraId="56F2C468" w14:textId="7AFC19BB"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50.4 ± 29.1</w:t>
            </w:r>
          </w:p>
        </w:tc>
      </w:tr>
      <w:tr w:rsidR="001E3B0E" w:rsidRPr="00232D6F" w14:paraId="01693CE6" w14:textId="41A3FA36" w:rsidTr="001E3B0E">
        <w:trPr>
          <w:trHeight w:val="255"/>
        </w:trPr>
        <w:tc>
          <w:tcPr>
            <w:tcW w:w="1272" w:type="dxa"/>
            <w:tcBorders>
              <w:top w:val="nil"/>
              <w:left w:val="nil"/>
              <w:bottom w:val="nil"/>
              <w:right w:val="nil"/>
            </w:tcBorders>
            <w:shd w:val="clear" w:color="auto" w:fill="auto"/>
            <w:noWrap/>
            <w:vAlign w:val="bottom"/>
            <w:hideMark/>
          </w:tcPr>
          <w:p w14:paraId="47F14618" w14:textId="77777777" w:rsidR="001E3B0E" w:rsidRPr="00232D6F" w:rsidRDefault="001E3B0E" w:rsidP="00232D6F">
            <w:pPr>
              <w:spacing w:after="0" w:line="240" w:lineRule="auto"/>
              <w:jc w:val="right"/>
              <w:rPr>
                <w:rFonts w:eastAsia="Times New Roman" w:cstheme="minorHAnsi"/>
                <w:sz w:val="20"/>
                <w:szCs w:val="20"/>
              </w:rPr>
            </w:pPr>
            <w:r w:rsidRPr="00232D6F">
              <w:rPr>
                <w:rFonts w:eastAsia="Times New Roman" w:cstheme="minorHAnsi"/>
                <w:sz w:val="20"/>
                <w:szCs w:val="20"/>
              </w:rPr>
              <w:t xml:space="preserve">DO </w:t>
            </w:r>
          </w:p>
        </w:tc>
        <w:tc>
          <w:tcPr>
            <w:tcW w:w="740" w:type="dxa"/>
            <w:tcBorders>
              <w:top w:val="nil"/>
              <w:left w:val="nil"/>
              <w:bottom w:val="nil"/>
              <w:right w:val="nil"/>
            </w:tcBorders>
            <w:shd w:val="clear" w:color="auto" w:fill="auto"/>
            <w:noWrap/>
            <w:vAlign w:val="bottom"/>
            <w:hideMark/>
          </w:tcPr>
          <w:p w14:paraId="0E1AE44F"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mg/L</w:t>
            </w:r>
          </w:p>
        </w:tc>
        <w:tc>
          <w:tcPr>
            <w:tcW w:w="2128" w:type="dxa"/>
            <w:tcBorders>
              <w:top w:val="nil"/>
              <w:left w:val="nil"/>
              <w:bottom w:val="nil"/>
              <w:right w:val="nil"/>
            </w:tcBorders>
            <w:shd w:val="clear" w:color="auto" w:fill="auto"/>
            <w:noWrap/>
            <w:vAlign w:val="bottom"/>
            <w:hideMark/>
          </w:tcPr>
          <w:p w14:paraId="38B55928"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5.00 ± 3.08</w:t>
            </w:r>
          </w:p>
        </w:tc>
        <w:tc>
          <w:tcPr>
            <w:tcW w:w="1800" w:type="dxa"/>
            <w:tcBorders>
              <w:top w:val="nil"/>
              <w:left w:val="nil"/>
              <w:bottom w:val="nil"/>
              <w:right w:val="nil"/>
            </w:tcBorders>
            <w:shd w:val="clear" w:color="auto" w:fill="auto"/>
            <w:noWrap/>
            <w:vAlign w:val="bottom"/>
            <w:hideMark/>
          </w:tcPr>
          <w:p w14:paraId="0AE80089"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3.77 ± 2.52</w:t>
            </w:r>
          </w:p>
        </w:tc>
        <w:tc>
          <w:tcPr>
            <w:tcW w:w="2340" w:type="dxa"/>
            <w:tcBorders>
              <w:top w:val="nil"/>
              <w:left w:val="nil"/>
              <w:bottom w:val="nil"/>
              <w:right w:val="nil"/>
            </w:tcBorders>
            <w:vAlign w:val="bottom"/>
          </w:tcPr>
          <w:p w14:paraId="695C8FC2" w14:textId="347406AE"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5.29 ± 3.27</w:t>
            </w:r>
          </w:p>
        </w:tc>
      </w:tr>
      <w:tr w:rsidR="001E3B0E" w:rsidRPr="00232D6F" w14:paraId="575C73D1" w14:textId="2A336F4F" w:rsidTr="001E3B0E">
        <w:trPr>
          <w:trHeight w:val="255"/>
        </w:trPr>
        <w:tc>
          <w:tcPr>
            <w:tcW w:w="1272" w:type="dxa"/>
            <w:tcBorders>
              <w:top w:val="nil"/>
              <w:left w:val="nil"/>
              <w:bottom w:val="nil"/>
              <w:right w:val="nil"/>
            </w:tcBorders>
            <w:shd w:val="clear" w:color="auto" w:fill="auto"/>
            <w:noWrap/>
            <w:vAlign w:val="bottom"/>
            <w:hideMark/>
          </w:tcPr>
          <w:p w14:paraId="3D51EEB7" w14:textId="77777777" w:rsidR="001E3B0E" w:rsidRPr="00232D6F" w:rsidRDefault="001E3B0E" w:rsidP="00232D6F">
            <w:pPr>
              <w:spacing w:after="0" w:line="240" w:lineRule="auto"/>
              <w:jc w:val="right"/>
              <w:rPr>
                <w:rFonts w:eastAsia="Times New Roman" w:cstheme="minorHAnsi"/>
                <w:sz w:val="20"/>
                <w:szCs w:val="20"/>
              </w:rPr>
            </w:pPr>
            <w:r w:rsidRPr="00232D6F">
              <w:rPr>
                <w:rFonts w:eastAsia="Times New Roman" w:cstheme="minorHAnsi"/>
                <w:sz w:val="20"/>
                <w:szCs w:val="20"/>
              </w:rPr>
              <w:t>pH</w:t>
            </w:r>
          </w:p>
        </w:tc>
        <w:tc>
          <w:tcPr>
            <w:tcW w:w="740" w:type="dxa"/>
            <w:tcBorders>
              <w:top w:val="nil"/>
              <w:left w:val="nil"/>
              <w:bottom w:val="nil"/>
              <w:right w:val="nil"/>
            </w:tcBorders>
            <w:shd w:val="clear" w:color="auto" w:fill="auto"/>
            <w:noWrap/>
            <w:vAlign w:val="bottom"/>
            <w:hideMark/>
          </w:tcPr>
          <w:p w14:paraId="0B3FADF0"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w:t>
            </w:r>
          </w:p>
        </w:tc>
        <w:tc>
          <w:tcPr>
            <w:tcW w:w="2128" w:type="dxa"/>
            <w:tcBorders>
              <w:top w:val="nil"/>
              <w:left w:val="nil"/>
              <w:bottom w:val="nil"/>
              <w:right w:val="nil"/>
            </w:tcBorders>
            <w:shd w:val="clear" w:color="auto" w:fill="auto"/>
            <w:noWrap/>
            <w:vAlign w:val="bottom"/>
            <w:hideMark/>
          </w:tcPr>
          <w:p w14:paraId="25008BC2"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6.32 ± 1.145</w:t>
            </w:r>
          </w:p>
        </w:tc>
        <w:tc>
          <w:tcPr>
            <w:tcW w:w="1800" w:type="dxa"/>
            <w:tcBorders>
              <w:top w:val="nil"/>
              <w:left w:val="nil"/>
              <w:bottom w:val="nil"/>
              <w:right w:val="nil"/>
            </w:tcBorders>
            <w:shd w:val="clear" w:color="auto" w:fill="auto"/>
            <w:noWrap/>
            <w:vAlign w:val="bottom"/>
            <w:hideMark/>
          </w:tcPr>
          <w:p w14:paraId="57FB1B8A"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7.05 ± 0.19</w:t>
            </w:r>
          </w:p>
        </w:tc>
        <w:tc>
          <w:tcPr>
            <w:tcW w:w="2340" w:type="dxa"/>
            <w:tcBorders>
              <w:top w:val="nil"/>
              <w:left w:val="nil"/>
              <w:bottom w:val="nil"/>
              <w:right w:val="nil"/>
            </w:tcBorders>
            <w:vAlign w:val="bottom"/>
          </w:tcPr>
          <w:p w14:paraId="75415993" w14:textId="623122D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6.55 ± 0.25</w:t>
            </w:r>
          </w:p>
        </w:tc>
      </w:tr>
      <w:tr w:rsidR="001E3B0E" w:rsidRPr="00232D6F" w14:paraId="7013D206" w14:textId="09A875A5" w:rsidTr="001E3B0E">
        <w:trPr>
          <w:trHeight w:val="255"/>
        </w:trPr>
        <w:tc>
          <w:tcPr>
            <w:tcW w:w="1272" w:type="dxa"/>
            <w:tcBorders>
              <w:top w:val="nil"/>
              <w:left w:val="nil"/>
              <w:bottom w:val="nil"/>
              <w:right w:val="nil"/>
            </w:tcBorders>
            <w:shd w:val="clear" w:color="auto" w:fill="auto"/>
            <w:noWrap/>
            <w:vAlign w:val="bottom"/>
            <w:hideMark/>
          </w:tcPr>
          <w:p w14:paraId="10D40E57" w14:textId="77777777" w:rsidR="001E3B0E" w:rsidRPr="00232D6F" w:rsidRDefault="001E3B0E" w:rsidP="00232D6F">
            <w:pPr>
              <w:spacing w:after="0" w:line="240" w:lineRule="auto"/>
              <w:jc w:val="right"/>
              <w:rPr>
                <w:rFonts w:eastAsia="Times New Roman" w:cstheme="minorHAnsi"/>
                <w:sz w:val="20"/>
                <w:szCs w:val="20"/>
              </w:rPr>
            </w:pPr>
            <w:r w:rsidRPr="00232D6F">
              <w:rPr>
                <w:rFonts w:eastAsia="Times New Roman" w:cstheme="minorHAnsi"/>
                <w:sz w:val="20"/>
                <w:szCs w:val="20"/>
              </w:rPr>
              <w:t>Flow</w:t>
            </w:r>
          </w:p>
        </w:tc>
        <w:tc>
          <w:tcPr>
            <w:tcW w:w="740" w:type="dxa"/>
            <w:tcBorders>
              <w:top w:val="nil"/>
              <w:left w:val="nil"/>
              <w:bottom w:val="nil"/>
              <w:right w:val="nil"/>
            </w:tcBorders>
            <w:shd w:val="clear" w:color="auto" w:fill="auto"/>
            <w:noWrap/>
            <w:vAlign w:val="bottom"/>
            <w:hideMark/>
          </w:tcPr>
          <w:p w14:paraId="3236EB49" w14:textId="64F16454" w:rsidR="001E3B0E" w:rsidRPr="00232D6F" w:rsidRDefault="001E3B0E" w:rsidP="00232D6F">
            <w:pPr>
              <w:spacing w:after="0" w:line="240" w:lineRule="auto"/>
              <w:jc w:val="center"/>
              <w:rPr>
                <w:rFonts w:eastAsia="Times New Roman" w:cstheme="minorHAnsi"/>
                <w:sz w:val="20"/>
                <w:szCs w:val="20"/>
              </w:rPr>
            </w:pPr>
            <w:r>
              <w:rPr>
                <w:rFonts w:eastAsia="Times New Roman" w:cstheme="minorHAnsi"/>
                <w:sz w:val="20"/>
                <w:szCs w:val="20"/>
              </w:rPr>
              <w:t>L/min</w:t>
            </w:r>
          </w:p>
        </w:tc>
        <w:tc>
          <w:tcPr>
            <w:tcW w:w="2128" w:type="dxa"/>
            <w:tcBorders>
              <w:top w:val="nil"/>
              <w:left w:val="nil"/>
              <w:bottom w:val="nil"/>
              <w:right w:val="nil"/>
            </w:tcBorders>
            <w:shd w:val="clear" w:color="auto" w:fill="auto"/>
            <w:noWrap/>
            <w:vAlign w:val="bottom"/>
            <w:hideMark/>
          </w:tcPr>
          <w:p w14:paraId="7FED1486" w14:textId="38585135" w:rsidR="001E3B0E" w:rsidRPr="00232D6F" w:rsidRDefault="001E3B0E" w:rsidP="00232D6F">
            <w:pPr>
              <w:spacing w:after="0" w:line="240" w:lineRule="auto"/>
              <w:jc w:val="center"/>
              <w:rPr>
                <w:rFonts w:eastAsia="Times New Roman" w:cstheme="minorHAnsi"/>
                <w:sz w:val="20"/>
                <w:szCs w:val="20"/>
              </w:rPr>
            </w:pPr>
            <w:r>
              <w:rPr>
                <w:rFonts w:eastAsia="Times New Roman" w:cstheme="minorHAnsi"/>
                <w:sz w:val="20"/>
                <w:szCs w:val="20"/>
              </w:rPr>
              <w:t>1126</w:t>
            </w:r>
            <w:r w:rsidRPr="00232D6F">
              <w:rPr>
                <w:rFonts w:eastAsia="Times New Roman" w:cstheme="minorHAnsi"/>
                <w:sz w:val="20"/>
                <w:szCs w:val="20"/>
              </w:rPr>
              <w:t xml:space="preserve">± </w:t>
            </w:r>
            <w:r>
              <w:rPr>
                <w:rFonts w:eastAsia="Times New Roman" w:cstheme="minorHAnsi"/>
                <w:sz w:val="20"/>
                <w:szCs w:val="20"/>
              </w:rPr>
              <w:t>1954</w:t>
            </w:r>
          </w:p>
        </w:tc>
        <w:tc>
          <w:tcPr>
            <w:tcW w:w="1800" w:type="dxa"/>
            <w:tcBorders>
              <w:top w:val="nil"/>
              <w:left w:val="nil"/>
              <w:bottom w:val="nil"/>
              <w:right w:val="nil"/>
            </w:tcBorders>
            <w:shd w:val="clear" w:color="auto" w:fill="auto"/>
            <w:noWrap/>
            <w:vAlign w:val="bottom"/>
            <w:hideMark/>
          </w:tcPr>
          <w:p w14:paraId="45BFF481" w14:textId="04D20F73" w:rsidR="001E3B0E" w:rsidRPr="00232D6F" w:rsidRDefault="001E3B0E" w:rsidP="00232D6F">
            <w:pPr>
              <w:spacing w:after="0" w:line="240" w:lineRule="auto"/>
              <w:jc w:val="center"/>
              <w:rPr>
                <w:rFonts w:eastAsia="Times New Roman" w:cstheme="minorHAnsi"/>
                <w:sz w:val="20"/>
                <w:szCs w:val="20"/>
              </w:rPr>
            </w:pPr>
            <w:r>
              <w:rPr>
                <w:rFonts w:eastAsia="Times New Roman" w:cstheme="minorHAnsi"/>
                <w:sz w:val="20"/>
                <w:szCs w:val="20"/>
              </w:rPr>
              <w:t>430</w:t>
            </w:r>
            <w:r w:rsidRPr="00232D6F">
              <w:rPr>
                <w:rFonts w:eastAsia="Times New Roman" w:cstheme="minorHAnsi"/>
                <w:sz w:val="20"/>
                <w:szCs w:val="20"/>
              </w:rPr>
              <w:t xml:space="preserve"> ± </w:t>
            </w:r>
            <w:r>
              <w:rPr>
                <w:rFonts w:eastAsia="Times New Roman" w:cstheme="minorHAnsi"/>
                <w:sz w:val="20"/>
                <w:szCs w:val="20"/>
              </w:rPr>
              <w:t>77</w:t>
            </w:r>
          </w:p>
        </w:tc>
        <w:tc>
          <w:tcPr>
            <w:tcW w:w="2340" w:type="dxa"/>
            <w:tcBorders>
              <w:top w:val="nil"/>
              <w:left w:val="nil"/>
              <w:bottom w:val="nil"/>
              <w:right w:val="nil"/>
            </w:tcBorders>
            <w:vAlign w:val="bottom"/>
          </w:tcPr>
          <w:p w14:paraId="5DD4D01C" w14:textId="4F477824" w:rsidR="001E3B0E" w:rsidRPr="00232D6F" w:rsidRDefault="001E3B0E" w:rsidP="00232D6F">
            <w:pPr>
              <w:spacing w:after="0" w:line="240" w:lineRule="auto"/>
              <w:jc w:val="center"/>
              <w:rPr>
                <w:rFonts w:eastAsia="Times New Roman" w:cstheme="minorHAnsi"/>
                <w:sz w:val="20"/>
                <w:szCs w:val="20"/>
              </w:rPr>
            </w:pPr>
            <w:r>
              <w:rPr>
                <w:rFonts w:eastAsia="Times New Roman" w:cstheme="minorHAnsi"/>
                <w:sz w:val="20"/>
                <w:szCs w:val="20"/>
              </w:rPr>
              <w:t>818</w:t>
            </w:r>
            <w:r w:rsidRPr="00232D6F">
              <w:rPr>
                <w:rFonts w:eastAsia="Times New Roman" w:cstheme="minorHAnsi"/>
                <w:sz w:val="20"/>
                <w:szCs w:val="20"/>
              </w:rPr>
              <w:t xml:space="preserve"> ± </w:t>
            </w:r>
            <w:r>
              <w:rPr>
                <w:rFonts w:eastAsia="Times New Roman" w:cstheme="minorHAnsi"/>
                <w:sz w:val="20"/>
                <w:szCs w:val="20"/>
              </w:rPr>
              <w:t>988</w:t>
            </w:r>
          </w:p>
        </w:tc>
      </w:tr>
      <w:tr w:rsidR="001E3B0E" w:rsidRPr="00232D6F" w14:paraId="5361D1AC" w14:textId="44A7EF1F" w:rsidTr="001E3B0E">
        <w:trPr>
          <w:trHeight w:val="255"/>
        </w:trPr>
        <w:tc>
          <w:tcPr>
            <w:tcW w:w="1272" w:type="dxa"/>
            <w:tcBorders>
              <w:top w:val="nil"/>
              <w:left w:val="nil"/>
              <w:bottom w:val="nil"/>
              <w:right w:val="nil"/>
            </w:tcBorders>
            <w:shd w:val="clear" w:color="auto" w:fill="auto"/>
            <w:noWrap/>
            <w:vAlign w:val="bottom"/>
            <w:hideMark/>
          </w:tcPr>
          <w:p w14:paraId="436D363A" w14:textId="77777777" w:rsidR="001E3B0E" w:rsidRPr="00232D6F" w:rsidRDefault="001E3B0E" w:rsidP="00232D6F">
            <w:pPr>
              <w:spacing w:after="0" w:line="240" w:lineRule="auto"/>
              <w:jc w:val="right"/>
              <w:rPr>
                <w:rFonts w:eastAsia="Times New Roman" w:cstheme="minorHAnsi"/>
                <w:sz w:val="20"/>
                <w:szCs w:val="20"/>
              </w:rPr>
            </w:pPr>
            <w:r w:rsidRPr="00232D6F">
              <w:rPr>
                <w:rFonts w:eastAsia="Times New Roman" w:cstheme="minorHAnsi"/>
                <w:sz w:val="20"/>
                <w:szCs w:val="20"/>
              </w:rPr>
              <w:t>Turbidity</w:t>
            </w:r>
          </w:p>
        </w:tc>
        <w:tc>
          <w:tcPr>
            <w:tcW w:w="740" w:type="dxa"/>
            <w:tcBorders>
              <w:top w:val="nil"/>
              <w:left w:val="nil"/>
              <w:bottom w:val="nil"/>
              <w:right w:val="nil"/>
            </w:tcBorders>
            <w:shd w:val="clear" w:color="auto" w:fill="auto"/>
            <w:noWrap/>
            <w:vAlign w:val="bottom"/>
            <w:hideMark/>
          </w:tcPr>
          <w:p w14:paraId="4FC62743"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NTU</w:t>
            </w:r>
          </w:p>
        </w:tc>
        <w:tc>
          <w:tcPr>
            <w:tcW w:w="2128" w:type="dxa"/>
            <w:tcBorders>
              <w:top w:val="nil"/>
              <w:left w:val="nil"/>
              <w:bottom w:val="nil"/>
              <w:right w:val="nil"/>
            </w:tcBorders>
            <w:shd w:val="clear" w:color="auto" w:fill="auto"/>
            <w:noWrap/>
            <w:vAlign w:val="bottom"/>
            <w:hideMark/>
          </w:tcPr>
          <w:p w14:paraId="7FDD0728"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44.6 ± 29.4</w:t>
            </w:r>
          </w:p>
        </w:tc>
        <w:tc>
          <w:tcPr>
            <w:tcW w:w="1800" w:type="dxa"/>
            <w:tcBorders>
              <w:top w:val="nil"/>
              <w:left w:val="nil"/>
              <w:bottom w:val="nil"/>
              <w:right w:val="nil"/>
            </w:tcBorders>
            <w:shd w:val="clear" w:color="auto" w:fill="auto"/>
            <w:noWrap/>
            <w:vAlign w:val="bottom"/>
            <w:hideMark/>
          </w:tcPr>
          <w:p w14:paraId="107E2BC5"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26.4 ± 36.9</w:t>
            </w:r>
          </w:p>
        </w:tc>
        <w:tc>
          <w:tcPr>
            <w:tcW w:w="2340" w:type="dxa"/>
            <w:tcBorders>
              <w:top w:val="nil"/>
              <w:left w:val="nil"/>
              <w:bottom w:val="nil"/>
              <w:right w:val="nil"/>
            </w:tcBorders>
            <w:vAlign w:val="bottom"/>
          </w:tcPr>
          <w:p w14:paraId="728B46CD" w14:textId="6BA967B5"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42.3 ± 35.2</w:t>
            </w:r>
          </w:p>
        </w:tc>
      </w:tr>
      <w:tr w:rsidR="001E3B0E" w:rsidRPr="00232D6F" w14:paraId="73BD4443" w14:textId="3C76EDEC" w:rsidTr="001E3B0E">
        <w:trPr>
          <w:trHeight w:val="255"/>
        </w:trPr>
        <w:tc>
          <w:tcPr>
            <w:tcW w:w="1272" w:type="dxa"/>
            <w:tcBorders>
              <w:top w:val="nil"/>
              <w:left w:val="nil"/>
              <w:bottom w:val="nil"/>
              <w:right w:val="nil"/>
            </w:tcBorders>
            <w:shd w:val="clear" w:color="auto" w:fill="auto"/>
            <w:noWrap/>
            <w:vAlign w:val="bottom"/>
            <w:hideMark/>
          </w:tcPr>
          <w:p w14:paraId="6AB59AA9" w14:textId="77777777" w:rsidR="001E3B0E" w:rsidRPr="00232D6F" w:rsidRDefault="001E3B0E" w:rsidP="00232D6F">
            <w:pPr>
              <w:spacing w:after="0" w:line="240" w:lineRule="auto"/>
              <w:jc w:val="right"/>
              <w:rPr>
                <w:rFonts w:eastAsia="Times New Roman" w:cstheme="minorHAnsi"/>
                <w:sz w:val="20"/>
                <w:szCs w:val="20"/>
              </w:rPr>
            </w:pPr>
            <w:r w:rsidRPr="00232D6F">
              <w:rPr>
                <w:rFonts w:eastAsia="Times New Roman" w:cstheme="minorHAnsi"/>
                <w:sz w:val="20"/>
                <w:szCs w:val="20"/>
              </w:rPr>
              <w:t>Sulfate</w:t>
            </w:r>
          </w:p>
        </w:tc>
        <w:tc>
          <w:tcPr>
            <w:tcW w:w="740" w:type="dxa"/>
            <w:tcBorders>
              <w:top w:val="nil"/>
              <w:left w:val="nil"/>
              <w:bottom w:val="nil"/>
              <w:right w:val="nil"/>
            </w:tcBorders>
            <w:shd w:val="clear" w:color="auto" w:fill="auto"/>
            <w:noWrap/>
            <w:vAlign w:val="bottom"/>
            <w:hideMark/>
          </w:tcPr>
          <w:p w14:paraId="53FB23CE"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mg/L</w:t>
            </w:r>
          </w:p>
        </w:tc>
        <w:tc>
          <w:tcPr>
            <w:tcW w:w="2128" w:type="dxa"/>
            <w:tcBorders>
              <w:top w:val="nil"/>
              <w:left w:val="nil"/>
              <w:bottom w:val="nil"/>
              <w:right w:val="nil"/>
            </w:tcBorders>
            <w:shd w:val="clear" w:color="auto" w:fill="auto"/>
            <w:noWrap/>
            <w:vAlign w:val="bottom"/>
            <w:hideMark/>
          </w:tcPr>
          <w:p w14:paraId="64996A94"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1644 ± 518</w:t>
            </w:r>
          </w:p>
        </w:tc>
        <w:tc>
          <w:tcPr>
            <w:tcW w:w="1800" w:type="dxa"/>
            <w:tcBorders>
              <w:top w:val="nil"/>
              <w:left w:val="nil"/>
              <w:bottom w:val="nil"/>
              <w:right w:val="nil"/>
            </w:tcBorders>
            <w:shd w:val="clear" w:color="auto" w:fill="auto"/>
            <w:noWrap/>
            <w:vAlign w:val="bottom"/>
            <w:hideMark/>
          </w:tcPr>
          <w:p w14:paraId="021ED425"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2252 ± 611</w:t>
            </w:r>
          </w:p>
        </w:tc>
        <w:tc>
          <w:tcPr>
            <w:tcW w:w="2340" w:type="dxa"/>
            <w:tcBorders>
              <w:top w:val="nil"/>
              <w:left w:val="nil"/>
              <w:bottom w:val="nil"/>
              <w:right w:val="nil"/>
            </w:tcBorders>
            <w:vAlign w:val="bottom"/>
          </w:tcPr>
          <w:p w14:paraId="71BFBF6B" w14:textId="5CFC7FF1"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1778 ± 474</w:t>
            </w:r>
          </w:p>
        </w:tc>
      </w:tr>
      <w:tr w:rsidR="001E3B0E" w:rsidRPr="00232D6F" w14:paraId="68BD21A0" w14:textId="3B0201E8" w:rsidTr="001E3B0E">
        <w:trPr>
          <w:trHeight w:val="207"/>
        </w:trPr>
        <w:tc>
          <w:tcPr>
            <w:tcW w:w="1272" w:type="dxa"/>
            <w:tcBorders>
              <w:top w:val="nil"/>
              <w:left w:val="nil"/>
              <w:bottom w:val="single" w:sz="4" w:space="0" w:color="auto"/>
              <w:right w:val="nil"/>
            </w:tcBorders>
            <w:shd w:val="clear" w:color="auto" w:fill="auto"/>
            <w:noWrap/>
            <w:vAlign w:val="center"/>
            <w:hideMark/>
          </w:tcPr>
          <w:p w14:paraId="3EF0C0B8" w14:textId="77777777" w:rsidR="001E3B0E" w:rsidRPr="00232D6F" w:rsidRDefault="001E3B0E" w:rsidP="00232D6F">
            <w:pPr>
              <w:spacing w:after="0" w:line="240" w:lineRule="auto"/>
              <w:jc w:val="right"/>
              <w:rPr>
                <w:rFonts w:eastAsia="Times New Roman" w:cstheme="minorHAnsi"/>
                <w:sz w:val="20"/>
                <w:szCs w:val="20"/>
              </w:rPr>
            </w:pPr>
            <w:r w:rsidRPr="00232D6F">
              <w:rPr>
                <w:rFonts w:eastAsia="Times New Roman" w:cstheme="minorHAnsi"/>
                <w:sz w:val="20"/>
                <w:szCs w:val="20"/>
              </w:rPr>
              <w:t>Alkalinity</w:t>
            </w:r>
          </w:p>
        </w:tc>
        <w:tc>
          <w:tcPr>
            <w:tcW w:w="740" w:type="dxa"/>
            <w:tcBorders>
              <w:top w:val="nil"/>
              <w:left w:val="nil"/>
              <w:bottom w:val="single" w:sz="4" w:space="0" w:color="auto"/>
              <w:right w:val="nil"/>
            </w:tcBorders>
            <w:shd w:val="clear" w:color="auto" w:fill="auto"/>
            <w:vAlign w:val="center"/>
            <w:hideMark/>
          </w:tcPr>
          <w:p w14:paraId="351E1F7F"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mg/L</w:t>
            </w:r>
            <w:r w:rsidRPr="00232D6F">
              <w:rPr>
                <w:rFonts w:eastAsia="Times New Roman" w:cstheme="minorHAnsi"/>
                <w:sz w:val="20"/>
                <w:szCs w:val="20"/>
                <w:vertAlign w:val="subscript"/>
              </w:rPr>
              <w:t xml:space="preserve"> </w:t>
            </w:r>
            <w:r w:rsidRPr="00232D6F">
              <w:rPr>
                <w:rFonts w:eastAsia="Times New Roman" w:cstheme="minorHAnsi"/>
                <w:sz w:val="20"/>
                <w:szCs w:val="20"/>
              </w:rPr>
              <w:t>CaCO</w:t>
            </w:r>
            <w:r w:rsidRPr="00232D6F">
              <w:rPr>
                <w:rFonts w:eastAsia="Times New Roman" w:cstheme="minorHAnsi"/>
                <w:sz w:val="20"/>
                <w:szCs w:val="20"/>
                <w:vertAlign w:val="subscript"/>
              </w:rPr>
              <w:t>3</w:t>
            </w:r>
          </w:p>
        </w:tc>
        <w:tc>
          <w:tcPr>
            <w:tcW w:w="2128" w:type="dxa"/>
            <w:tcBorders>
              <w:top w:val="nil"/>
              <w:left w:val="nil"/>
              <w:bottom w:val="single" w:sz="4" w:space="0" w:color="auto"/>
              <w:right w:val="nil"/>
            </w:tcBorders>
            <w:shd w:val="clear" w:color="auto" w:fill="auto"/>
            <w:noWrap/>
            <w:vAlign w:val="center"/>
            <w:hideMark/>
          </w:tcPr>
          <w:p w14:paraId="5FAB1E01"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182 ± 51</w:t>
            </w:r>
          </w:p>
        </w:tc>
        <w:tc>
          <w:tcPr>
            <w:tcW w:w="1800" w:type="dxa"/>
            <w:tcBorders>
              <w:top w:val="nil"/>
              <w:left w:val="nil"/>
              <w:bottom w:val="single" w:sz="4" w:space="0" w:color="auto"/>
              <w:right w:val="nil"/>
            </w:tcBorders>
            <w:shd w:val="clear" w:color="auto" w:fill="auto"/>
            <w:noWrap/>
            <w:vAlign w:val="center"/>
            <w:hideMark/>
          </w:tcPr>
          <w:p w14:paraId="3672AF55" w14:textId="77777777"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200 ± 51</w:t>
            </w:r>
          </w:p>
        </w:tc>
        <w:tc>
          <w:tcPr>
            <w:tcW w:w="2340" w:type="dxa"/>
            <w:tcBorders>
              <w:top w:val="nil"/>
              <w:left w:val="nil"/>
              <w:bottom w:val="single" w:sz="4" w:space="0" w:color="auto"/>
              <w:right w:val="nil"/>
            </w:tcBorders>
            <w:vAlign w:val="center"/>
          </w:tcPr>
          <w:p w14:paraId="24178B83" w14:textId="5DC51DAF" w:rsidR="001E3B0E" w:rsidRPr="00232D6F" w:rsidRDefault="001E3B0E" w:rsidP="00232D6F">
            <w:pPr>
              <w:spacing w:after="0" w:line="240" w:lineRule="auto"/>
              <w:jc w:val="center"/>
              <w:rPr>
                <w:rFonts w:eastAsia="Times New Roman" w:cstheme="minorHAnsi"/>
                <w:sz w:val="20"/>
                <w:szCs w:val="20"/>
              </w:rPr>
            </w:pPr>
            <w:r w:rsidRPr="00232D6F">
              <w:rPr>
                <w:rFonts w:eastAsia="Times New Roman" w:cstheme="minorHAnsi"/>
                <w:sz w:val="20"/>
                <w:szCs w:val="20"/>
              </w:rPr>
              <w:t>167 ± 54</w:t>
            </w:r>
          </w:p>
        </w:tc>
      </w:tr>
    </w:tbl>
    <w:p w14:paraId="6CBA7A26" w14:textId="77777777" w:rsidR="009F7B64" w:rsidRDefault="009F7B64" w:rsidP="004F4017">
      <w:pPr>
        <w:pStyle w:val="Heading1"/>
      </w:pPr>
      <w:r>
        <w:t>Conclusions</w:t>
      </w:r>
    </w:p>
    <w:p w14:paraId="48ECF64B" w14:textId="77777777" w:rsidR="004F4017" w:rsidRPr="004F4017" w:rsidRDefault="004F4017" w:rsidP="004F4017"/>
    <w:p w14:paraId="1F44547E" w14:textId="02A7F89A" w:rsidR="00232D6F" w:rsidRDefault="00232D6F" w:rsidP="00232D6F">
      <w:pPr>
        <w:spacing w:line="480" w:lineRule="auto"/>
        <w:jc w:val="both"/>
        <w:rPr>
          <w:rFonts w:cs="Arial"/>
        </w:rPr>
      </w:pPr>
      <w:r w:rsidRPr="0073575A">
        <w:rPr>
          <w:rFonts w:cs="Arial"/>
        </w:rPr>
        <w:t>Mine drainage is an environmental problem that demands an interdisciplinary approach to fully understand the source, matrix, reactions and processes responsible for its fate and transport within a watershed. Passive treatment systems are</w:t>
      </w:r>
      <w:r>
        <w:rPr>
          <w:rFonts w:cs="Arial"/>
        </w:rPr>
        <w:t xml:space="preserve"> integrated environmental biogeochemical reactors designed to optimize conditions favoring the precipitation and retention of metals, acidity neutralization, and alkalinity generation. </w:t>
      </w:r>
      <w:r w:rsidRPr="0073575A">
        <w:rPr>
          <w:rFonts w:cs="Arial"/>
        </w:rPr>
        <w:t xml:space="preserve"> </w:t>
      </w:r>
      <w:r>
        <w:rPr>
          <w:rFonts w:cs="Arial"/>
        </w:rPr>
        <w:t xml:space="preserve">Biotic and abiotic processes </w:t>
      </w:r>
      <w:r w:rsidRPr="0073575A">
        <w:rPr>
          <w:rFonts w:cs="Arial"/>
        </w:rPr>
        <w:t xml:space="preserve">such as oxidation, hydrolysis, precipitation, sedimentation, phytoremediation, </w:t>
      </w:r>
      <w:r w:rsidRPr="0073575A">
        <w:rPr>
          <w:rFonts w:cs="Arial"/>
        </w:rPr>
        <w:lastRenderedPageBreak/>
        <w:t xml:space="preserve">limestone dissolution, and </w:t>
      </w:r>
      <w:r>
        <w:rPr>
          <w:rFonts w:cs="Arial"/>
        </w:rPr>
        <w:t xml:space="preserve">bacterial sulfate </w:t>
      </w:r>
      <w:r w:rsidRPr="0073575A">
        <w:rPr>
          <w:rFonts w:cs="Arial"/>
        </w:rPr>
        <w:t xml:space="preserve">reduction </w:t>
      </w:r>
      <w:r>
        <w:rPr>
          <w:rFonts w:cs="Arial"/>
        </w:rPr>
        <w:t>each contribute to overall system performance and are influenced by design-phase choices.</w:t>
      </w:r>
      <w:r w:rsidRPr="0073575A">
        <w:rPr>
          <w:rFonts w:cs="Arial"/>
        </w:rPr>
        <w:t xml:space="preserve"> The MRPTS </w:t>
      </w:r>
      <w:r>
        <w:rPr>
          <w:rFonts w:cs="Arial"/>
        </w:rPr>
        <w:t xml:space="preserve">is an example of full-scale design and implementation of passive treatment technology based on the current monitoring, sizing, and engineering practices. The MRPTS has met its performance objectives of metals removal and alkalinity generation over the first seven years of operation resulting in quantitative improvements in surface water quality.  Environmental indicators including fish species diversity and abundance further illustrate the qualitative aspects of long-term impact attenuation through maintained system operation.  The MRPTS demonstrates the successful application of passive treatment to AMD impacted waters previously unaddressed under CERCLA Operable Unit 1 within the Tar Creek Superfund Site. Investigation and documentation of system design, construction, operation, and maintenance influences on performance will serve as a guide for the success of future systems. </w:t>
      </w:r>
    </w:p>
    <w:p w14:paraId="00F8EE69" w14:textId="37E28BAF" w:rsidR="00A84408" w:rsidRDefault="00A84408" w:rsidP="00232D6F">
      <w:pPr>
        <w:spacing w:line="480" w:lineRule="auto"/>
        <w:jc w:val="both"/>
        <w:rPr>
          <w:rFonts w:cs="Arial"/>
        </w:rPr>
      </w:pPr>
      <w:r>
        <w:rPr>
          <w:rFonts w:cs="Arial"/>
        </w:rPr>
        <w:t xml:space="preserve">Influent / effluent monitoring of passive treatment systems gives an overall assessment of function, yet lacks the resolution needed for system optimization based on individual treatment processes. Comparing iron mass loadings into a cell with the mass export of iron out the cell to calculate removal efficiencies provides insight into the function of individual treatment cells. Yet, one must look beyond the “black box” approach to systems monitoring </w:t>
      </w:r>
      <w:r w:rsidR="00601E0F">
        <w:rPr>
          <w:rFonts w:cs="Arial"/>
        </w:rPr>
        <w:t>to evaluate how spatial and temporal aspects of removal within a treatment cell relate to removal efficiency and ultimately design. In the next few chapters, progressive iron removal, accumulation and storm induced transport will be discussed</w:t>
      </w:r>
      <w:r>
        <w:rPr>
          <w:rFonts w:cs="Arial"/>
        </w:rPr>
        <w:t xml:space="preserve"> </w:t>
      </w:r>
    </w:p>
    <w:p w14:paraId="17F55288" w14:textId="50ECC83D" w:rsidR="00601E0F" w:rsidRDefault="00601E0F" w:rsidP="00601E0F">
      <w:pPr>
        <w:pStyle w:val="Heading1"/>
      </w:pPr>
      <w:r>
        <w:t>Literature Cited</w:t>
      </w:r>
    </w:p>
    <w:p w14:paraId="26CAB896" w14:textId="77777777" w:rsidR="001B48F7" w:rsidRPr="001B48F7" w:rsidRDefault="001B48F7" w:rsidP="001B48F7"/>
    <w:p w14:paraId="396BF2AA" w14:textId="5F394EF4" w:rsidR="00601E0F" w:rsidRPr="00C37F73" w:rsidRDefault="001B48F7" w:rsidP="00601E0F">
      <w:proofErr w:type="spellStart"/>
      <w:r w:rsidRPr="00C37F73">
        <w:t>Bergey</w:t>
      </w:r>
      <w:proofErr w:type="spellEnd"/>
      <w:r w:rsidRPr="00C37F73">
        <w:t xml:space="preserve"> E, and J. White. 2010. Mine Effluent Effects on the Macroinvertebrates and Habitat in a Small Stream in the Tar Creek Watershed (Ottawa County, Oklahoma). Proc. Okla. Acad. Sci. 90: pp 11-26</w:t>
      </w:r>
    </w:p>
    <w:p w14:paraId="7D4933A1"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lastRenderedPageBreak/>
        <w:fldChar w:fldCharType="begin" w:fldLock="1"/>
      </w:r>
      <w:r w:rsidRPr="00C37F73">
        <w:instrText xml:space="preserve">ADDIN Mendeley Bibliography CSL_BIBLIOGRAPHY </w:instrText>
      </w:r>
      <w:r w:rsidRPr="00C37F73">
        <w:fldChar w:fldCharType="separate"/>
      </w:r>
      <w:r w:rsidRPr="00C37F73">
        <w:rPr>
          <w:rFonts w:cs="Calibri"/>
          <w:noProof/>
        </w:rPr>
        <w:t xml:space="preserve">Blowes DW, Ptacek CJ, Jambor JL, Weisener CG, Paktunc D, Gould WD, Johnson DB. 2013. The Geochemistry of Acid Mine Drainage. </w:t>
      </w:r>
      <w:r w:rsidRPr="00C37F73">
        <w:rPr>
          <w:rFonts w:cs="Calibri"/>
          <w:i/>
          <w:noProof/>
        </w:rPr>
        <w:t>Treatise Geochemistry</w:t>
      </w:r>
      <w:r w:rsidRPr="00C37F73">
        <w:rPr>
          <w:rFonts w:cs="Calibri"/>
          <w:noProof/>
        </w:rPr>
        <w:t>, Second Ed. 11:131–190.</w:t>
      </w:r>
    </w:p>
    <w:p w14:paraId="7C4E9973"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Champagne P, Van Geel P, Parker W. 2005. A bench-scale assessment of a combined passive system to reduce concentrations of metals and sulphate in acid mine drainage. Mine Water Environ. 24:124–133.</w:t>
      </w:r>
    </w:p>
    <w:p w14:paraId="6E61DB9E" w14:textId="3F6E0D87" w:rsidR="00601E0F" w:rsidRPr="00C37F73" w:rsidRDefault="00601E0F" w:rsidP="00601E0F">
      <w:pPr>
        <w:widowControl w:val="0"/>
        <w:autoSpaceDE w:val="0"/>
        <w:autoSpaceDN w:val="0"/>
        <w:adjustRightInd w:val="0"/>
        <w:spacing w:line="240" w:lineRule="auto"/>
        <w:jc w:val="both"/>
        <w:rPr>
          <w:rFonts w:cs="Calibri"/>
          <w:noProof/>
        </w:rPr>
      </w:pPr>
      <w:r w:rsidRPr="00C37F73">
        <w:t>Christenson, S.C., Parkhurst, D.L., and Fairchild, R.W., 1994, Geohydrology and water quality of the Roubidoux aquifer, northeastern Oklahoma: Oklahoma Geological Survey Circular 96, 70 p</w:t>
      </w:r>
    </w:p>
    <w:p w14:paraId="3B332C91" w14:textId="7FF7A09A"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Cravotta CA. 2008. Dissolved metals and associated constituents in abandoned coal-mine discharges, Pennsylvania, USA. Part 2: Geochemical controls on constituent concentrations. Appl. Geochemistry 23:203–226.</w:t>
      </w:r>
    </w:p>
    <w:p w14:paraId="06067219" w14:textId="01C292D3" w:rsidR="001B48F7"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 xml:space="preserve">Demchak J, Morrow T, Skousen J. 2001. Treatment of acid mine drainage by four vertical flow wetlands in Pennsylvania. Geochemistry </w:t>
      </w:r>
      <w:r w:rsidR="001B48F7" w:rsidRPr="00C37F73">
        <w:rPr>
          <w:rFonts w:cs="Calibri"/>
          <w:noProof/>
        </w:rPr>
        <w:t>Explor. Environ. Anal. 1:71–80.</w:t>
      </w:r>
    </w:p>
    <w:p w14:paraId="4D1C4671" w14:textId="7FD3303A" w:rsidR="001B48F7" w:rsidRPr="00C37F73" w:rsidRDefault="00601E0F" w:rsidP="001B48F7">
      <w:pPr>
        <w:widowControl w:val="0"/>
        <w:autoSpaceDE w:val="0"/>
        <w:autoSpaceDN w:val="0"/>
        <w:adjustRightInd w:val="0"/>
        <w:spacing w:line="240" w:lineRule="auto"/>
        <w:jc w:val="both"/>
        <w:rPr>
          <w:rFonts w:cs="Calibri"/>
          <w:noProof/>
        </w:rPr>
      </w:pPr>
      <w:r w:rsidRPr="00C37F73">
        <w:rPr>
          <w:rFonts w:cs="Calibri"/>
          <w:noProof/>
        </w:rPr>
        <w:t>Flanagan NE, Mitsch WJ, Beach K. 1994. Predicting metal retention in a constructed mine drainage wetland. Ecol. Eng. 3:135–159.</w:t>
      </w:r>
    </w:p>
    <w:p w14:paraId="174367C3" w14:textId="232E9524" w:rsidR="001B48F7" w:rsidRPr="00C37F73" w:rsidRDefault="001B48F7" w:rsidP="001B48F7">
      <w:pPr>
        <w:pStyle w:val="Heading1"/>
        <w:shd w:val="clear" w:color="auto" w:fill="FCFCFC"/>
        <w:spacing w:before="187" w:after="187"/>
        <w:rPr>
          <w:rFonts w:asciiTheme="minorHAnsi" w:hAnsiTheme="minorHAnsi" w:cstheme="minorHAnsi"/>
          <w:b w:val="0"/>
          <w:sz w:val="22"/>
          <w:szCs w:val="22"/>
          <w:lang w:val="en"/>
        </w:rPr>
      </w:pPr>
      <w:r w:rsidRPr="00C37F73">
        <w:rPr>
          <w:rFonts w:asciiTheme="minorHAnsi" w:hAnsiTheme="minorHAnsi" w:cstheme="minorHAnsi"/>
          <w:b w:val="0"/>
          <w:spacing w:val="4"/>
          <w:sz w:val="22"/>
          <w:szCs w:val="22"/>
          <w:shd w:val="clear" w:color="auto" w:fill="FCFCFC"/>
        </w:rPr>
        <w:t xml:space="preserve">Franssen, C.M.2009. </w:t>
      </w:r>
      <w:r w:rsidRPr="00C37F73">
        <w:rPr>
          <w:rFonts w:asciiTheme="minorHAnsi" w:hAnsiTheme="minorHAnsi" w:cstheme="minorHAnsi"/>
          <w:b w:val="0"/>
          <w:bCs/>
          <w:sz w:val="22"/>
          <w:szCs w:val="22"/>
          <w:lang w:val="en"/>
        </w:rPr>
        <w:t>The Effects of Heavy Metal Mine Drainage on Population Size Structure, Reproduction, and Condition of Western Mosquitofish,</w:t>
      </w:r>
      <w:r w:rsidRPr="00C37F73">
        <w:rPr>
          <w:rStyle w:val="apple-converted-space"/>
          <w:rFonts w:asciiTheme="minorHAnsi" w:hAnsiTheme="minorHAnsi" w:cstheme="minorHAnsi"/>
          <w:b w:val="0"/>
          <w:bCs/>
          <w:sz w:val="22"/>
          <w:szCs w:val="22"/>
          <w:lang w:val="en"/>
        </w:rPr>
        <w:t> </w:t>
      </w:r>
      <w:r w:rsidRPr="00C37F73">
        <w:rPr>
          <w:rStyle w:val="Emphasis"/>
          <w:rFonts w:asciiTheme="minorHAnsi" w:hAnsiTheme="minorHAnsi" w:cstheme="minorHAnsi"/>
          <w:b w:val="0"/>
          <w:bCs/>
          <w:sz w:val="22"/>
          <w:szCs w:val="22"/>
          <w:lang w:val="en"/>
        </w:rPr>
        <w:t xml:space="preserve">Gambusia affinis. </w:t>
      </w:r>
      <w:r w:rsidRPr="00C37F73">
        <w:rPr>
          <w:rFonts w:asciiTheme="minorHAnsi" w:hAnsiTheme="minorHAnsi" w:cstheme="minorHAnsi"/>
          <w:b w:val="0"/>
          <w:spacing w:val="4"/>
          <w:sz w:val="22"/>
          <w:szCs w:val="22"/>
          <w:shd w:val="clear" w:color="auto" w:fill="FCFCFC"/>
        </w:rPr>
        <w:t>Arch Environ Contam Toxicol 57: 145.</w:t>
      </w:r>
      <w:r w:rsidRPr="00C37F73">
        <w:rPr>
          <w:rStyle w:val="apple-converted-space"/>
          <w:rFonts w:asciiTheme="minorHAnsi" w:hAnsiTheme="minorHAnsi" w:cstheme="minorHAnsi"/>
          <w:b w:val="0"/>
          <w:spacing w:val="4"/>
          <w:sz w:val="22"/>
          <w:szCs w:val="22"/>
          <w:shd w:val="clear" w:color="auto" w:fill="FCFCFC"/>
        </w:rPr>
        <w:t> </w:t>
      </w:r>
    </w:p>
    <w:p w14:paraId="5BA305A9"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Gazea B, Adam K, Kontopoulos A. 1996. A review of passive systems for the treatment of acid mine drainage. Miner. Eng. 9:23–42.</w:t>
      </w:r>
    </w:p>
    <w:p w14:paraId="2E20B523"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 xml:space="preserve">Gleisner M, Herbert RB, Frogner Kockum PC. 2006. Pyrite oxidation by </w:t>
      </w:r>
      <w:r w:rsidRPr="00C37F73">
        <w:rPr>
          <w:rFonts w:cs="Calibri"/>
          <w:i/>
          <w:noProof/>
        </w:rPr>
        <w:t>Acidithiobacillus ferrooxidans</w:t>
      </w:r>
      <w:r w:rsidRPr="00C37F73">
        <w:rPr>
          <w:rFonts w:cs="Calibri"/>
          <w:noProof/>
        </w:rPr>
        <w:t xml:space="preserve"> at various concentrations of dissolved oxygen. Chem. Geol. 225:16–29.</w:t>
      </w:r>
    </w:p>
    <w:p w14:paraId="37D1DEA6"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Hall GH, Puhlmann T. 2005. Spatial distribution of iron oxidation in the aerobic cells of the Wheal Jane Pilot Passive Treatment Plant. Sci. Total Environ. 338:73–80.</w:t>
      </w:r>
    </w:p>
    <w:p w14:paraId="09576578"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Hedin RS. 2008. Iron removal by a passive system treating alkaline coal mine drainage. Mine Water Environ. 27:200–209.</w:t>
      </w:r>
    </w:p>
    <w:p w14:paraId="78DC53EE" w14:textId="665B5CF8"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Hedin RS, Nairn RW. 1992. Designing and Sizing Passive Mine Drainage Treatment Systems.</w:t>
      </w:r>
      <w:r w:rsidR="00A85DBF" w:rsidRPr="00C37F73">
        <w:rPr>
          <w:rFonts w:cs="Calibri"/>
          <w:noProof/>
        </w:rPr>
        <w:t xml:space="preserve"> </w:t>
      </w:r>
      <w:r w:rsidR="00A85DBF" w:rsidRPr="00C37F73">
        <w:t>U.S. Bureau of Mines, Pittsburgh Research Center</w:t>
      </w:r>
      <w:r w:rsidRPr="00C37F73">
        <w:rPr>
          <w:rFonts w:cs="Calibri"/>
          <w:noProof/>
        </w:rPr>
        <w:t xml:space="preserve"> </w:t>
      </w:r>
    </w:p>
    <w:p w14:paraId="2CA842B9"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Jarvis AP, Younger PL. 2001. Passive treatment of ferruginous mine waters using high surface area media. Water Res. 35:3643–3648.</w:t>
      </w:r>
    </w:p>
    <w:p w14:paraId="4E146B1A"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Jennings SR, Blicker S, Neuman P, Dennis R. 2008. Acid mine drainage and effects on fish health and ecology: a review. , 2008. Reclam. Res. Gr. 1:1–26.</w:t>
      </w:r>
    </w:p>
    <w:p w14:paraId="005DB19F"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Johnson DB, Hallberg KB. 2005. Acid mine drainage remediation options: A review. Sci. Total Environ. 338:3–14.</w:t>
      </w:r>
    </w:p>
    <w:p w14:paraId="2573C6D4"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Kirby CS, Cravotta CA. 2005. Net alkalinity and net acidity 2: Practical considerations. Appl. Geochemistry 20:1941–1964.</w:t>
      </w:r>
    </w:p>
    <w:p w14:paraId="659F70FB"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 xml:space="preserve">Labar JA, Nairn RW, Strevett KA, Strosnider WH, Morris D, Neely CA, Garrido AE, Kauk K. 2010. Stream water quality improvements after installation of a passive treatment system. Jt. Min. </w:t>
      </w:r>
      <w:r w:rsidRPr="00C37F73">
        <w:rPr>
          <w:rFonts w:cs="Calibri"/>
          <w:noProof/>
        </w:rPr>
        <w:lastRenderedPageBreak/>
        <w:t>Reclam. Conf. 2010 - 27th Meet. ASMR, 12th Pennsylvania Abandon. Mine Reclam. Conf. 4th Appalach. Reg. Refor. Initiat. Mined L. Refor. Conf. 1:525–535.</w:t>
      </w:r>
    </w:p>
    <w:p w14:paraId="30BE3DBA"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Lenoble V, Bouras O, Deluchat V, Serpaud B, Bollinger J-C. 2002. Arsenic adsorption onto pillared clays and iron oxides. J. Colloid Interface Sci. 255:52–58.</w:t>
      </w:r>
    </w:p>
    <w:p w14:paraId="798499AE" w14:textId="77777777" w:rsidR="00A85DBF" w:rsidRPr="00C37F73" w:rsidRDefault="00A85DBF" w:rsidP="00601E0F">
      <w:pPr>
        <w:pStyle w:val="Default"/>
        <w:jc w:val="both"/>
        <w:rPr>
          <w:rFonts w:asciiTheme="minorHAnsi" w:hAnsiTheme="minorHAnsi"/>
          <w:sz w:val="22"/>
          <w:szCs w:val="22"/>
        </w:rPr>
      </w:pPr>
      <w:r w:rsidRPr="00C37F73">
        <w:rPr>
          <w:rFonts w:asciiTheme="minorHAnsi" w:hAnsiTheme="minorHAnsi"/>
          <w:sz w:val="22"/>
          <w:szCs w:val="22"/>
        </w:rPr>
        <w:t xml:space="preserve">Mitsch, W., Wise, K.M. 1998. Water quality, fate of metals, and predictive model validation of a constructed wetland treating acid mine drainage. Water Res. 32, 1888–1900. </w:t>
      </w:r>
    </w:p>
    <w:p w14:paraId="5C6E0790" w14:textId="77777777" w:rsidR="00A85DBF" w:rsidRPr="00C37F73" w:rsidRDefault="00A85DBF" w:rsidP="00601E0F">
      <w:pPr>
        <w:pStyle w:val="Default"/>
        <w:jc w:val="both"/>
        <w:rPr>
          <w:rFonts w:asciiTheme="minorHAnsi" w:hAnsiTheme="minorHAnsi"/>
          <w:sz w:val="22"/>
          <w:szCs w:val="22"/>
        </w:rPr>
      </w:pPr>
    </w:p>
    <w:p w14:paraId="3EC1F375" w14:textId="2BF69F35" w:rsidR="00601E0F" w:rsidRPr="00C37F73" w:rsidRDefault="00601E0F" w:rsidP="00601E0F">
      <w:pPr>
        <w:pStyle w:val="Default"/>
        <w:jc w:val="both"/>
        <w:rPr>
          <w:rFonts w:asciiTheme="minorHAnsi" w:hAnsiTheme="minorHAnsi" w:cs="Arial"/>
          <w:sz w:val="22"/>
          <w:szCs w:val="22"/>
        </w:rPr>
      </w:pPr>
      <w:r w:rsidRPr="00C37F73">
        <w:rPr>
          <w:rFonts w:asciiTheme="minorHAnsi" w:hAnsiTheme="minorHAnsi" w:cs="Arial"/>
          <w:sz w:val="22"/>
          <w:szCs w:val="22"/>
        </w:rPr>
        <w:t xml:space="preserve">Nairn, R.W, T. Beisel, R. Thomas, J. LaBar, K. Strevett, D. Fuller, W. Strosnider, W. Andrews, J. Bays, and R. Knox. (2009). Challenges in Design and Construction of a Large Multi-Cell Passive Treatment System for Ferruginous Lead-Zinc Mine Waters. </w:t>
      </w:r>
      <w:r w:rsidR="00A85DBF" w:rsidRPr="00C37F73">
        <w:rPr>
          <w:rFonts w:asciiTheme="minorHAnsi" w:hAnsiTheme="minorHAnsi"/>
          <w:sz w:val="22"/>
          <w:szCs w:val="22"/>
        </w:rPr>
        <w:t>Proceedings America Society of Mining and Reclamation, pp 871-892</w:t>
      </w:r>
    </w:p>
    <w:p w14:paraId="31A59C28" w14:textId="77777777" w:rsidR="00601E0F" w:rsidRPr="00C37F73" w:rsidRDefault="00601E0F" w:rsidP="00601E0F">
      <w:pPr>
        <w:pStyle w:val="Default"/>
        <w:jc w:val="both"/>
        <w:rPr>
          <w:rFonts w:asciiTheme="minorHAnsi" w:hAnsiTheme="minorHAnsi" w:cs="Arial"/>
          <w:sz w:val="22"/>
          <w:szCs w:val="22"/>
        </w:rPr>
      </w:pPr>
    </w:p>
    <w:p w14:paraId="60B14CBB" w14:textId="033ED71C" w:rsidR="00D3319E" w:rsidRPr="00C37F73" w:rsidRDefault="00D3319E" w:rsidP="00601E0F">
      <w:pPr>
        <w:spacing w:line="240" w:lineRule="auto"/>
        <w:jc w:val="both"/>
        <w:rPr>
          <w:shd w:val="clear" w:color="auto" w:fill="FFFFFF"/>
        </w:rPr>
      </w:pPr>
      <w:r w:rsidRPr="00C37F73">
        <w:rPr>
          <w:shd w:val="clear" w:color="auto" w:fill="FFFFFF"/>
        </w:rPr>
        <w:t xml:space="preserve">R. W. Nairn, J. A. LaBar, K. A. Strevett, W. H. Strosnider, D. Morris, A. E. Garrido, C. A. Neely, K. Kauk. 2010. </w:t>
      </w:r>
      <w:hyperlink r:id="rId14" w:tgtFrame="_blank" w:history="1">
        <w:r w:rsidRPr="00C37F73">
          <w:rPr>
            <w:rStyle w:val="Hyperlink"/>
            <w:color w:val="auto"/>
            <w:u w:val="none"/>
            <w:bdr w:val="none" w:sz="0" w:space="0" w:color="auto" w:frame="1"/>
            <w:shd w:val="clear" w:color="auto" w:fill="FFFFFF"/>
          </w:rPr>
          <w:t>Initial Evaluation of a Large Multi-Cell Passive Treatment System for Net-Alkaline Ferruginous Lead-Zinc Mine Waters</w:t>
        </w:r>
      </w:hyperlink>
      <w:r w:rsidRPr="00C37F73">
        <w:rPr>
          <w:rStyle w:val="apple-converted-space"/>
          <w:shd w:val="clear" w:color="auto" w:fill="FFFFFF"/>
        </w:rPr>
        <w:t xml:space="preserve"> . </w:t>
      </w:r>
      <w:r w:rsidRPr="00C37F73">
        <w:t>Proceedings America Society of Mining and Reclamation, pp 635-649</w:t>
      </w:r>
    </w:p>
    <w:p w14:paraId="29C726A2"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 xml:space="preserve">Nemati M, Harrison STL, Hansford GS, Webb C. 1998. Biological oxidation of ferrous sulphate by </w:t>
      </w:r>
      <w:r w:rsidRPr="00C37F73">
        <w:rPr>
          <w:rFonts w:cs="Calibri"/>
          <w:i/>
          <w:noProof/>
        </w:rPr>
        <w:t>Thiobacillus ferrooxidans</w:t>
      </w:r>
      <w:r w:rsidRPr="00C37F73">
        <w:rPr>
          <w:rFonts w:cs="Calibri"/>
          <w:noProof/>
        </w:rPr>
        <w:t>: A review on the kinetic aspects. Biochem. Eng. J. 1:171–190.</w:t>
      </w:r>
    </w:p>
    <w:p w14:paraId="27985BF1" w14:textId="71F957B6" w:rsidR="00601E0F" w:rsidRPr="00C37F73" w:rsidRDefault="00D3319E" w:rsidP="00601E0F">
      <w:pPr>
        <w:widowControl w:val="0"/>
        <w:autoSpaceDE w:val="0"/>
        <w:autoSpaceDN w:val="0"/>
        <w:adjustRightInd w:val="0"/>
        <w:spacing w:line="240" w:lineRule="auto"/>
        <w:jc w:val="both"/>
        <w:rPr>
          <w:rFonts w:cs="Calibri"/>
          <w:noProof/>
        </w:rPr>
      </w:pPr>
      <w:r w:rsidRPr="00C37F73">
        <w:rPr>
          <w:rFonts w:cs="Calibri"/>
          <w:noProof/>
        </w:rPr>
        <w:t>Datin, D</w:t>
      </w:r>
      <w:r w:rsidR="00601E0F" w:rsidRPr="00C37F73">
        <w:rPr>
          <w:rFonts w:cs="Calibri"/>
          <w:noProof/>
        </w:rPr>
        <w:t>.</w:t>
      </w:r>
      <w:r w:rsidRPr="00C37F73">
        <w:rPr>
          <w:rFonts w:cs="Calibri"/>
          <w:noProof/>
        </w:rPr>
        <w:t>2015.</w:t>
      </w:r>
      <w:r w:rsidR="00601E0F" w:rsidRPr="00C37F73">
        <w:rPr>
          <w:rFonts w:cs="Calibri"/>
          <w:noProof/>
        </w:rPr>
        <w:t xml:space="preserve"> </w:t>
      </w:r>
      <w:r w:rsidRPr="00C37F73">
        <w:rPr>
          <w:rFonts w:cs="Calibri"/>
          <w:noProof/>
        </w:rPr>
        <w:t>Oklahoma Department of Environmental Quality: Tar Creek Superfund Site. &lt;</w:t>
      </w:r>
      <w:r w:rsidR="00601E0F" w:rsidRPr="00C37F73">
        <w:rPr>
          <w:rFonts w:cs="Calibri"/>
          <w:noProof/>
        </w:rPr>
        <w:t>http://www.deq.</w:t>
      </w:r>
      <w:r w:rsidRPr="00C37F73">
        <w:rPr>
          <w:rFonts w:cs="Calibri"/>
          <w:noProof/>
        </w:rPr>
        <w:t xml:space="preserve">state.ok.us/lpdnew/SF/Superfund </w:t>
      </w:r>
      <w:r w:rsidR="00601E0F" w:rsidRPr="00C37F73">
        <w:rPr>
          <w:rFonts w:cs="Calibri"/>
          <w:noProof/>
        </w:rPr>
        <w:t>Summaries/TarCreek.html</w:t>
      </w:r>
      <w:r w:rsidRPr="00C37F73">
        <w:rPr>
          <w:rFonts w:cs="Calibri"/>
          <w:noProof/>
        </w:rPr>
        <w:t>&gt; Accessed 2016 Sep 11.</w:t>
      </w:r>
      <w:r w:rsidR="00601E0F" w:rsidRPr="00C37F73">
        <w:rPr>
          <w:rFonts w:cs="Calibri"/>
          <w:noProof/>
        </w:rPr>
        <w:t xml:space="preserve"> </w:t>
      </w:r>
    </w:p>
    <w:p w14:paraId="35025729"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Sapsford DJ, Williams KP. 2009. Sizing criteria for a low footprint passive mine water treatment system. Water Res. 43:423–432.</w:t>
      </w:r>
    </w:p>
    <w:p w14:paraId="35D6885A" w14:textId="300899F1"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Scheibach RB, Williams RE, Genes BR, Jarman R. 1983. Controlling acid mine drainage from the Picher Mining District, Oklahoma. Ground Water 21:225-</w:t>
      </w:r>
      <w:r w:rsidR="00731095" w:rsidRPr="00C37F73">
        <w:rPr>
          <w:rFonts w:cs="Calibri"/>
          <w:noProof/>
        </w:rPr>
        <w:t>250</w:t>
      </w:r>
    </w:p>
    <w:p w14:paraId="0239B0FA" w14:textId="77091D19"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Sheppard MI. 1993. Heavy Metals in the Environment.Journal of Environment Quality. Vol. 22. p. 213.</w:t>
      </w:r>
    </w:p>
    <w:p w14:paraId="33AE4B48" w14:textId="6F2BD8DD" w:rsidR="00731095" w:rsidRPr="00C37F73" w:rsidRDefault="00731095" w:rsidP="00601E0F">
      <w:pPr>
        <w:widowControl w:val="0"/>
        <w:autoSpaceDE w:val="0"/>
        <w:autoSpaceDN w:val="0"/>
        <w:adjustRightInd w:val="0"/>
        <w:spacing w:line="240" w:lineRule="auto"/>
        <w:jc w:val="both"/>
        <w:rPr>
          <w:rFonts w:cs="Calibri"/>
          <w:noProof/>
        </w:rPr>
      </w:pPr>
      <w:r w:rsidRPr="00C37F73">
        <w:rPr>
          <w:shd w:val="clear" w:color="auto" w:fill="FFFFFF"/>
        </w:rPr>
        <w:t>Shepherd, N. Matthews, W. Nairn, RW. Barkstedt, J. Franssen, N.2014. Fishes of a Contaminated Stream After Operation of a Passive Treatment System</w:t>
      </w:r>
      <w:r w:rsidRPr="00C37F73">
        <w:rPr>
          <w:rStyle w:val="apple-converted-space"/>
          <w:shd w:val="clear" w:color="auto" w:fill="FFFFFF"/>
        </w:rPr>
        <w:t xml:space="preserve">. </w:t>
      </w:r>
      <w:r w:rsidRPr="00C37F73">
        <w:t>Proceedings America Society of Mining and Reclamation</w:t>
      </w:r>
    </w:p>
    <w:p w14:paraId="7A4716D9"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Skousen J. 1997. Overview of passive systems for treating acid mine drainage. Green Lands 27:34–43.</w:t>
      </w:r>
    </w:p>
    <w:p w14:paraId="14446D3C"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Skousen J, Ziemkiewicz P. 2005. Performance of 116 passive treatment systems for acid mine drainage. Proceedings, Am. Soc. Min. Reclamation, Breckenridge, CO:1100–1133.</w:t>
      </w:r>
    </w:p>
    <w:p w14:paraId="201F5EA8"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Stark LR, Williams FM. 1995. Assessing the performance indices and design parameters of treatment wetlands for H</w:t>
      </w:r>
      <w:r w:rsidRPr="00C37F73">
        <w:rPr>
          <w:rFonts w:cs="Calibri"/>
          <w:noProof/>
          <w:vertAlign w:val="superscript"/>
        </w:rPr>
        <w:t>+</w:t>
      </w:r>
      <w:r w:rsidRPr="00C37F73">
        <w:rPr>
          <w:rFonts w:cs="Calibri"/>
          <w:noProof/>
        </w:rPr>
        <w:t>, Fe, and Mn retention. Ecol. Eng. 5:433–444.</w:t>
      </w:r>
    </w:p>
    <w:p w14:paraId="6E7F0DEC" w14:textId="219A93AD"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Swedlund PJ, Webster JG, Miskelly GM. 2009. Goethite adsorption of Cu(II), Pb(II), Cd(II), and Zn(II) in the presence of sulfate: Properties of the ternary complex. Geochim. Cosmochim. Acta 73:1548–1562.</w:t>
      </w:r>
    </w:p>
    <w:p w14:paraId="422027EB" w14:textId="77777777" w:rsidR="00731095" w:rsidRPr="00C37F73" w:rsidRDefault="00731095" w:rsidP="00601E0F">
      <w:pPr>
        <w:widowControl w:val="0"/>
        <w:autoSpaceDE w:val="0"/>
        <w:autoSpaceDN w:val="0"/>
        <w:adjustRightInd w:val="0"/>
        <w:spacing w:line="240" w:lineRule="auto"/>
        <w:jc w:val="both"/>
        <w:rPr>
          <w:rFonts w:cs="Calibri"/>
          <w:noProof/>
        </w:rPr>
      </w:pPr>
    </w:p>
    <w:p w14:paraId="1B460E19"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lastRenderedPageBreak/>
        <w:t>Tarutis WJ, Stark LR, Williams FM. 1999. Sizing and performance estimation of coal mine drainage wetlands. Ecol. Eng. 12:353–372.</w:t>
      </w:r>
    </w:p>
    <w:p w14:paraId="7769D015" w14:textId="20B0E1A8"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 xml:space="preserve">US Environmental Protection Agency. 2016a. Superfund: CERCLA Overview. [accessed 2016 Sep 11]. </w:t>
      </w:r>
      <w:r w:rsidR="00731095" w:rsidRPr="00C37F73">
        <w:rPr>
          <w:rFonts w:cs="Calibri"/>
          <w:noProof/>
        </w:rPr>
        <w:t>&lt;</w:t>
      </w:r>
      <w:r w:rsidRPr="00C37F73">
        <w:rPr>
          <w:rFonts w:cs="Calibri"/>
          <w:noProof/>
        </w:rPr>
        <w:t>https://www.epa.gov/superfund/superfund-cercla-overview</w:t>
      </w:r>
      <w:r w:rsidR="00731095" w:rsidRPr="00C37F73">
        <w:rPr>
          <w:rFonts w:cs="Calibri"/>
          <w:noProof/>
        </w:rPr>
        <w:t>&gt;</w:t>
      </w:r>
    </w:p>
    <w:p w14:paraId="3160A041" w14:textId="5077141A"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US Environmental Protection Agency. 2016b. USEPA: Site Information for Tar Creek (Ot</w:t>
      </w:r>
      <w:r w:rsidR="00731095" w:rsidRPr="00C37F73">
        <w:rPr>
          <w:rFonts w:cs="Calibri"/>
          <w:noProof/>
        </w:rPr>
        <w:t>tawa Co). [accessed 2016 Sep 11. &lt;</w:t>
      </w:r>
      <w:r w:rsidRPr="00C37F73">
        <w:rPr>
          <w:rFonts w:cs="Calibri"/>
          <w:noProof/>
        </w:rPr>
        <w:t>https://cumulis.epa.gov/supercpad/</w:t>
      </w:r>
      <w:r w:rsidR="00731095" w:rsidRPr="00C37F73">
        <w:rPr>
          <w:rFonts w:cs="Calibri"/>
          <w:noProof/>
        </w:rPr>
        <w:t>&gt;</w:t>
      </w:r>
    </w:p>
    <w:p w14:paraId="62F0A35F" w14:textId="07DFE82D"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Watzlaf GR, Schroeder KT, Kleinmann RLP, Kairies CL, Nairn RW, Street WB. 2004. The Passive Treatment of Coal Mine Drainage. :1–72.</w:t>
      </w:r>
      <w:r w:rsidR="00731095" w:rsidRPr="00C37F73">
        <w:t xml:space="preserve"> </w:t>
      </w:r>
      <w:r w:rsidR="00731095" w:rsidRPr="00C37F73">
        <w:rPr>
          <w:rFonts w:cs="Calibri"/>
          <w:noProof/>
        </w:rPr>
        <w:t>DOE/NETL-2004/1202</w:t>
      </w:r>
    </w:p>
    <w:p w14:paraId="44B85179" w14:textId="0C0CAF16" w:rsidR="00601E0F" w:rsidRPr="00C37F73" w:rsidRDefault="00C37F73" w:rsidP="00601E0F">
      <w:pPr>
        <w:widowControl w:val="0"/>
        <w:autoSpaceDE w:val="0"/>
        <w:autoSpaceDN w:val="0"/>
        <w:adjustRightInd w:val="0"/>
        <w:spacing w:line="240" w:lineRule="auto"/>
        <w:jc w:val="both"/>
        <w:rPr>
          <w:rFonts w:cs="Calibri"/>
          <w:noProof/>
        </w:rPr>
      </w:pPr>
      <w:r w:rsidRPr="00C37F73">
        <w:rPr>
          <w:rFonts w:cs="Calibri"/>
          <w:noProof/>
        </w:rPr>
        <w:t>Younger PL.</w:t>
      </w:r>
      <w:r w:rsidR="00601E0F" w:rsidRPr="00C37F73">
        <w:rPr>
          <w:rFonts w:cs="Calibri"/>
          <w:noProof/>
        </w:rPr>
        <w:t>2002. Mine Water: Hydrology, Pollution, Remediation. Vol 5. Alloway, Brian; Trevors J, editor. Springer-Science+Business Media, BV.</w:t>
      </w:r>
      <w:r w:rsidRPr="00C37F73">
        <w:rPr>
          <w:rFonts w:cs="Calibri"/>
          <w:noProof/>
        </w:rPr>
        <w:t xml:space="preserve">pp </w:t>
      </w:r>
      <w:r w:rsidR="00731095" w:rsidRPr="00C37F73">
        <w:rPr>
          <w:rFonts w:cs="Calibri"/>
          <w:noProof/>
        </w:rPr>
        <w:t>27-49</w:t>
      </w:r>
    </w:p>
    <w:p w14:paraId="6E1A6040" w14:textId="77777777" w:rsidR="00601E0F" w:rsidRPr="00C37F73" w:rsidRDefault="00601E0F" w:rsidP="00601E0F">
      <w:pPr>
        <w:widowControl w:val="0"/>
        <w:autoSpaceDE w:val="0"/>
        <w:autoSpaceDN w:val="0"/>
        <w:adjustRightInd w:val="0"/>
        <w:spacing w:line="240" w:lineRule="auto"/>
        <w:jc w:val="both"/>
        <w:rPr>
          <w:rFonts w:cs="Calibri"/>
          <w:noProof/>
        </w:rPr>
      </w:pPr>
      <w:r w:rsidRPr="00C37F73">
        <w:rPr>
          <w:rFonts w:cs="Calibri"/>
          <w:noProof/>
        </w:rPr>
        <w:t>Zipper CE, Skousen JG. 2010. Influent water quality affects performance of passive treatment systems for acid mine drainage. Mine Water Environ. 29:135–143.</w:t>
      </w:r>
    </w:p>
    <w:p w14:paraId="1C212DDF" w14:textId="04EB7A87" w:rsidR="009F7B64" w:rsidRDefault="00601E0F" w:rsidP="00601E0F">
      <w:pPr>
        <w:spacing w:line="240" w:lineRule="auto"/>
        <w:jc w:val="both"/>
      </w:pPr>
      <w:r w:rsidRPr="00C37F73">
        <w:fldChar w:fldCharType="end"/>
      </w:r>
    </w:p>
    <w:p w14:paraId="28153113" w14:textId="7BE9F63D" w:rsidR="00A54F61" w:rsidRDefault="00A54F61">
      <w:pPr>
        <w:rPr>
          <w:rFonts w:asciiTheme="majorHAnsi" w:eastAsiaTheme="majorEastAsia" w:hAnsiTheme="majorHAnsi" w:cstheme="minorHAnsi"/>
          <w:b/>
          <w:sz w:val="24"/>
          <w:szCs w:val="32"/>
        </w:rPr>
      </w:pPr>
    </w:p>
    <w:p w14:paraId="236EFF19" w14:textId="77777777" w:rsidR="00C37F73" w:rsidRDefault="00C37F73">
      <w:pPr>
        <w:rPr>
          <w:rFonts w:asciiTheme="majorHAnsi" w:eastAsiaTheme="majorEastAsia" w:hAnsiTheme="majorHAnsi" w:cstheme="minorHAnsi"/>
          <w:b/>
          <w:sz w:val="24"/>
          <w:szCs w:val="32"/>
        </w:rPr>
      </w:pPr>
      <w:r>
        <w:rPr>
          <w:rFonts w:cstheme="minorHAnsi"/>
        </w:rPr>
        <w:br w:type="page"/>
      </w:r>
    </w:p>
    <w:p w14:paraId="182E8F87" w14:textId="77777777" w:rsidR="00B12D30" w:rsidRDefault="00B12D30" w:rsidP="00B12D30">
      <w:pPr>
        <w:pStyle w:val="Heading1"/>
      </w:pPr>
      <w:r w:rsidRPr="00A3487B">
        <w:rPr>
          <w:rFonts w:cstheme="minorHAnsi"/>
        </w:rPr>
        <w:lastRenderedPageBreak/>
        <w:t>Chapter 2:</w:t>
      </w:r>
      <w:r w:rsidRPr="00A3487B">
        <w:t xml:space="preserve"> Spatial Profiling of Seasonally Influenced Iron Removal Rates in an Oxidati</w:t>
      </w:r>
      <w:r>
        <w:t>ve</w:t>
      </w:r>
      <w:r w:rsidRPr="00A3487B">
        <w:t xml:space="preserve"> Treatment Cell </w:t>
      </w:r>
    </w:p>
    <w:p w14:paraId="4D44F320" w14:textId="77777777" w:rsidR="00B12D30" w:rsidRDefault="00B12D30" w:rsidP="00B12D30"/>
    <w:p w14:paraId="692FFE98" w14:textId="77777777" w:rsidR="00B12D30" w:rsidRDefault="00B12D30" w:rsidP="00B12D30">
      <w:pPr>
        <w:pStyle w:val="Heading2"/>
      </w:pPr>
      <w:r>
        <w:t>Introduction</w:t>
      </w:r>
    </w:p>
    <w:p w14:paraId="7147039A" w14:textId="77777777" w:rsidR="00B12D30" w:rsidRPr="005E60C9" w:rsidRDefault="00B12D30" w:rsidP="00B12D30"/>
    <w:p w14:paraId="4C622AD9" w14:textId="70CB4FB2" w:rsidR="00B12D30" w:rsidRPr="00A3487B" w:rsidRDefault="00B12D30" w:rsidP="00B12D30">
      <w:pPr>
        <w:spacing w:after="0" w:line="480" w:lineRule="auto"/>
        <w:jc w:val="both"/>
        <w:rPr>
          <w:rFonts w:cstheme="minorHAnsi"/>
        </w:rPr>
      </w:pPr>
      <w:r w:rsidRPr="00A3487B">
        <w:rPr>
          <w:rFonts w:cstheme="minorHAnsi"/>
        </w:rPr>
        <w:t xml:space="preserve">For net-alkaline discharges, oxidative treatment via a </w:t>
      </w:r>
      <w:r>
        <w:rPr>
          <w:rFonts w:cstheme="minorHAnsi"/>
        </w:rPr>
        <w:t xml:space="preserve">oxidation pond/ </w:t>
      </w:r>
      <w:r w:rsidRPr="00A3487B">
        <w:rPr>
          <w:rFonts w:cstheme="minorHAnsi"/>
        </w:rPr>
        <w:t xml:space="preserve">sedimentation basin / aerobic surface flow wetland is the recommended </w:t>
      </w:r>
      <w:r>
        <w:rPr>
          <w:rFonts w:cstheme="minorHAnsi"/>
        </w:rPr>
        <w:t>approach</w:t>
      </w:r>
      <w:r w:rsidRPr="00A3487B">
        <w:rPr>
          <w:rFonts w:cstheme="minorHAnsi"/>
        </w:rPr>
        <w:t xml:space="preserve"> to remove and store large quantities of precipitated iro</w:t>
      </w:r>
      <w:r>
        <w:rPr>
          <w:rFonts w:cstheme="minorHAnsi"/>
        </w:rPr>
        <w:t xml:space="preserve">n </w:t>
      </w:r>
      <w:proofErr w:type="spellStart"/>
      <w:r>
        <w:rPr>
          <w:rFonts w:cstheme="minorHAnsi"/>
        </w:rPr>
        <w:t>oxyhydroxides</w:t>
      </w:r>
      <w:proofErr w:type="spellEnd"/>
      <w:r>
        <w:rPr>
          <w:rFonts w:cstheme="minorHAnsi"/>
        </w:rPr>
        <w:t xml:space="preserve"> </w:t>
      </w:r>
      <w:r>
        <w:rPr>
          <w:rFonts w:cstheme="minorHAnsi"/>
        </w:rPr>
        <w:fldChar w:fldCharType="begin" w:fldLock="1"/>
      </w:r>
      <w:r>
        <w:rPr>
          <w:rFonts w:cstheme="minorHAnsi"/>
        </w:rPr>
        <w:instrText>ADDIN CSL_CITATION { "citationItems" : [ { "id" : "ITEM-1", "itemData" : { "ISBN" : "DOE/NETL-2004/1202", "ISSN" : "0096-1914", "PMID" : "1109", "abstract" : "Passive treatment of mine water uses chemical and biological processes to decrease metal concentrations and neutralize acidity. Compared to conventional chemical treatment, passive methods generally require more land area, but use less costly reagents, and require less operational attention and maintenance. Currently, the three most common types of passive technologies are aerobic ponds and wetlands, anoxic limestone drains (ALDs), and reducing and alkalinity-producing systems (RAPS). Aerobic wetlands promote mixed oxidation and hydrolysis reactions, and are effective when the raw mine water is net alkaline. Anoxic limestone drains generate bicarbonate alkalinity and can be used to convert water that is net acidic into net- alkaline water for treatment in aerobic ponds and wetlands. RAPS promote reducing conditions and limestone dissolution. They extend the concept of ALDs by pre-treating the water before it contacts the limestone, to eliminate dissolved oxygen and reduce dissolved ferric iron to ferrous iron. These systems can generally be used to treat more acidic water than ALDs, and can better treat water with significant aluminum concentrations. In passive treatment systems, rates of metal and acidity removal and alkalinity generation have been developed empirically. Aerobic wetlands remove iron from alkaline water at rates of 10 to 20 g m&amp;2 d&amp;1. Anoxic limestone drains add 150 to 300 mg/L of alkalinity in about 15 hours of contact, imparting 5 to 20 mg/L of alkalinity per hour of contact. Reducing and alkalinity- producing systems add 15 to 60 g m&amp;2 d&amp;1 of alkalinity, depending on influent water quality and contact time. Selection and sizing criteria for the design of passive treatment systems are presented in this report.", "author" : [ { "dropping-particle" : "", "family" : "Watzlaf", "given" : "George R", "non-dropping-particle" : "", "parse-names" : false, "suffix" : "" }, { "dropping-particle" : "", "family" : "Schroeder", "given" : "Karl T", "non-dropping-particle" : "", "parse-names" : false, "suffix" : "" }, { "dropping-particle" : "", "family" : "Kleinmann", "given" : "Robert L P", "non-dropping-particle" : "", "parse-names" : false, "suffix" : "" }, { "dropping-particle" : "", "family" : "Kairies", "given" : "Candace L", "non-dropping-particle" : "", "parse-names" : false, "suffix" : "" }, { "dropping-particle" : "", "family" : "Nairn", "given" : "Robert W", "non-dropping-particle" : "", "parse-names" : false, "suffix" : "" }, { "dropping-particle" : "", "family" : "Street", "given" : "West Boyd", "non-dropping-particle" : "", "parse-names" : false, "suffix" : "" } ], "id" : "ITEM-1", "issued" : { "date-parts" : [ [ "2004" ] ] }, "page" : "1-72", "title" : "The Passive Treatment of Coal Mine Drainage", "type" : "article-journal" }, "uris" : [ "http://www.mendeley.com/documents/?uuid=07eb5f1f-654d-440c-9666-463949032060" ] }, { "id" : "ITEM-2", "itemData" : { "DOI" : "10.1201/9781420012514", "ISBN" : "9781566705264", "ISSN" : "&lt;null&gt;", "abstract" : "Part 2 chapter 16 - 25, pages 593 - 867", "author" : [ { "dropping-particle" : "", "family" : "Kadlec", "given" : "Robert H", "non-dropping-particle" : "", "parse-names" : false, "suffix" : "" }, { "dropping-particle" : "", "family" : "Wallace", "given" : "Scott D", "non-dropping-particle" : "", "parse-names" : false, "suffix" : "" } ], "container-title" : "Treatment Wetlands, Second Edition", "id" : "ITEM-2", "issued" : { "date-parts" : [ [ "2009" ] ] }, "number-of-pages" : "965", "title" : "Treatment Wetlands, Second Edition", "type" : "book" }, "uris" : [ "http://www.mendeley.com/documents/?uuid=01c508e6-a4ee-46a8-9201-83df90775077" ] } ], "mendeley" : { "formattedCitation" : "(Watzlaf et al. 2004; Kadlec and Wallace 2009)", "plainTextFormattedCitation" : "(Watzlaf et al. 2004; Kadlec and Wallace 2009)", "previouslyFormattedCitation" : "(Watzlaf et al. 2004; Kadlec and Wallace 2009)" }, "properties" : { "noteIndex" : 0 }, "schema" : "https://github.com/citation-style-language/schema/raw/master/csl-citation.json" }</w:instrText>
      </w:r>
      <w:r>
        <w:rPr>
          <w:rFonts w:cstheme="minorHAnsi"/>
        </w:rPr>
        <w:fldChar w:fldCharType="separate"/>
      </w:r>
      <w:r w:rsidRPr="00FB04C5">
        <w:rPr>
          <w:rFonts w:cstheme="minorHAnsi"/>
          <w:noProof/>
        </w:rPr>
        <w:t>(</w:t>
      </w:r>
      <w:r>
        <w:rPr>
          <w:rFonts w:cstheme="minorHAnsi"/>
          <w:noProof/>
        </w:rPr>
        <w:t xml:space="preserve">Hedin et al 1994; </w:t>
      </w:r>
      <w:r w:rsidRPr="00FB04C5">
        <w:rPr>
          <w:rFonts w:cstheme="minorHAnsi"/>
          <w:noProof/>
        </w:rPr>
        <w:t>Watzlaf et al. 2004; Kadlec and Wallace 2009)</w:t>
      </w:r>
      <w:r>
        <w:rPr>
          <w:rFonts w:cstheme="minorHAnsi"/>
        </w:rPr>
        <w:fldChar w:fldCharType="end"/>
      </w:r>
      <w:r w:rsidRPr="00A3487B">
        <w:rPr>
          <w:rFonts w:cstheme="minorHAnsi"/>
        </w:rPr>
        <w:t xml:space="preserve">. Iron oxidation, hydrolysis, precipitation, and sedimentation are the key processes promoted within passive treatment oxidation cells and are critical in defining the rate of removal and quantity of precipitate retained over time </w:t>
      </w:r>
      <w:r>
        <w:rPr>
          <w:rFonts w:cstheme="minorHAnsi"/>
        </w:rPr>
        <w:fldChar w:fldCharType="begin" w:fldLock="1"/>
      </w:r>
      <w:r>
        <w:rPr>
          <w:rFonts w:cstheme="minorHAnsi"/>
        </w:rPr>
        <w:instrText>ADDIN CSL_CITATION { "citationItems" : [ { "id" : "ITEM-1", "itemData" : { "DOI" : "10.1016/j.apgeochem.2011.06.002", "ISBN" : "0883-2927", "ISSN" : "08832927", "abstract" : "The formation of acid mine drainage from metals extraction or natural acid rock drainage and its mixing with surface waters is a complex process that depends on petrology and mineralogy, structural geology, geomorphology, surface-water hydrology, hydrogeology, climatology, microbiology, chemistry, and mining and mineral processing history. The concentrations of metals, metalloids, acidity, alkalinity, Cl-, F- and SO42- found in receiving streams, rivers, and lakes are affected by all of these factors and their interactions. Remediation of mine sites is an engineering concern but to design a remediation plan without understanding the hydrogeochemical processes of contaminant mobilization can lead to ineffective and excessively costly remediation. Furthermore, remediation needs a goal commensurate with natural background conditions rather than water-quality standards that might bear little relation to conditions of a highly mineralized terrain. This paper reviews hydrogeochemical generalizations, primarily from US Geological Survey research, that enhance our understanding of the origin, transport, and fate of contaminants released from mined and mineralized areas.Mobility of potential or actual contaminants from mining and mineral processing activities depends on (1) occurrence: is the mineral source of the contaminant actually present? (2) abundance: is the mineral present in sufficient quantity to make a difference? (3) reactivity: what are the energetics, rates, and mechanisms of sorption and mineral dissolution and precipitation relative to the flow rate of the water? and (4) hydrology: what are the main flow paths for contaminated water? Estimates of relative proportions of minerals dissolved and precipitated can be made with mass-balance calculations if minerals and water compositions along a flow path are known. Combined with discharge, these mass-balance estimates quantify the actual weathering rate of pyrite mineralization in the environment and compare reasonably well with laboratory rates of pyrite oxidation except when large quantities of soluble salts and evaporated mine waters have accumulated underground. Quantitative mineralogy with trace-element compositions can substantially improve the identification of source minerals for specific trace elements through mass balances. Post-dissolution sorption and precipitation (attenuation) reactions depend on the chemical behavior of each element, solution composition and pH, aqueous speciation, temp\u2026", "author" : [ { "dropping-particle" : "", "family" : "Nordstrom", "given" : "D. Kirk", "non-dropping-particle" : "", "parse-names" : false, "suffix" : "" } ], "container-title" : "Applied Geochemistry", "id" : "ITEM-1", "issue" : "11", "issued" : { "date-parts" : [ [ "2011" ] ] }, "page" : "1777-1791", "publisher" : "Elsevier Ltd", "title" : "Hydrogeochemical processes governing the origin, transport and fate of major and trace elements from mine wastes and mineralized rock to surface waters", "type" : "article-journal", "volume" : "26" }, "uris" : [ "http://www.mendeley.com/documents/?uuid=6d30e350-d34b-465d-af06-0e588137a356" ] }, { "id" : "ITEM-2", "itemData" : { "DOI" : "10.1016/B978-0-08-095975-7.00905-0", "ISBN" : "9780080983004", "ISSN" : "08921016", "PMID" : "11379059", "abstract" : "Mining and mineral processing generates large volumes of waste, including waste rock, mill tailings, and mineral refinery wastes. The oxidation of sulfide minerals in the materials can result in the release of acidic water containing high concentrations of dissolved metals. Recent studies have determined the mechanisms of abiotic sulfide-mineral oxidation. Within mine wastes, the oxidation of sulfide minerals is catalyzed by microorganisms. Molecular tools have been developed and applied to determine the activity and role of these organisms in sulfide-mineral-bearing systems. Novel tools have been developed for assessing the toxicity of mine-waste effluent. Dissolved constituents released by sulfide oxidation may be attenuated through the precipitation of secondary minerals, including metal sulfate, oxyhydroxide, and basic sulfate minerals. Geochemical models have been developed to provide improved predictions of the magnitude and duration of environmental concerns. Novel techniques have been developed to prevent and remediate environmental problems associated with these materials. \u00a9 2014 Elsevier Ltd. All rights reserved.", "author" : [ { "dropping-particle" : "", "family" : "Blowes", "given" : "D. W.", "non-dropping-particle" : "", "parse-names" : false, "suffix" : "" }, { "dropping-particle" : "", "family" : "Ptacek", "given" : "C. J.", "non-dropping-particle" : "", "parse-names" : false, "suffix" : "" }, { "dropping-particle" : "", "family" : "Jambor", "given" : "J. L.", "non-dropping-particle" : "", "parse-names" : false, "suffix" : "" }, { "dropping-particle" : "", "family" : "Weisener", "given" : "C. G.", "non-dropping-particle" : "", "parse-names" : false, "suffix" : "" }, { "dropping-particle" : "", "family" : "Paktunc", "given" : "D.", "non-dropping-particle" : "", "parse-names" : false, "suffix" : "" }, { "dropping-particle" : "", "family" : "Gould", "given" : "W. D.", "non-dropping-particle" : "", "parse-names" : false, "suffix" : "" }, { "dropping-particle" : "", "family" : "Johnson", "given" : "D. B.", "non-dropping-particle" : "", "parse-names" : false, "suffix" : "" } ], "container-title" : "Treatise on Geochemistry: Second Edition", "id" : "ITEM-2", "issued" : { "date-parts" : [ [ "2013" ] ] }, "page" : "131-190", "title" : "The Geochemistry of Acid Mine Drainage", "type" : "article-journal", "volume" : "11" }, "uris" : [ "http://www.mendeley.com/documents/?uuid=1f09ec95-a81d-4322-bf8e-860175e9f92b" ] } ], "mendeley" : { "formattedCitation" : "(Nordstrom 2011; Blowes et al. 2013)", "plainTextFormattedCitation" : "(Nordstrom 2011; Blowes et al. 2013)", "previouslyFormattedCitation" : "(Nordstrom 2011; Blowes et al. 2013)" }, "properties" : { "noteIndex" : 0 }, "schema" : "https://github.com/citation-style-language/schema/raw/master/csl-citation.json" }</w:instrText>
      </w:r>
      <w:r>
        <w:rPr>
          <w:rFonts w:cstheme="minorHAnsi"/>
        </w:rPr>
        <w:fldChar w:fldCharType="separate"/>
      </w:r>
      <w:r w:rsidRPr="000052FF">
        <w:rPr>
          <w:rFonts w:cstheme="minorHAnsi"/>
          <w:noProof/>
        </w:rPr>
        <w:t>(Nordstrom 2011; Blowes et al. 2013)</w:t>
      </w:r>
      <w:r>
        <w:rPr>
          <w:rFonts w:cstheme="minorHAnsi"/>
        </w:rPr>
        <w:fldChar w:fldCharType="end"/>
      </w:r>
      <w:r>
        <w:rPr>
          <w:rFonts w:cstheme="minorHAnsi"/>
        </w:rPr>
        <w:t>.</w:t>
      </w:r>
      <w:r w:rsidRPr="00A3487B">
        <w:rPr>
          <w:rFonts w:cstheme="minorHAnsi"/>
        </w:rPr>
        <w:t xml:space="preserve"> Iron oxidation converts dissolved iron (II) to iron (III) in the presence of dissolved oxygen (Equation </w:t>
      </w:r>
      <w:r>
        <w:rPr>
          <w:rFonts w:cstheme="minorHAnsi"/>
        </w:rPr>
        <w:t>2.1</w:t>
      </w:r>
      <w:r w:rsidRPr="00A3487B">
        <w:rPr>
          <w:rFonts w:cstheme="minorHAnsi"/>
        </w:rPr>
        <w:t xml:space="preserve">).  </w:t>
      </w:r>
      <w:r>
        <w:rPr>
          <w:rFonts w:cstheme="minorHAnsi"/>
        </w:rPr>
        <w:t>Under alkaline condition, t</w:t>
      </w:r>
      <w:r w:rsidRPr="00A3487B">
        <w:rPr>
          <w:rFonts w:cstheme="minorHAnsi"/>
        </w:rPr>
        <w:t>he newly formed iron (III) readily undergoes hydrolysis</w:t>
      </w:r>
      <w:r>
        <w:rPr>
          <w:rFonts w:cstheme="minorHAnsi"/>
        </w:rPr>
        <w:t xml:space="preserve"> with water to form a </w:t>
      </w:r>
      <w:r w:rsidRPr="00A3487B">
        <w:rPr>
          <w:rFonts w:cstheme="minorHAnsi"/>
        </w:rPr>
        <w:t xml:space="preserve">precipitate (Equation </w:t>
      </w:r>
      <w:r w:rsidR="001A6133">
        <w:rPr>
          <w:rFonts w:cstheme="minorHAnsi"/>
        </w:rPr>
        <w:t>.2.2</w:t>
      </w:r>
      <w:r w:rsidRPr="00A3487B">
        <w:rPr>
          <w:rFonts w:cstheme="minorHAnsi"/>
        </w:rPr>
        <w:t xml:space="preserve">).  Flocculation and sedimentation of the iron </w:t>
      </w:r>
      <w:proofErr w:type="spellStart"/>
      <w:r w:rsidRPr="00A3487B">
        <w:rPr>
          <w:rFonts w:cstheme="minorHAnsi"/>
        </w:rPr>
        <w:t>oxyhydroxide</w:t>
      </w:r>
      <w:proofErr w:type="spellEnd"/>
      <w:r w:rsidRPr="00A3487B">
        <w:rPr>
          <w:rFonts w:cstheme="minorHAnsi"/>
        </w:rPr>
        <w:t xml:space="preserve"> occurs and the solids are retained within the system </w:t>
      </w:r>
      <w:r>
        <w:rPr>
          <w:rFonts w:cstheme="minorHAnsi"/>
        </w:rPr>
        <w:fldChar w:fldCharType="begin" w:fldLock="1"/>
      </w:r>
      <w:r>
        <w:rPr>
          <w:rFonts w:cstheme="minorHAnsi"/>
        </w:rPr>
        <w:instrText>ADDIN CSL_CITATION { "citationItems" : [ { "id" : "ITEM-1", "itemData" : { "DOI" : "10.1017/CBO9781107415324.004", "ISBN" : "9788578110796", "ISSN" : "1098-6596", "PMID" : "25246403", "author" : [ { "dropping-particle" : "", "family" : "Paul Younger", "given" : "Steven Banwart and Robert Hedin", "non-dropping-particle" : "", "parse-names" : false, "suffix" : "" } ], "container-title" : "Springer-Science+Business Media, B.V", "id" : "ITEM-1", "issued" : { "date-parts" : [ [ "2002" ] ] }, "title" : "Mine Water: Hydrology, Pollution, Remediation", "type" : "book", "volume" : "5" }, "uris" : [ "http://www.mendeley.com/documents/?uuid=644c76c5-6d59-4e0f-b309-d751571a8666" ] } ], "mendeley" : { "formattedCitation" : "(Paul Younger 2002)", "plainTextFormattedCitation" : "(Paul Younger 2002)", "previouslyFormattedCitation" : "(Paul Younger 2002)" }, "properties" : { "noteIndex" : 0 }, "schema" : "https://github.com/citation-style-language/schema/raw/master/csl-citation.json" }</w:instrText>
      </w:r>
      <w:r>
        <w:rPr>
          <w:rFonts w:cstheme="minorHAnsi"/>
        </w:rPr>
        <w:fldChar w:fldCharType="separate"/>
      </w:r>
      <w:r w:rsidRPr="00541C11">
        <w:rPr>
          <w:rFonts w:cstheme="minorHAnsi"/>
          <w:noProof/>
        </w:rPr>
        <w:t>(Younger 2002)</w:t>
      </w:r>
      <w:r>
        <w:rPr>
          <w:rFonts w:cstheme="minorHAnsi"/>
        </w:rPr>
        <w:fldChar w:fldCharType="end"/>
      </w:r>
      <w:r w:rsidRPr="00A3487B">
        <w:rPr>
          <w:rFonts w:cstheme="minorHAnsi"/>
        </w:rPr>
        <w:t xml:space="preserve">. </w:t>
      </w:r>
    </w:p>
    <w:p w14:paraId="6D12A311" w14:textId="6D6F9482" w:rsidR="00B12D30" w:rsidRPr="00A3487B" w:rsidRDefault="00B12D30" w:rsidP="00B12D30">
      <w:pPr>
        <w:spacing w:after="0" w:line="480" w:lineRule="auto"/>
        <w:ind w:left="360" w:firstLine="360"/>
        <w:jc w:val="both"/>
        <w:rPr>
          <w:rFonts w:cstheme="minorHAnsi"/>
          <w:lang w:val="pt-BR"/>
        </w:rPr>
      </w:pPr>
      <w:r w:rsidRPr="00A3487B">
        <w:rPr>
          <w:rFonts w:cstheme="minorHAnsi"/>
          <w:lang w:val="pt-BR"/>
        </w:rPr>
        <w:t>4Fe</w:t>
      </w:r>
      <w:r w:rsidRPr="00A3487B">
        <w:rPr>
          <w:rFonts w:cstheme="minorHAnsi"/>
          <w:vertAlign w:val="superscript"/>
          <w:lang w:val="pt-BR"/>
        </w:rPr>
        <w:t>2+</w:t>
      </w:r>
      <w:r w:rsidRPr="00A3487B">
        <w:rPr>
          <w:rFonts w:cstheme="minorHAnsi"/>
          <w:lang w:val="pt-BR"/>
        </w:rPr>
        <w:t xml:space="preserve"> + O</w:t>
      </w:r>
      <w:r w:rsidRPr="00A3487B">
        <w:rPr>
          <w:rFonts w:cstheme="minorHAnsi"/>
          <w:vertAlign w:val="subscript"/>
          <w:lang w:val="pt-BR"/>
        </w:rPr>
        <w:t>2</w:t>
      </w:r>
      <w:r w:rsidRPr="00A3487B">
        <w:rPr>
          <w:rFonts w:cstheme="minorHAnsi"/>
          <w:lang w:val="pt-BR"/>
        </w:rPr>
        <w:t xml:space="preserve"> + 4H</w:t>
      </w:r>
      <w:r w:rsidRPr="00A3487B">
        <w:rPr>
          <w:rFonts w:cstheme="minorHAnsi"/>
          <w:vertAlign w:val="superscript"/>
          <w:lang w:val="pt-BR"/>
        </w:rPr>
        <w:t>+</w:t>
      </w:r>
      <w:r w:rsidRPr="00A3487B">
        <w:rPr>
          <w:rFonts w:cstheme="minorHAnsi"/>
          <w:lang w:val="pt-BR"/>
        </w:rPr>
        <w:t xml:space="preserve"> </w:t>
      </w:r>
      <w:r w:rsidRPr="00A3487B">
        <w:rPr>
          <w:rFonts w:cstheme="minorHAnsi"/>
        </w:rPr>
        <w:sym w:font="Wingdings" w:char="F0E0"/>
      </w:r>
      <w:r w:rsidRPr="00A3487B">
        <w:rPr>
          <w:rFonts w:cstheme="minorHAnsi"/>
          <w:lang w:val="pt-BR"/>
        </w:rPr>
        <w:t xml:space="preserve"> 4Fe</w:t>
      </w:r>
      <w:r w:rsidRPr="00A3487B">
        <w:rPr>
          <w:rFonts w:cstheme="minorHAnsi"/>
          <w:vertAlign w:val="superscript"/>
          <w:lang w:val="pt-BR"/>
        </w:rPr>
        <w:t>3+</w:t>
      </w:r>
      <w:r w:rsidRPr="00A3487B">
        <w:rPr>
          <w:rFonts w:cstheme="minorHAnsi"/>
          <w:lang w:val="pt-BR"/>
        </w:rPr>
        <w:t xml:space="preserve"> + 2H</w:t>
      </w:r>
      <w:r w:rsidRPr="00A3487B">
        <w:rPr>
          <w:rFonts w:cstheme="minorHAnsi"/>
          <w:vertAlign w:val="subscript"/>
          <w:lang w:val="pt-BR"/>
        </w:rPr>
        <w:t>2</w:t>
      </w:r>
      <w:r w:rsidRPr="00A3487B">
        <w:rPr>
          <w:rFonts w:cstheme="minorHAnsi"/>
          <w:lang w:val="pt-BR"/>
        </w:rPr>
        <w:t>O</w:t>
      </w:r>
      <w:r>
        <w:rPr>
          <w:rFonts w:cstheme="minorHAnsi"/>
          <w:lang w:val="pt-BR"/>
        </w:rPr>
        <w:t xml:space="preserve">............................................................ </w:t>
      </w:r>
      <w:r w:rsidRPr="00A3487B">
        <w:rPr>
          <w:rFonts w:cstheme="minorHAnsi"/>
          <w:lang w:val="pt-BR"/>
        </w:rPr>
        <w:t xml:space="preserve"> (</w:t>
      </w:r>
      <w:r>
        <w:rPr>
          <w:rFonts w:cstheme="minorHAnsi"/>
          <w:lang w:val="pt-BR"/>
        </w:rPr>
        <w:t>Equation 2.1</w:t>
      </w:r>
      <w:r w:rsidRPr="00A3487B">
        <w:rPr>
          <w:rFonts w:cstheme="minorHAnsi"/>
          <w:lang w:val="pt-BR"/>
        </w:rPr>
        <w:t>)</w:t>
      </w:r>
    </w:p>
    <w:p w14:paraId="3F34EC92" w14:textId="5D12AD3E" w:rsidR="00B12D30" w:rsidRPr="00541C11" w:rsidRDefault="00B12D30" w:rsidP="001A6133">
      <w:pPr>
        <w:spacing w:after="0" w:line="480" w:lineRule="auto"/>
        <w:ind w:left="360" w:firstLine="360"/>
        <w:jc w:val="both"/>
        <w:rPr>
          <w:rFonts w:cstheme="minorHAnsi"/>
          <w:lang w:val="pt-BR"/>
        </w:rPr>
      </w:pPr>
      <w:r w:rsidRPr="00A3487B">
        <w:rPr>
          <w:rFonts w:cstheme="minorHAnsi"/>
          <w:lang w:val="pt-BR"/>
        </w:rPr>
        <w:t>Fe</w:t>
      </w:r>
      <w:r w:rsidRPr="00A3487B">
        <w:rPr>
          <w:rFonts w:cstheme="minorHAnsi"/>
          <w:vertAlign w:val="superscript"/>
          <w:lang w:val="pt-BR"/>
        </w:rPr>
        <w:t>3+</w:t>
      </w:r>
      <w:r w:rsidRPr="00A3487B">
        <w:rPr>
          <w:rFonts w:cstheme="minorHAnsi"/>
          <w:lang w:val="pt-BR"/>
        </w:rPr>
        <w:t xml:space="preserve"> + 3H</w:t>
      </w:r>
      <w:r w:rsidRPr="00A3487B">
        <w:rPr>
          <w:rFonts w:cstheme="minorHAnsi"/>
          <w:vertAlign w:val="subscript"/>
          <w:lang w:val="pt-BR"/>
        </w:rPr>
        <w:t>2</w:t>
      </w:r>
      <w:r w:rsidRPr="00A3487B">
        <w:rPr>
          <w:rFonts w:cstheme="minorHAnsi"/>
          <w:lang w:val="pt-BR"/>
        </w:rPr>
        <w:t xml:space="preserve">O </w:t>
      </w:r>
      <w:r w:rsidRPr="00A3487B">
        <w:rPr>
          <w:rFonts w:cstheme="minorHAnsi"/>
        </w:rPr>
        <w:sym w:font="Wingdings" w:char="F0E0"/>
      </w:r>
      <w:r w:rsidRPr="00A3487B">
        <w:rPr>
          <w:rFonts w:cstheme="minorHAnsi"/>
          <w:lang w:val="pt-BR"/>
        </w:rPr>
        <w:t xml:space="preserve"> Fe(OH)</w:t>
      </w:r>
      <w:r w:rsidRPr="00A3487B">
        <w:rPr>
          <w:rFonts w:cstheme="minorHAnsi"/>
          <w:vertAlign w:val="subscript"/>
          <w:lang w:val="pt-BR"/>
        </w:rPr>
        <w:t>3(s)</w:t>
      </w:r>
      <w:r w:rsidRPr="00A3487B">
        <w:rPr>
          <w:rFonts w:cstheme="minorHAnsi"/>
          <w:lang w:val="pt-BR"/>
        </w:rPr>
        <w:t xml:space="preserve"> + 3H</w:t>
      </w:r>
      <w:r w:rsidRPr="00A3487B">
        <w:rPr>
          <w:rFonts w:cstheme="minorHAnsi"/>
          <w:vertAlign w:val="superscript"/>
          <w:lang w:val="pt-BR"/>
        </w:rPr>
        <w:t>+</w:t>
      </w:r>
      <w:r w:rsidR="001A6133">
        <w:rPr>
          <w:rFonts w:cstheme="minorHAnsi"/>
          <w:vertAlign w:val="superscript"/>
          <w:lang w:val="pt-BR"/>
        </w:rPr>
        <w:t>......................................................................................................</w:t>
      </w:r>
      <w:r w:rsidRPr="00A3487B">
        <w:rPr>
          <w:rFonts w:cstheme="minorHAnsi"/>
          <w:lang w:val="pt-BR"/>
        </w:rPr>
        <w:t>(</w:t>
      </w:r>
      <w:r>
        <w:rPr>
          <w:rFonts w:cstheme="minorHAnsi"/>
          <w:lang w:val="pt-BR"/>
        </w:rPr>
        <w:t>Equation 2.2</w:t>
      </w:r>
      <w:r w:rsidRPr="00A3487B">
        <w:rPr>
          <w:rFonts w:cstheme="minorHAnsi"/>
          <w:lang w:val="pt-BR"/>
        </w:rPr>
        <w:t>)</w:t>
      </w:r>
    </w:p>
    <w:p w14:paraId="6C648543" w14:textId="1FF81952" w:rsidR="00B12D30" w:rsidRDefault="00B12D30" w:rsidP="00B12D30">
      <w:pPr>
        <w:spacing w:line="480" w:lineRule="auto"/>
        <w:jc w:val="both"/>
        <w:rPr>
          <w:rFonts w:cstheme="minorHAnsi"/>
        </w:rPr>
      </w:pPr>
      <w:r w:rsidRPr="00A3487B">
        <w:rPr>
          <w:rFonts w:cstheme="minorHAnsi"/>
        </w:rPr>
        <w:t>The removal of dissolved iron from solution via precipitation follows first</w:t>
      </w:r>
      <w:r>
        <w:rPr>
          <w:rFonts w:cstheme="minorHAnsi"/>
        </w:rPr>
        <w:t>-</w:t>
      </w:r>
      <w:r w:rsidRPr="00A3487B">
        <w:rPr>
          <w:rFonts w:cstheme="minorHAnsi"/>
        </w:rPr>
        <w:t xml:space="preserve">order kinetics with respect to iron concentration and is dependent on both heterogeneous and homogeneous mechanisms </w:t>
      </w:r>
      <w:r>
        <w:rPr>
          <w:rFonts w:cstheme="minorHAnsi"/>
        </w:rPr>
        <w:fldChar w:fldCharType="begin" w:fldLock="1"/>
      </w:r>
      <w:r>
        <w:rPr>
          <w:rFonts w:cstheme="minorHAnsi"/>
        </w:rPr>
        <w:instrText>ADDIN CSL_CITATION { "citationItems" : [ { "id" : "ITEM-1", "itemData" : { "DOI" : "10.1016/j.gexplo.2008.06.001", "ISBN" : "0375-6742", "ISSN" : "03756742", "abstract" : "The determination of electrophoretic mobility and zeta potential was used as a diagnostic tool, alongside kinetic experiments, to delineate between three plausible mechanisms for the heterogeneous oxidation of Fe(II) by dissolved oxygen. One of these mechanisms is dependant on the positive surface charge that exists on Fe(III) (oxy)hydroxide surfaces at pH values below the Iso-Electric Point (IEP). However, this mechanism can be disputed as catalysis is observed on Fe(III) (oxy)hydroxide surfaces above the IEP despite a negative zeta potential. As well as an IEP shift an overall reduction of the magnitude of the zeta potential is observed in samples of field Fe(III) (oxy)hydroxide collected from the Taff Merthyr mine water treatment site in South Wales, UK. Low zeta potentials determined in mine water treatment systems will have beneficial effects for particle coagulation and settling in passive mine water treatment systems. \u00a9 2008 Elsevier B.V. All rights reserved.", "author" : [ { "dropping-particle" : "", "family" : "Barnes", "given" : "Andrew", "non-dropping-particle" : "", "parse-names" : false, "suffix" : "" }, { "dropping-particle" : "", "family" : "Sapsford", "given" : "Devin J.", "non-dropping-particle" : "", "parse-names" : false, "suffix" : "" }, { "dropping-particle" : "", "family" : "Dey", "given" : "Mathew", "non-dropping-particle" : "", "parse-names" : false, "suffix" : "" }, { "dropping-particle" : "", "family" : "Williams", "given" : "Keith P.", "non-dropping-particle" : "", "parse-names" : false, "suffix" : "" } ], "container-title" : "Journal of Geochemical Exploration", "id" : "ITEM-1", "issue" : "2-3", "issued" : { "date-parts" : [ [ "2009" ] ] }, "page" : "192-198", "publisher" : "Elsevier B.V.", "title" : "Heterogeneous Fe(II) oxidation and zeta potential", "type" : "article-journal", "volume" : "100" }, "uris" : [ "http://www.mendeley.com/documents/?uuid=4b7ee6dd-8a99-4f6d-8fb2-90305edd0484" ] }, { "id" : "ITEM-2", "itemData" : { "DOI" : "10.1016/S0883-2927(00)00010-X", "ISSN" : "08832927", "abstract" : "Water pollution arising from base metal sulphide mines is problematic in many countries, yet the hydrogeology of the subsurface contaminant sources is rarely well-characterized. Drainage water pumped from an active F-Pb mine in northern England has unusual chemistry (alkaline with up to 40 mg.l-1 Zn) which profoundly impacts the ecology of the receiving watercourse. Detailed in-mine surveys of the quantity and quality of all ground water inflows to the mine were made. These revealed major, temporally persistent heterogeneities in ground water quality, with three broad types of water identified as being associated with distinct hydrostratigraphic units. Type I waters (associated with the Firestone Sill aquifer) are cool (&lt; 10??C), Ca-HCO3-SO3 waters, moderately mineralized (specific electrical conductance (SEC) ??? 410 ??S.cm-1) with &lt;4 mg.l-1 Zn. Type II waters (associated with the Great Limestone aquifer) are warmer (???15??C), of Ca-SO4 facies, highly mineralized (SEC ??? 1500 ??S.cm-1) with ???40 mg.l-1 Zn. Type III waters (in the deepest workings) are tepid (&gt; 18??C), of Ca-HCO3-SO3 facies, intermediately mineralized (SEC ??? 900 ??S.cm-1) with ??? 13 mg.l-1 Zn, and with significant Fe (??? 12 mg.l-1) and Pb (???8 mg/l). Monotonic increases in temperature and Cl- concentration with depth contrast with peaks in total mineralization, SO4 and Zn at medium depth (in Type II waters). Sulphate, Pb and Zn are apparently sourced via oxidation of galena and sphalerite, which would release each metal in stoichiometric equality with SO4. However, molal SO4 concentrations typically exceed those of Pb and Zn by 2-3 orders of magnitude, which mineral equilibria suggest is due to precipitation of carbonate 'sinks' for these metals. Contaminant loading budgets demonstrate that, although Type II waters amount to only 25% of the total ground water inflow to the mine, they account for almost 60% of the total Zn loading. This observation has important management implications for both the operational and post-abandonment phases of the mine life cycle. (C) 2000 Elsevier Science Ltd.", "author" : [ { "dropping-particle" : "", "family" : "Younger", "given" : "Paul L.", "non-dropping-particle" : "", "parse-names" : false, "suffix" : "" } ], "container-title" : "Applied Geochemistry", "id" : "ITEM-2", "issue" : "9", "issued" : { "date-parts" : [ [ "2000" ] ] }, "page" : "1383-1397", "title" : "Nature and practical implications of heterogeneities in the geochemistry of zinc-rich, alkaline mine waters in an underground F-Pb mine in the UK", "type" : "article-journal", "volume" : "15" }, "uris" : [ "http://www.mendeley.com/documents/?uuid=5955a909-916b-4eef-bd4b-2c52976a20eb" ] }, { "id" : "ITEM-3", "itemData" : { "DOI" : "10.1016/0016-7037(92)90301-X", "ISBN" : "0016-7037", "ISSN" : "00167037", "PMID" : "9169", "abstract" : "The various pathways for the oxygenation of ferrous iron and for the dissolution of Fe(III) (hydr) oxides, especially by reducing ligands with oxygen donor atoms in thermal and photochemical processes, are assessed on the basis of laboratory experiments for application to natural systems. The typically large specific surface area of Fe-bearing solids in natural systems and the ability of these surfaces to interact chemically (surface complexation, ligand exchange) with reductants and oxidants facilitates electron transfer as well as dissolution and precipitation. Adsorption of Fe(II) to particle surfaces (complexation with surface hydroxyl groups) enhances the oxygenation rate of Fe(II) in a similar way as hydrolysis in solution (complexation with OH- ions). Surface processes (and not transport processes) control the dissolution kinetics. The rate of dissolution is proportional to the surface complexes formed on the surface of Fe(III) (hydr)oxides. Thus, a reductant, such as ascorbate, exchanges electrons with a surface Fe(III) ion subsequent to its inner-sphere coordination to the oxide surface. The Fe(II) thereby formed becomes more easily detached from the surface. Complex formation reactions of Fe(III) and Fe(II) with organic and inorganic ligands to form solute and solid complexes makes it possible that electron cycling of Fe(III)-Fe(II) transformations can occur over the entire EH range within the stability of water (EH from -0.5 V to +1.1 V). Solid and solute Fe(II) complexes with silicates, with hydrous oxides (e.g., Fe3O4), and with sulfides are very efficient reductants from a thermodynamic as well as from a kinetic point of view. Photosynthetic processes occurring on some inorganic Fe-bearing surfaces (semiconductors) and with iron species may be looked at as \"primitive\" alternatives or precursors to biological photosynthesis. In light-induced reductive dissolution of Fe(III) (hydr)oxides, dissolved Fe(II) (example: reduction of solid Fe(III) phases with an organic ligand such as oxalate) is formed. In the heterogeneous photoredox reaction, the inner-sphere surface coordination of the electron donor to the oxide surface is essential for the efficiency of the electron transfer. ?? 1992.", "author" : [ { "dropping-particle" : "", "family" : "Stumm", "given" : "Werner", "non-dropping-particle" : "", "parse-names" : false, "suffix" : "" }, { "dropping-particle" : "", "family" : "Sulzberger", "given" : "Barbara", "non-dropping-particle" : "", "parse-names" : false, "suffix" : "" } ], "container-title" : "Geochimica et Cosmochimica Acta", "id" : "ITEM-3", "issue" : "8", "issued" : { "date-parts" : [ [ "1992" ] ] }, "page" : "3233-3257", "title" : "The cycling of iron in natural environments: Considerations based on laboratory studies of heterogeneous redox processes", "type" : "article-journal", "volume" : "56" }, "uris" : [ "http://www.mendeley.com/documents/?uuid=8119eb14-1ab5-4ca6-96ac-2935199b1b23" ] } ], "mendeley" : { "formattedCitation" : "(Stumm and Sulzberger 1992; Younger 2000; Barnes et al. 2009)", "plainTextFormattedCitation" : "(Stumm and Sulzberger 1992; Younger 2000; Barnes et al. 2009)", "previouslyFormattedCitation" : "(Stumm and Sulzberger 1992; Younger 2000; Barnes et al. 2009)" }, "properties" : { "noteIndex" : 0 }, "schema" : "https://github.com/citation-style-language/schema/raw/master/csl-citation.json" }</w:instrText>
      </w:r>
      <w:r>
        <w:rPr>
          <w:rFonts w:cstheme="minorHAnsi"/>
        </w:rPr>
        <w:fldChar w:fldCharType="separate"/>
      </w:r>
      <w:r w:rsidRPr="000052FF">
        <w:rPr>
          <w:rFonts w:cstheme="minorHAnsi"/>
          <w:noProof/>
        </w:rPr>
        <w:t>(Stumm and Sulzberger 1992; Younger 2000; Barnes et al. 2009)</w:t>
      </w:r>
      <w:r>
        <w:rPr>
          <w:rFonts w:cstheme="minorHAnsi"/>
        </w:rPr>
        <w:fldChar w:fldCharType="end"/>
      </w:r>
      <w:r w:rsidRPr="00A3487B">
        <w:rPr>
          <w:rFonts w:cstheme="minorHAnsi"/>
        </w:rPr>
        <w:t xml:space="preserve">.  Passive treatment oxidative cells feature high </w:t>
      </w:r>
      <w:r w:rsidR="001A6133">
        <w:rPr>
          <w:rFonts w:cstheme="minorHAnsi"/>
        </w:rPr>
        <w:t xml:space="preserve">water </w:t>
      </w:r>
      <w:r w:rsidRPr="00A3487B">
        <w:rPr>
          <w:rFonts w:cstheme="minorHAnsi"/>
        </w:rPr>
        <w:t>surface area</w:t>
      </w:r>
      <w:r w:rsidR="001A6133">
        <w:rPr>
          <w:rFonts w:cstheme="minorHAnsi"/>
        </w:rPr>
        <w:t>s</w:t>
      </w:r>
      <w:r w:rsidRPr="00A3487B">
        <w:rPr>
          <w:rFonts w:cstheme="minorHAnsi"/>
        </w:rPr>
        <w:t>, extended hydraulic retention times, and storage volume for retained solids. Aeration structures are often included in the design to maintain oxidative conditions; as oxidation is the rate</w:t>
      </w:r>
      <w:r>
        <w:rPr>
          <w:rFonts w:cstheme="minorHAnsi"/>
        </w:rPr>
        <w:t>-</w:t>
      </w:r>
      <w:r w:rsidRPr="00A3487B">
        <w:rPr>
          <w:rFonts w:cstheme="minorHAnsi"/>
        </w:rPr>
        <w:t xml:space="preserve">determining step for iron removal </w:t>
      </w:r>
      <w:r>
        <w:rPr>
          <w:rFonts w:cstheme="minorHAnsi"/>
        </w:rPr>
        <w:fldChar w:fldCharType="begin" w:fldLock="1"/>
      </w:r>
      <w:r>
        <w:rPr>
          <w:rFonts w:cstheme="minorHAnsi"/>
        </w:rPr>
        <w:instrText>ADDIN CSL_CITATION { "citationItems" : [ { "id" : "ITEM-1", "itemData" : { "DOI" : "papers://B3F20CA2-9ACD-4BA1-A510-19A2EC38FE78/Paper/p1675", "ISSN" : "0003-004X", "abstract" : "X-ray and ultraviolet photoelectron spectroscopy (XPS and UPS, respectively) and scan- ning tunneling microscopy (STM) were used to observe the initial oxidation of pyrite surfaces in air. The results show the growth of oxide-like oxidation products, with minor contributions from sulfate. UPS shows a decrease in the density of electronic states in the uppermost valence band of pyrite, corresponding to oxidation of surface Fe2+. This allows reliable interpretation of STM images, which show that initial surface oxidation of FeH proceeds by growth of oxidized patches. The borders of oxidized patches contain small segments oriented in the (110) and (100) directions. STM of as-received pyrite cube surfaces, oxidized in air for years, also show the importance of the (110) crystallographic directions, on the surface, in controlling reaction progress. A model in which oxidation probabilities number of nearest-neighbor for FeH surface sites are proportional oxidized (FeH) sites was tested using a Monte Carlo approach and reproduces the surface patterns observed in STM. An oxidation mechanism consistent with the XPS, UPS, STM, and Monte Carlo results is proposed. The rate constant for electron transfer from surface-exposed pyrite FeH to O2 is small. Electron transfer is more rapid from pyrite FeH to FeH present on the surface as an oxidation product, such as in the patches we observed. FeH in oxide is a better reductant than FeH in pyrite, so electron transfer to O2 from the oxide is also fast. How- ever, this two-step mechanism is faster overall only if electron transfer to the surface oxide patches is irreversible (e.g., because ofS2 oxidation or electron hopping within the surface oxide patches). Cycling of Fe between the FeH and FeH forms, particularly along borders between oxidized and unoxidized areas, is thus a key feature of the pyrite oxidation mech- anism. An understanding the redox potentials of electrons in various surface states. Rates of electron transfer from these states to O2 are estimated using a kinetic theory of elementary heterogeneous electron transfer. I", "author" : [ { "dropping-particle" : "", "family" : "Eggleston", "given" : "Carrick M", "non-dropping-particle" : "", "parse-names" : false, "suffix" : "" }, { "dropping-particle" : "", "family" : "Ehrhardt", "given" : "Jean-Jacques", "non-dropping-particle" : "", "parse-names" : false, "suffix" : "" }, { "dropping-particle" : "", "family" : "Stumm", "given" : "Werner", "non-dropping-particle" : "", "parse-names" : false, "suffix" : "" } ], "container-title" : "American Mineralogist", "id" : "ITEM-1", "issue" : "9", "issued" : { "date-parts" : [ [ "1996" ] ] }, "page" : "1036-1056", "title" : "Surface structural controls on pyrite oxidation kinetics: An XPS-UPS, STM, and modeling study", "type" : "article-journal", "volume" : "81" }, "uris" : [ "http://www.mendeley.com/documents/?uuid=a401ff91-1750-4015-96d7-12b1ae35d68e" ] }, { "id" : "ITEM-2", "itemData" : { "DOI" : "10.1144/geochem.1.1.81", "ISSN" : "1467-7873", "abstract" : "The rates of chemical oxidation and gas transfer were determined for two passive abiotic systems for the treatment of mine drainage. One system (HB) is a series of ponds whose discharge was net acidic. The second treatment system (CK) has shallow channels and net alkaline discharge. The O (sub 2) mass transfer coefficient was 2 cm h (super -1) for HB Pond #2 and ranged from 4 to 40 cm h (super -1) for the CK channels, depending on channel velocity and depth. The CO (sub 2) mass transfer coefficient was 1.3 cm h (super -1) for HB Pond #2 and ranged from 1.4 to 15 cm h (super -1) for the CK channels. Oxygen transfer appeared to be the rate-limiting step for oxidation of Fe(II) at HB Pond #2. The oxidation rate for Fe(II) adsorbed to already-formed ferric oxides (heterogeneous oxidation) appeared to control the rate of oxidation of Fe(II) at the CK channels. Based on field data, the heterogeneous rate constant for oxidation of Fe(II) was 6.0 X 10 (super -9) mg l (super -1) s (super -1) at 17 degrees C or k (sub 2) of 5.5 X 10 (super -8) mg l (super -1) s (super -1) at 25 degrees C. This value was consistent with previously reported values for k (sub 2) based on laboratory experiments. The annual-averaged iron removal rates were 18 g d (super -1) m (super -2) for HB and 42 g d (super -1) m (super -2) for CK, compared to empirical design expectations of 10 to 20 g d (super -1) m (super -2) . Heterogeneous oxidation accounted for &gt;80% of the oxidation of Fe(II) at HB and &gt;90% of the oxidation of Fe(II) at CK.", "author" : [ { "dropping-particle" : "", "family" : "Dempsey", "given" : "B. a.", "non-dropping-particle" : "", "parse-names" : false, "suffix" : "" }, { "dropping-particle" : "", "family" : "Roscoe", "given" : "H. C.", "non-dropping-particle" : "", "parse-names" : false, "suffix" : "" }, { "dropping-particle" : "", "family" : "Ames", "given" : "R.", "non-dropping-particle" : "", "parse-names" : false, "suffix" : "" }, { "dropping-particle" : "", "family" : "Hedin", "given" : "R.", "non-dropping-particle" : "", "parse-names" : false, "suffix" : "" }, { "dropping-particle" : "", "family" : "Jeon", "given" : "B.-H.", "non-dropping-particle" : "", "parse-names" : false, "suffix" : "" } ], "container-title" : "Geochemistry: Exploration, Environment, Analysis", "id" : "ITEM-2", "issue" : "Ii", "issued" : { "date-parts" : [ [ "2001" ] ] }, "page" : "81-88", "title" : "Ferrous oxidation chemistry in passive abiotic systems for the treatment of mine drainage", "type" : "article-journal", "volume" : "1" }, "uris" : [ "http://www.mendeley.com/documents/?uuid=fa579e0d-2447-4a8c-b674-4ee1ea84714b" ] } ], "mendeley" : { "formattedCitation" : "(Eggleston et al. 1996; Dempsey et al. 2001)", "plainTextFormattedCitation" : "(Eggleston et al. 1996; Dempsey et al. 2001)", "previouslyFormattedCitation" : "(Eggleston et al. 1996; Dempsey et al. 2001)" }, "properties" : { "noteIndex" : 0 }, "schema" : "https://github.com/citation-style-language/schema/raw/master/csl-citation.json" }</w:instrText>
      </w:r>
      <w:r>
        <w:rPr>
          <w:rFonts w:cstheme="minorHAnsi"/>
        </w:rPr>
        <w:fldChar w:fldCharType="separate"/>
      </w:r>
      <w:r w:rsidRPr="000052FF">
        <w:rPr>
          <w:rFonts w:cstheme="minorHAnsi"/>
          <w:noProof/>
        </w:rPr>
        <w:t>(</w:t>
      </w:r>
      <w:r w:rsidR="001A6133">
        <w:rPr>
          <w:rFonts w:cstheme="minorHAnsi"/>
          <w:noProof/>
        </w:rPr>
        <w:t xml:space="preserve">Singer and Stumm, 1970; </w:t>
      </w:r>
      <w:r w:rsidRPr="000052FF">
        <w:rPr>
          <w:rFonts w:cstheme="minorHAnsi"/>
          <w:noProof/>
        </w:rPr>
        <w:t>Eggleston et al. 1996; Dempsey et al. 2001)</w:t>
      </w:r>
      <w:r>
        <w:rPr>
          <w:rFonts w:cstheme="minorHAnsi"/>
        </w:rPr>
        <w:fldChar w:fldCharType="end"/>
      </w:r>
      <w:r w:rsidRPr="00A3487B">
        <w:rPr>
          <w:rFonts w:cstheme="minorHAnsi"/>
        </w:rPr>
        <w:t xml:space="preserve">. For physical removal, the rate of sedimentation is dependent on floc size and density and can be described </w:t>
      </w:r>
      <w:r w:rsidRPr="00A3487B">
        <w:rPr>
          <w:rFonts w:cstheme="minorHAnsi"/>
        </w:rPr>
        <w:lastRenderedPageBreak/>
        <w:t xml:space="preserve">using a modified version of Stokes Law to account for non-spherical particles </w:t>
      </w:r>
      <w:r>
        <w:rPr>
          <w:rFonts w:cstheme="minorHAnsi"/>
        </w:rPr>
        <w:fldChar w:fldCharType="begin" w:fldLock="1"/>
      </w:r>
      <w:r>
        <w:rPr>
          <w:rFonts w:cstheme="minorHAnsi"/>
        </w:rPr>
        <w:instrText>ADDIN CSL_CITATION { "citationItems" : [ { "id" : "ITEM-1", "itemData" : { "author" : [ { "dropping-particle" : "", "family" : "Rajat Kanti Chakraborti and Jagjit Kaur", "given" : "", "non-dropping-particle" : "", "parse-names" : false, "suffix" : "" } ], "container-title" : "Journal of Environmental Engineering", "id" : "ITEM-1", "issue" : "2", "issued" : { "date-parts" : [ [ "2014" ] ] }, "title" : "Noninvasive Measurement of Particle-Settling Velocity and Comparison with Stokes\u2019 Law", "type" : "article-journal", "volume" : "140" }, "uris" : [ "http://www.mendeley.com/documents/?uuid=0b5779d2-47b5-43bb-baca-14144762cb09" ] } ], "mendeley" : { "formattedCitation" : "(Rajat Kanti Chakraborti and Jagjit Kaur 2014)", "plainTextFormattedCitation" : "(Rajat Kanti Chakraborti and Jagjit Kaur 2014)", "previouslyFormattedCitation" : "(Rajat Kanti Chakraborti and Jagjit Kaur 2014)" }, "properties" : { "noteIndex" : 0 }, "schema" : "https://github.com/citation-style-language/schema/raw/master/csl-citation.json" }</w:instrText>
      </w:r>
      <w:r>
        <w:rPr>
          <w:rFonts w:cstheme="minorHAnsi"/>
        </w:rPr>
        <w:fldChar w:fldCharType="separate"/>
      </w:r>
      <w:r w:rsidRPr="002B5ECD">
        <w:rPr>
          <w:rFonts w:cstheme="minorHAnsi"/>
          <w:noProof/>
        </w:rPr>
        <w:t xml:space="preserve"> </w:t>
      </w:r>
      <w:r w:rsidR="001A6133">
        <w:rPr>
          <w:rFonts w:cstheme="minorHAnsi"/>
          <w:noProof/>
        </w:rPr>
        <w:t>(</w:t>
      </w:r>
      <w:r w:rsidRPr="002B5ECD">
        <w:rPr>
          <w:rFonts w:cstheme="minorHAnsi"/>
          <w:noProof/>
        </w:rPr>
        <w:t xml:space="preserve">Chakraborti and </w:t>
      </w:r>
      <w:r w:rsidR="001A6133" w:rsidRPr="002B5ECD">
        <w:rPr>
          <w:rFonts w:cstheme="minorHAnsi"/>
          <w:noProof/>
        </w:rPr>
        <w:t xml:space="preserve"> </w:t>
      </w:r>
      <w:r w:rsidRPr="002B5ECD">
        <w:rPr>
          <w:rFonts w:cstheme="minorHAnsi"/>
          <w:noProof/>
        </w:rPr>
        <w:t>Kaur 2014)</w:t>
      </w:r>
      <w:r>
        <w:rPr>
          <w:rFonts w:cstheme="minorHAnsi"/>
        </w:rPr>
        <w:fldChar w:fldCharType="end"/>
      </w:r>
      <w:r>
        <w:rPr>
          <w:rFonts w:cstheme="minorHAnsi"/>
        </w:rPr>
        <w:t>.</w:t>
      </w:r>
    </w:p>
    <w:p w14:paraId="67594E94" w14:textId="77777777" w:rsidR="00B12D30" w:rsidRPr="00A3487B" w:rsidRDefault="00B12D30" w:rsidP="00B12D30">
      <w:pPr>
        <w:spacing w:line="480" w:lineRule="auto"/>
        <w:jc w:val="both"/>
        <w:rPr>
          <w:rFonts w:cstheme="minorHAnsi"/>
        </w:rPr>
      </w:pPr>
      <w:r w:rsidRPr="00A3487B">
        <w:rPr>
          <w:rFonts w:cstheme="minorHAnsi"/>
        </w:rPr>
        <w:t xml:space="preserve">Performance assessment is a reactive strategy to investigate treatment system operation and maintenance practices on a case by case basis. This strategy is used to refine system designs for future projects, but can also be used to retrofit existing designs for select performance deficiencies.  One practice to assess metals removal efficiency of a treatment system, unit, or cell is to measure the difference between influent and effluent metals concentrations and mass loadings </w:t>
      </w:r>
      <w:r>
        <w:rPr>
          <w:rFonts w:cstheme="minorHAnsi"/>
        </w:rPr>
        <w:t>(Equation 2.3</w:t>
      </w:r>
      <w:r w:rsidRPr="00A3487B">
        <w:rPr>
          <w:rFonts w:cstheme="minorHAnsi"/>
        </w:rPr>
        <w:t>) (</w:t>
      </w:r>
      <w:proofErr w:type="spellStart"/>
      <w:r w:rsidRPr="00A3487B">
        <w:rPr>
          <w:rFonts w:cstheme="minorHAnsi"/>
        </w:rPr>
        <w:t>Wieder</w:t>
      </w:r>
      <w:proofErr w:type="spellEnd"/>
      <w:r w:rsidRPr="00A3487B">
        <w:rPr>
          <w:rFonts w:cstheme="minorHAnsi"/>
        </w:rPr>
        <w:t xml:space="preserve"> 1989). However, this is not currently used as an effective metric for performance assessment. Rather, surface area adjusted removal efficiency (Equation </w:t>
      </w:r>
      <w:r>
        <w:rPr>
          <w:rFonts w:cstheme="minorHAnsi"/>
        </w:rPr>
        <w:t>2.4</w:t>
      </w:r>
      <w:r w:rsidRPr="00A3487B">
        <w:rPr>
          <w:rFonts w:cstheme="minorHAnsi"/>
        </w:rPr>
        <w:t xml:space="preserve">) accounts for </w:t>
      </w:r>
      <w:proofErr w:type="spellStart"/>
      <w:r w:rsidRPr="00A3487B">
        <w:rPr>
          <w:rFonts w:cstheme="minorHAnsi"/>
        </w:rPr>
        <w:t>analyte</w:t>
      </w:r>
      <w:proofErr w:type="spellEnd"/>
      <w:r w:rsidRPr="00A3487B">
        <w:rPr>
          <w:rFonts w:cstheme="minorHAnsi"/>
        </w:rPr>
        <w:t xml:space="preserve"> loadings rather than concentrations </w:t>
      </w:r>
      <w:r>
        <w:rPr>
          <w:rFonts w:cstheme="minorHAnsi"/>
        </w:rPr>
        <w:fldChar w:fldCharType="begin" w:fldLock="1"/>
      </w:r>
      <w:r>
        <w:rPr>
          <w:rFonts w:cstheme="minorHAnsi"/>
        </w:rPr>
        <w:instrText>ADDIN CSL_CITATION { "citationItems" : [ { "id" : "ITEM-1", "itemData" : { "abstract" : "The passive treatment of contaminated coal mine drainage is a rapidly growing and evolving technology. Passive systems typically require less operation and maintenance efforts and are less expensive than conventional treatment systems. Three principal types of passive technologies currently exist for the treatment of coal mine drainage: the aerobic system, the compost wetland, and the anoxic limestone drain.", "author" : [ { "dropping-particle" : "", "family" : "Hedin", "given" : "Robert S.", "non-dropping-particle" : "", "parse-names" : false, "suffix" : "" }, { "dropping-particle" : "", "family" : "Nairn", "given" : "Robert W.", "non-dropping-particle" : "", "parse-names" : false, "suffix" : "" } ], "id" : "ITEM-1", "issued" : { "date-parts" : [ [ "1992" ] ] }, "page" : "Online", "title" : "Designing and Sizing Passive Mine Drainage Treatment Systems", "type" : "article-journal" }, "uris" : [ "http://www.mendeley.com/documents/?uuid=255110f5-67f2-4158-8bef-f096ac8c30f4" ] } ], "mendeley" : { "formattedCitation" : "(Hedin and Nairn 1992)", "plainTextFormattedCitation" : "(Hedin and Nairn 1992)", "previouslyFormattedCitation" : "(Hedin and Nairn 1992)" }, "properties" : { "noteIndex" : 0 }, "schema" : "https://github.com/citation-style-language/schema/raw/master/csl-citation.json" }</w:instrText>
      </w:r>
      <w:r>
        <w:rPr>
          <w:rFonts w:cstheme="minorHAnsi"/>
        </w:rPr>
        <w:fldChar w:fldCharType="separate"/>
      </w:r>
      <w:r w:rsidRPr="008E53B0">
        <w:rPr>
          <w:rFonts w:cstheme="minorHAnsi"/>
          <w:noProof/>
        </w:rPr>
        <w:t>(Hedin and Nairn 1992)</w:t>
      </w:r>
      <w:r>
        <w:rPr>
          <w:rFonts w:cstheme="minorHAnsi"/>
        </w:rPr>
        <w:fldChar w:fldCharType="end"/>
      </w:r>
      <w:r w:rsidRPr="00A3487B">
        <w:rPr>
          <w:rFonts w:cstheme="minorHAnsi"/>
        </w:rPr>
        <w:t>, and the first order removal (k</w:t>
      </w:r>
      <w:r w:rsidRPr="00A3487B">
        <w:rPr>
          <w:rFonts w:cstheme="minorHAnsi"/>
          <w:vertAlign w:val="subscript"/>
        </w:rPr>
        <w:t>1</w:t>
      </w:r>
      <w:r w:rsidRPr="00A3487B">
        <w:rPr>
          <w:rFonts w:cstheme="minorHAnsi"/>
        </w:rPr>
        <w:t xml:space="preserve"> in m/day) </w:t>
      </w:r>
      <w:r>
        <w:rPr>
          <w:rFonts w:cstheme="minorHAnsi"/>
        </w:rPr>
        <w:t xml:space="preserve">has </w:t>
      </w:r>
      <w:r w:rsidRPr="00A3487B">
        <w:rPr>
          <w:rFonts w:cstheme="minorHAnsi"/>
        </w:rPr>
        <w:t>be</w:t>
      </w:r>
      <w:r>
        <w:rPr>
          <w:rFonts w:cstheme="minorHAnsi"/>
        </w:rPr>
        <w:t>en</w:t>
      </w:r>
      <w:r w:rsidRPr="00A3487B">
        <w:rPr>
          <w:rFonts w:cstheme="minorHAnsi"/>
        </w:rPr>
        <w:t xml:space="preserve"> derived by </w:t>
      </w:r>
      <w:r>
        <w:rPr>
          <w:rFonts w:cstheme="minorHAnsi"/>
        </w:rPr>
        <w:fldChar w:fldCharType="begin" w:fldLock="1"/>
      </w:r>
      <w:r>
        <w:rPr>
          <w:rFonts w:cstheme="minorHAnsi"/>
        </w:rPr>
        <w:instrText>ADDIN CSL_CITATION { "citationItems" : [ { "id" : "ITEM-1", "itemData" : { "DOI" : "10.1016/S0925-8574(98)00114-1", "ISBN" : "1570961786", "ISSN" : "09258574", "abstract" : "The effectiveness of wetland treatment of acid mine drainage (AMD) was assessed using three measures of performance: treatment efficiency, area-adjusted removal, and first-order removal. Mathematical relationships between these measures were derived from simple kinetic equations. Area-adjusted removal is independent of pollutant concentration (zero-order reaction kinetics), while first-order removal is dependent on concentration. Treatment efficiency is linearly related to area-adjusted removal and exponentially related to first-order removal at constant hydraulic loading rates (flow/area). Examination of previously published data from 35 natural AMD wetlands revealed that statistically significant correlations exist between several of the performance measures for both iron and manganese removal, but these correlations are potentially spurious because these measures are derived from, and are mathematical rearrangements of, the same operating data. The use of treatment efficiency as a measure of performance between wetlands is not recommended because it is a relative measure that does not account for influent concentration differences. Area-adjusted removal accounts for mass loading effects, but it fails to separate the flow and concentration components, which is necessary if removal is first-order. Available empirical evidence suggests that AMD pollutant removal is better described by first-order kinetics. If removal is first-order, the use of area-adjusted rates for determining the wetland area required for treating relatively low pollutant concentrations will result in undersized wetlands. The effects of concentration and flow rate on wetland area predictions for constant influent loading rates also depend on the kinetics of pollutant removal. If removal is zero-order, the wetland area required to treat a discharge to meet some target effluent concentration is a decreasing linear function of influent concentration (and an inverse function of flow rate). However, if removal is first-order, the required wetland area is a non-linear function of the relative influent concentration. Further research is needed for developing accurate first-order rate constants as a function of influent water chemistry and ecosystem characteristics in order to successfully apply the first-order removal model to the design of more effective AMD wetland treatment systems.", "author" : [ { "dropping-particle" : "", "family" : "Tarutis", "given" : "William J.", "non-dropping-particle" : "", "parse-names" : false, "suffix" : "" }, { "dropping-particle" : "", "family" : "Stark", "given" : "Lloyd R.", "non-dropping-particle" : "", "parse-names" : false, "suffix" : "" }, { "dropping-particle" : "", "family" : "Williams", "given" : "Frederick M.", "non-dropping-particle" : "", "parse-names" : false, "suffix" : "" } ], "container-title" : "Ecological Engineering", "id" : "ITEM-1", "issued" : { "date-parts" : [ [ "1999" ] ] }, "page" : "353-372", "title" : "Sizing and performance estimation of coal mine drainage wetlands", "type" : "article-journal", "volume" : "12" }, "uris" : [ "http://www.mendeley.com/documents/?uuid=be8242f2-412e-42b4-96ad-98d2a8031e31" ] } ], "mendeley" : { "formattedCitation" : "(Tarutis et al. 1999)", "plainTextFormattedCitation" : "(Tarutis et al. 1999)", "previouslyFormattedCitation" : "(Tarutis et al. 1999)" }, "properties" : { "noteIndex" : 0 }, "schema" : "https://github.com/citation-style-language/schema/raw/master/csl-citation.json" }</w:instrText>
      </w:r>
      <w:r>
        <w:rPr>
          <w:rFonts w:cstheme="minorHAnsi"/>
        </w:rPr>
        <w:fldChar w:fldCharType="separate"/>
      </w:r>
      <w:r w:rsidRPr="002B5ECD">
        <w:rPr>
          <w:rFonts w:cstheme="minorHAnsi"/>
          <w:noProof/>
        </w:rPr>
        <w:t>Tarutis et al. 1999</w:t>
      </w:r>
      <w:r>
        <w:rPr>
          <w:rFonts w:cstheme="minorHAnsi"/>
        </w:rPr>
        <w:fldChar w:fldCharType="end"/>
      </w:r>
      <w:r>
        <w:rPr>
          <w:rFonts w:cstheme="minorHAnsi"/>
        </w:rPr>
        <w:t>(</w:t>
      </w:r>
      <w:r w:rsidRPr="00A3487B">
        <w:rPr>
          <w:rFonts w:cstheme="minorHAnsi"/>
        </w:rPr>
        <w:t xml:space="preserve">Equation </w:t>
      </w:r>
      <w:r>
        <w:rPr>
          <w:rFonts w:cstheme="minorHAnsi"/>
        </w:rPr>
        <w:t>2.5)</w:t>
      </w:r>
      <w:r w:rsidRPr="00A3487B">
        <w:rPr>
          <w:rFonts w:cstheme="minorHAnsi"/>
        </w:rPr>
        <w:t xml:space="preserve">. </w:t>
      </w:r>
    </w:p>
    <w:p w14:paraId="68286BB0" w14:textId="34B98638" w:rsidR="00B12D30" w:rsidRPr="00A3487B" w:rsidRDefault="00B12D30" w:rsidP="00B12D30">
      <w:pPr>
        <w:spacing w:line="480" w:lineRule="auto"/>
        <w:ind w:firstLine="720"/>
        <w:jc w:val="both"/>
        <w:rPr>
          <w:rFonts w:cstheme="minorHAnsi"/>
        </w:rPr>
      </w:pPr>
      <w:r w:rsidRPr="00A3487B">
        <w:rPr>
          <w:rFonts w:cstheme="minorHAnsi"/>
        </w:rPr>
        <w:t>Treatment Efficiency (%) = (</w:t>
      </w:r>
      <w:proofErr w:type="spellStart"/>
      <w:r w:rsidRPr="00A3487B">
        <w:rPr>
          <w:rFonts w:cstheme="minorHAnsi"/>
        </w:rPr>
        <w:t>C</w:t>
      </w:r>
      <w:r w:rsidRPr="00A3487B">
        <w:rPr>
          <w:rFonts w:cstheme="minorHAnsi"/>
          <w:vertAlign w:val="subscript"/>
        </w:rPr>
        <w:t>in</w:t>
      </w:r>
      <w:r w:rsidRPr="00A3487B">
        <w:rPr>
          <w:rFonts w:cstheme="minorHAnsi"/>
        </w:rPr>
        <w:t>-C</w:t>
      </w:r>
      <w:r w:rsidRPr="00A3487B">
        <w:rPr>
          <w:rFonts w:cstheme="minorHAnsi"/>
          <w:vertAlign w:val="subscript"/>
        </w:rPr>
        <w:t>out</w:t>
      </w:r>
      <w:proofErr w:type="spellEnd"/>
      <w:r w:rsidRPr="00A3487B">
        <w:rPr>
          <w:rFonts w:cstheme="minorHAnsi"/>
        </w:rPr>
        <w:t>)/</w:t>
      </w:r>
      <w:proofErr w:type="spellStart"/>
      <w:r w:rsidRPr="00A3487B">
        <w:rPr>
          <w:rFonts w:cstheme="minorHAnsi"/>
        </w:rPr>
        <w:t>C</w:t>
      </w:r>
      <w:r w:rsidRPr="00A3487B">
        <w:rPr>
          <w:rFonts w:cstheme="minorHAnsi"/>
          <w:vertAlign w:val="subscript"/>
        </w:rPr>
        <w:t>in</w:t>
      </w:r>
      <w:proofErr w:type="spellEnd"/>
      <w:r w:rsidRPr="00A3487B">
        <w:rPr>
          <w:rFonts w:cstheme="minorHAnsi"/>
        </w:rPr>
        <w:t xml:space="preserve"> x 100</w:t>
      </w:r>
      <w:r w:rsidR="001A6133">
        <w:rPr>
          <w:rFonts w:cstheme="minorHAnsi"/>
        </w:rPr>
        <w:t xml:space="preserve">                                     </w:t>
      </w:r>
      <w:r>
        <w:rPr>
          <w:rFonts w:cstheme="minorHAnsi"/>
        </w:rPr>
        <w:t xml:space="preserve">  </w:t>
      </w:r>
      <w:r w:rsidRPr="00A3487B">
        <w:rPr>
          <w:rFonts w:cstheme="minorHAnsi"/>
        </w:rPr>
        <w:t xml:space="preserve"> </w:t>
      </w:r>
      <w:r>
        <w:rPr>
          <w:rFonts w:cstheme="minorHAnsi"/>
        </w:rPr>
        <w:t xml:space="preserve">    </w:t>
      </w:r>
      <w:proofErr w:type="gramStart"/>
      <w:r>
        <w:rPr>
          <w:rFonts w:cstheme="minorHAnsi"/>
        </w:rPr>
        <w:t xml:space="preserve">   </w:t>
      </w:r>
      <w:r w:rsidRPr="00A3487B">
        <w:rPr>
          <w:rFonts w:cstheme="minorHAnsi"/>
        </w:rPr>
        <w:t>(</w:t>
      </w:r>
      <w:proofErr w:type="gramEnd"/>
      <w:r w:rsidRPr="00A3487B">
        <w:rPr>
          <w:rFonts w:cstheme="minorHAnsi"/>
        </w:rPr>
        <w:t xml:space="preserve">Equation </w:t>
      </w:r>
      <w:r>
        <w:rPr>
          <w:rFonts w:cstheme="minorHAnsi"/>
        </w:rPr>
        <w:t>2.3</w:t>
      </w:r>
      <w:r w:rsidRPr="00A3487B">
        <w:rPr>
          <w:rFonts w:cstheme="minorHAnsi"/>
        </w:rPr>
        <w:t>)</w:t>
      </w:r>
    </w:p>
    <w:p w14:paraId="71B83CAA" w14:textId="78B393E5" w:rsidR="00B12D30" w:rsidRPr="00A3487B" w:rsidRDefault="00B12D30" w:rsidP="00B12D30">
      <w:pPr>
        <w:spacing w:line="480" w:lineRule="auto"/>
        <w:ind w:firstLine="720"/>
        <w:jc w:val="both"/>
        <w:rPr>
          <w:rFonts w:cstheme="minorHAnsi"/>
        </w:rPr>
      </w:pPr>
      <w:r w:rsidRPr="00A3487B">
        <w:rPr>
          <w:rFonts w:cstheme="minorHAnsi"/>
        </w:rPr>
        <w:t>Area-adjusted Removal (g m</w:t>
      </w:r>
      <w:r w:rsidRPr="00A3487B">
        <w:rPr>
          <w:rFonts w:cstheme="minorHAnsi"/>
          <w:vertAlign w:val="superscript"/>
        </w:rPr>
        <w:t>-2</w:t>
      </w:r>
      <w:r w:rsidRPr="00A3487B">
        <w:rPr>
          <w:rFonts w:cstheme="minorHAnsi"/>
        </w:rPr>
        <w:t xml:space="preserve"> day</w:t>
      </w:r>
      <w:r w:rsidRPr="00A3487B">
        <w:rPr>
          <w:rFonts w:cstheme="minorHAnsi"/>
          <w:vertAlign w:val="superscript"/>
        </w:rPr>
        <w:t>-1</w:t>
      </w:r>
      <w:r w:rsidRPr="00A3487B">
        <w:rPr>
          <w:rFonts w:cstheme="minorHAnsi"/>
        </w:rPr>
        <w:t>) = (</w:t>
      </w:r>
      <w:proofErr w:type="spellStart"/>
      <w:r w:rsidRPr="00A3487B">
        <w:rPr>
          <w:rFonts w:cstheme="minorHAnsi"/>
        </w:rPr>
        <w:t>C</w:t>
      </w:r>
      <w:r w:rsidRPr="00A3487B">
        <w:rPr>
          <w:rFonts w:cstheme="minorHAnsi"/>
          <w:vertAlign w:val="subscript"/>
        </w:rPr>
        <w:t>in</w:t>
      </w:r>
      <w:r w:rsidRPr="00A3487B">
        <w:rPr>
          <w:rFonts w:cstheme="minorHAnsi"/>
        </w:rPr>
        <w:t>-</w:t>
      </w:r>
      <w:proofErr w:type="gramStart"/>
      <w:r w:rsidRPr="00A3487B">
        <w:rPr>
          <w:rFonts w:cstheme="minorHAnsi"/>
        </w:rPr>
        <w:t>C</w:t>
      </w:r>
      <w:r w:rsidRPr="00A3487B">
        <w:rPr>
          <w:rFonts w:cstheme="minorHAnsi"/>
          <w:vertAlign w:val="subscript"/>
        </w:rPr>
        <w:t>out</w:t>
      </w:r>
      <w:proofErr w:type="spellEnd"/>
      <w:r w:rsidR="001A6133">
        <w:rPr>
          <w:rFonts w:cstheme="minorHAnsi"/>
        </w:rPr>
        <w:t>)Q</w:t>
      </w:r>
      <w:proofErr w:type="gramEnd"/>
      <w:r w:rsidR="001A6133">
        <w:rPr>
          <w:rFonts w:cstheme="minorHAnsi"/>
        </w:rPr>
        <w:t xml:space="preserve">/A                         </w:t>
      </w:r>
      <w:r>
        <w:rPr>
          <w:rFonts w:cstheme="minorHAnsi"/>
        </w:rPr>
        <w:t xml:space="preserve">           (</w:t>
      </w:r>
      <w:r w:rsidRPr="00A3487B">
        <w:rPr>
          <w:rFonts w:cstheme="minorHAnsi"/>
        </w:rPr>
        <w:t xml:space="preserve">Equation </w:t>
      </w:r>
      <w:r>
        <w:rPr>
          <w:rFonts w:cstheme="minorHAnsi"/>
        </w:rPr>
        <w:t>2.4</w:t>
      </w:r>
      <w:r w:rsidRPr="00A3487B">
        <w:rPr>
          <w:rFonts w:cstheme="minorHAnsi"/>
        </w:rPr>
        <w:t>)</w:t>
      </w:r>
    </w:p>
    <w:p w14:paraId="43FC3E05" w14:textId="16140FCA" w:rsidR="00B12D30" w:rsidRPr="00A3487B" w:rsidRDefault="00B12D30" w:rsidP="00B12D30">
      <w:pPr>
        <w:spacing w:line="480" w:lineRule="auto"/>
        <w:ind w:firstLine="720"/>
        <w:jc w:val="both"/>
        <w:rPr>
          <w:rFonts w:cstheme="minorHAnsi"/>
        </w:rPr>
      </w:pPr>
      <w:r w:rsidRPr="00A3487B">
        <w:rPr>
          <w:rFonts w:cstheme="minorHAnsi"/>
        </w:rPr>
        <w:t>First-order removal (m day</w:t>
      </w:r>
      <w:r w:rsidRPr="00A3487B">
        <w:rPr>
          <w:rFonts w:cstheme="minorHAnsi"/>
          <w:vertAlign w:val="superscript"/>
        </w:rPr>
        <w:t>-1</w:t>
      </w:r>
      <w:r w:rsidRPr="00A3487B">
        <w:rPr>
          <w:rFonts w:cstheme="minorHAnsi"/>
        </w:rPr>
        <w:t>) = Q/A ln (</w:t>
      </w:r>
      <w:proofErr w:type="spellStart"/>
      <w:r w:rsidRPr="00A3487B">
        <w:rPr>
          <w:rFonts w:cstheme="minorHAnsi"/>
        </w:rPr>
        <w:t>C</w:t>
      </w:r>
      <w:r w:rsidRPr="00A3487B">
        <w:rPr>
          <w:rFonts w:cstheme="minorHAnsi"/>
          <w:vertAlign w:val="subscript"/>
        </w:rPr>
        <w:t>in</w:t>
      </w:r>
      <w:r w:rsidRPr="00A3487B">
        <w:rPr>
          <w:rFonts w:cstheme="minorHAnsi"/>
        </w:rPr>
        <w:t>-</w:t>
      </w:r>
      <w:proofErr w:type="gramStart"/>
      <w:r w:rsidRPr="00A3487B">
        <w:rPr>
          <w:rFonts w:cstheme="minorHAnsi"/>
        </w:rPr>
        <w:t>C</w:t>
      </w:r>
      <w:r w:rsidRPr="00A3487B">
        <w:rPr>
          <w:rFonts w:cstheme="minorHAnsi"/>
          <w:vertAlign w:val="subscript"/>
        </w:rPr>
        <w:t>out</w:t>
      </w:r>
      <w:proofErr w:type="spellEnd"/>
      <w:r w:rsidR="001A6133">
        <w:rPr>
          <w:rFonts w:cstheme="minorHAnsi"/>
        </w:rPr>
        <w:t xml:space="preserve">)   </w:t>
      </w:r>
      <w:proofErr w:type="gramEnd"/>
      <w:r w:rsidR="001A6133">
        <w:rPr>
          <w:rFonts w:cstheme="minorHAnsi"/>
        </w:rPr>
        <w:t xml:space="preserve">                </w:t>
      </w:r>
      <w:r>
        <w:rPr>
          <w:rFonts w:cstheme="minorHAnsi"/>
        </w:rPr>
        <w:t xml:space="preserve">                         </w:t>
      </w:r>
      <w:r w:rsidRPr="00A3487B">
        <w:rPr>
          <w:rFonts w:cstheme="minorHAnsi"/>
        </w:rPr>
        <w:t xml:space="preserve">(Equation </w:t>
      </w:r>
      <w:r>
        <w:rPr>
          <w:rFonts w:cstheme="minorHAnsi"/>
        </w:rPr>
        <w:t>2.5</w:t>
      </w:r>
      <w:r w:rsidRPr="00A3487B">
        <w:rPr>
          <w:rFonts w:cstheme="minorHAnsi"/>
        </w:rPr>
        <w:t>)</w:t>
      </w:r>
    </w:p>
    <w:p w14:paraId="3EE40DD3" w14:textId="379A3C9A" w:rsidR="00B12D30" w:rsidRPr="00A3487B" w:rsidRDefault="00B12D30" w:rsidP="00B12D30">
      <w:pPr>
        <w:spacing w:line="480" w:lineRule="auto"/>
        <w:jc w:val="both"/>
        <w:rPr>
          <w:rFonts w:cstheme="minorHAnsi"/>
        </w:rPr>
      </w:pPr>
      <w:r w:rsidRPr="00A3487B">
        <w:rPr>
          <w:rFonts w:cstheme="minorHAnsi"/>
        </w:rPr>
        <w:t>These performance indicators are limited in that they may not represent spatial and temporal variability within a treatment cell</w:t>
      </w:r>
      <w:r>
        <w:rPr>
          <w:rFonts w:cstheme="minorHAnsi"/>
        </w:rPr>
        <w:t xml:space="preserve"> </w:t>
      </w:r>
      <w:r>
        <w:rPr>
          <w:rFonts w:cstheme="minorHAnsi"/>
        </w:rPr>
        <w:fldChar w:fldCharType="begin" w:fldLock="1"/>
      </w:r>
      <w:r>
        <w:rPr>
          <w:rFonts w:cstheme="minorHAnsi"/>
        </w:rPr>
        <w:instrText>ADDIN CSL_CITATION { "citationItems" : [ { "id" : "ITEM-1", "itemData" : { "author" : [ { "dropping-particle" : "", "family" : "R. Kelman Wieder", "given" : "", "non-dropping-particle" : "", "parse-names" : false, "suffix" : "" } ], "container-title" : "Journal of Environment Quality", "id" : "ITEM-1", "issue" : "730-738", "issued" : { "date-parts" : [ [ "1993" ] ] }, "title" : "Diel Changes in Iron(III)/Iron(II) in Effluent from Constructed Acid Drainage Treatment Wetlands", "type" : "article-journal", "volume" : "23" }, "uris" : [ "http://www.mendeley.com/documents/?uuid=e0ff13f5-ee1f-4a5e-a047-855453bfd228" ] } ], "mendeley" : { "formattedCitation" : "(R. Kelman Wieder 1993)", "plainTextFormattedCitation" : "(R. Kelman Wieder 1993)", "previouslyFormattedCitation" : "(R. Kelman Wieder 1993)" }, "properties" : { "noteIndex" : 0 }, "schema" : "https://github.com/citation-style-language/schema/raw/master/csl-citation.json" }</w:instrText>
      </w:r>
      <w:r>
        <w:rPr>
          <w:rFonts w:cstheme="minorHAnsi"/>
        </w:rPr>
        <w:fldChar w:fldCharType="separate"/>
      </w:r>
      <w:r w:rsidRPr="00541C11">
        <w:rPr>
          <w:rFonts w:cstheme="minorHAnsi"/>
          <w:noProof/>
        </w:rPr>
        <w:t>(Wieder 1993)</w:t>
      </w:r>
      <w:r>
        <w:rPr>
          <w:rFonts w:cstheme="minorHAnsi"/>
        </w:rPr>
        <w:fldChar w:fldCharType="end"/>
      </w:r>
      <w:r w:rsidRPr="00A3487B">
        <w:rPr>
          <w:rFonts w:cstheme="minorHAnsi"/>
        </w:rPr>
        <w:t>. A survey of removal efficiency and area</w:t>
      </w:r>
      <w:r>
        <w:rPr>
          <w:rFonts w:cstheme="minorHAnsi"/>
        </w:rPr>
        <w:t>-</w:t>
      </w:r>
      <w:r w:rsidRPr="00A3487B">
        <w:rPr>
          <w:rFonts w:cstheme="minorHAnsi"/>
        </w:rPr>
        <w:t xml:space="preserve">adjusted removal rates with respect to position within a treatment cell will yield an enhanced mechanistic understanding of cell function within design (cell shape) and environmental (seasonal) constraints.  </w:t>
      </w:r>
      <w:r>
        <w:rPr>
          <w:rFonts w:cstheme="minorHAnsi"/>
        </w:rPr>
        <w:t xml:space="preserve">The </w:t>
      </w:r>
      <w:r w:rsidRPr="00A3487B">
        <w:rPr>
          <w:rFonts w:cstheme="minorHAnsi"/>
        </w:rPr>
        <w:t xml:space="preserve">spatial distribution of total and dissolved metal concentrations with respect to the variables driving oxidation and hydrolysis rates (dissolved oxygen, pH, and temperature) will reveal the location of the dominant processes supporting optimal iron removal efficiency. This approach will provide essential insight into how the design of the </w:t>
      </w:r>
      <w:r w:rsidRPr="00A3487B">
        <w:rPr>
          <w:rFonts w:cstheme="minorHAnsi"/>
        </w:rPr>
        <w:lastRenderedPageBreak/>
        <w:t xml:space="preserve">treatment cell may be refined to optimize processes favoring iron removal and retention in the existing design, as well as insight into the design of future passive treatment systems in the region. </w:t>
      </w:r>
      <w:r w:rsidR="001A6133">
        <w:rPr>
          <w:rFonts w:cstheme="minorHAnsi"/>
        </w:rPr>
        <w:t>The iron removal</w:t>
      </w:r>
      <w:r>
        <w:rPr>
          <w:rFonts w:cstheme="minorHAnsi"/>
        </w:rPr>
        <w:t xml:space="preserve"> performance evaluation</w:t>
      </w:r>
      <w:r w:rsidR="001A6133">
        <w:rPr>
          <w:rFonts w:cstheme="minorHAnsi"/>
        </w:rPr>
        <w:t xml:space="preserve"> of the preliminary oxidation cell of a full-scale passive treatment system will </w:t>
      </w:r>
      <w:r>
        <w:rPr>
          <w:rFonts w:cstheme="minorHAnsi"/>
        </w:rPr>
        <w:t xml:space="preserve">describe </w:t>
      </w:r>
      <w:r w:rsidR="001A6133">
        <w:rPr>
          <w:rFonts w:cstheme="minorHAnsi"/>
        </w:rPr>
        <w:t xml:space="preserve">the </w:t>
      </w:r>
      <w:r>
        <w:rPr>
          <w:rFonts w:cstheme="minorHAnsi"/>
        </w:rPr>
        <w:t xml:space="preserve">progressive iron removal within the cell </w:t>
      </w:r>
      <w:r w:rsidR="001A6133">
        <w:rPr>
          <w:rFonts w:cstheme="minorHAnsi"/>
        </w:rPr>
        <w:t xml:space="preserve">rather than just assess performance based on influent/effluent monitoring. </w:t>
      </w:r>
      <w:r>
        <w:rPr>
          <w:rFonts w:cstheme="minorHAnsi"/>
        </w:rPr>
        <w:t xml:space="preserve">Progressive iron removal is documented through the collection of intracellular total and dissolved metals samples and </w:t>
      </w:r>
      <w:r w:rsidRPr="000837FB">
        <w:rPr>
          <w:rFonts w:cstheme="minorHAnsi"/>
          <w:i/>
        </w:rPr>
        <w:t>in situ</w:t>
      </w:r>
      <w:r>
        <w:rPr>
          <w:rFonts w:cstheme="minorHAnsi"/>
        </w:rPr>
        <w:t xml:space="preserve"> physicochemical measurements to assess [Fe</w:t>
      </w:r>
      <w:r w:rsidRPr="008E53B0">
        <w:rPr>
          <w:rFonts w:cstheme="minorHAnsi"/>
          <w:vertAlign w:val="superscript"/>
        </w:rPr>
        <w:t>2+</w:t>
      </w:r>
      <w:r>
        <w:rPr>
          <w:rFonts w:cstheme="minorHAnsi"/>
        </w:rPr>
        <w:t>]/[Fe</w:t>
      </w:r>
      <w:r w:rsidRPr="008E53B0">
        <w:rPr>
          <w:rFonts w:cstheme="minorHAnsi"/>
          <w:vertAlign w:val="superscript"/>
        </w:rPr>
        <w:t>3+</w:t>
      </w:r>
      <w:r>
        <w:rPr>
          <w:rFonts w:cstheme="minorHAnsi"/>
        </w:rPr>
        <w:t xml:space="preserve">] ratios within the water column. Removal is </w:t>
      </w:r>
      <w:r w:rsidR="001A6133">
        <w:rPr>
          <w:rFonts w:cstheme="minorHAnsi"/>
        </w:rPr>
        <w:t>achieved</w:t>
      </w:r>
      <w:r>
        <w:rPr>
          <w:rFonts w:cstheme="minorHAnsi"/>
        </w:rPr>
        <w:t xml:space="preserve"> </w:t>
      </w:r>
      <w:r w:rsidR="001A6133">
        <w:rPr>
          <w:rFonts w:cstheme="minorHAnsi"/>
        </w:rPr>
        <w:t xml:space="preserve">as </w:t>
      </w:r>
      <w:r>
        <w:rPr>
          <w:rFonts w:cstheme="minorHAnsi"/>
        </w:rPr>
        <w:t xml:space="preserve">precipitated iron (III) </w:t>
      </w:r>
      <w:proofErr w:type="spellStart"/>
      <w:r>
        <w:rPr>
          <w:rFonts w:cstheme="minorHAnsi"/>
        </w:rPr>
        <w:t>oxyhydroxides</w:t>
      </w:r>
      <w:proofErr w:type="spellEnd"/>
      <w:r>
        <w:rPr>
          <w:rFonts w:cstheme="minorHAnsi"/>
        </w:rPr>
        <w:t xml:space="preserve"> </w:t>
      </w:r>
      <w:r w:rsidR="001A6133">
        <w:rPr>
          <w:rFonts w:cstheme="minorHAnsi"/>
        </w:rPr>
        <w:t>settle</w:t>
      </w:r>
      <w:r>
        <w:rPr>
          <w:rFonts w:cstheme="minorHAnsi"/>
        </w:rPr>
        <w:t xml:space="preserve"> within the water column for long term storage before reaching the effluent of the treatment cell. The determination of how dissolved/particulate ratios and total iron mass loading change with position and season in the preliminary treatment cell will provide insight into how the design of the treatment cell relates to its intended function of removal and retention of solids.</w:t>
      </w:r>
    </w:p>
    <w:p w14:paraId="498E203F" w14:textId="77777777" w:rsidR="004C18DB" w:rsidRPr="004C18DB" w:rsidRDefault="004C18DB" w:rsidP="004C18DB">
      <w:pPr>
        <w:keepNext/>
        <w:keepLines/>
        <w:spacing w:before="240" w:after="0"/>
        <w:outlineLvl w:val="0"/>
        <w:rPr>
          <w:rFonts w:asciiTheme="majorHAnsi" w:eastAsiaTheme="majorEastAsia" w:hAnsiTheme="majorHAnsi" w:cstheme="majorBidi"/>
          <w:b/>
          <w:sz w:val="24"/>
          <w:szCs w:val="32"/>
        </w:rPr>
      </w:pPr>
      <w:r w:rsidRPr="004C18DB">
        <w:rPr>
          <w:rFonts w:asciiTheme="majorHAnsi" w:eastAsiaTheme="majorEastAsia" w:hAnsiTheme="majorHAnsi" w:cstheme="majorBidi"/>
          <w:b/>
          <w:sz w:val="24"/>
          <w:szCs w:val="32"/>
        </w:rPr>
        <w:t>Methods</w:t>
      </w:r>
    </w:p>
    <w:p w14:paraId="6C77DA77" w14:textId="77777777" w:rsidR="004C18DB" w:rsidRPr="004C18DB" w:rsidRDefault="004C18DB" w:rsidP="004C18DB"/>
    <w:p w14:paraId="4D04EF4E" w14:textId="77777777" w:rsidR="004C18DB" w:rsidRPr="004C18DB" w:rsidRDefault="004C18DB" w:rsidP="004C18DB">
      <w:pPr>
        <w:keepNext/>
        <w:keepLines/>
        <w:spacing w:before="40" w:after="0"/>
        <w:outlineLvl w:val="3"/>
        <w:rPr>
          <w:rFonts w:asciiTheme="majorHAnsi" w:eastAsiaTheme="majorEastAsia" w:hAnsiTheme="majorHAnsi" w:cstheme="majorBidi"/>
          <w:i/>
          <w:iCs/>
        </w:rPr>
      </w:pPr>
      <w:r w:rsidRPr="004C18DB">
        <w:rPr>
          <w:rFonts w:asciiTheme="majorHAnsi" w:eastAsiaTheme="majorEastAsia" w:hAnsiTheme="majorHAnsi" w:cstheme="majorBidi"/>
          <w:i/>
          <w:iCs/>
        </w:rPr>
        <w:t>Site Description</w:t>
      </w:r>
    </w:p>
    <w:p w14:paraId="515D68B7" w14:textId="77777777" w:rsidR="004C18DB" w:rsidRPr="004C18DB" w:rsidRDefault="004C18DB" w:rsidP="004C18DB"/>
    <w:p w14:paraId="0787051B" w14:textId="08C27C55" w:rsidR="004C18DB" w:rsidRPr="004C18DB" w:rsidRDefault="004C18DB" w:rsidP="004C18DB">
      <w:pPr>
        <w:spacing w:after="0" w:line="480" w:lineRule="auto"/>
        <w:jc w:val="both"/>
        <w:rPr>
          <w:rFonts w:cstheme="minorHAnsi"/>
          <w:bCs/>
        </w:rPr>
      </w:pPr>
      <w:r w:rsidRPr="004C18DB">
        <w:rPr>
          <w:rFonts w:cstheme="minorHAnsi"/>
        </w:rPr>
        <w:t>The Mayer Ranch Passive Treatment System at the Tar Creek Superfund Site near Commerce, OK was constructed in 2008, and was fully operational by January of 2009. The system was designed with a U-shaped oxidation pond (Cell 1) as the primary treatment step for three AMD discharges with a combined average flow of 400±63 L/min (n= 28; 2009-2013).  Cell 1 has a surface area of 4048 m</w:t>
      </w:r>
      <w:r w:rsidRPr="004C18DB">
        <w:rPr>
          <w:rFonts w:cstheme="minorHAnsi"/>
          <w:vertAlign w:val="superscript"/>
        </w:rPr>
        <w:t xml:space="preserve">2 </w:t>
      </w:r>
      <w:r w:rsidRPr="004C18DB">
        <w:rPr>
          <w:rFonts w:cstheme="minorHAnsi"/>
        </w:rPr>
        <w:t xml:space="preserve">and was designed based on a </w:t>
      </w:r>
      <w:r w:rsidRPr="004C18DB">
        <w:rPr>
          <w:rFonts w:cstheme="minorHAnsi"/>
          <w:bCs/>
        </w:rPr>
        <w:t>20 g/m</w:t>
      </w:r>
      <w:r w:rsidRPr="004C18DB">
        <w:rPr>
          <w:rFonts w:cstheme="minorHAnsi"/>
          <w:bCs/>
          <w:vertAlign w:val="superscript"/>
        </w:rPr>
        <w:t>-2</w:t>
      </w:r>
      <w:r w:rsidRPr="004C18DB">
        <w:rPr>
          <w:rFonts w:cstheme="minorHAnsi"/>
          <w:bCs/>
        </w:rPr>
        <w:t>/day</w:t>
      </w:r>
      <w:r w:rsidRPr="004C18DB">
        <w:rPr>
          <w:rFonts w:cstheme="minorHAnsi"/>
          <w:bCs/>
          <w:vertAlign w:val="superscript"/>
        </w:rPr>
        <w:t>-1</w:t>
      </w:r>
      <w:r w:rsidRPr="004C18DB">
        <w:rPr>
          <w:rFonts w:cstheme="minorHAnsi"/>
          <w:bCs/>
        </w:rPr>
        <w:t xml:space="preserve"> removal rate and a hydraulic retention time of 7.7 days. </w:t>
      </w:r>
      <w:r w:rsidRPr="004C18DB">
        <w:rPr>
          <w:rFonts w:cstheme="minorHAnsi"/>
        </w:rPr>
        <w:t xml:space="preserve">Previous work at this site had determined that Cell 1 has an average iron removal rate </w:t>
      </w:r>
      <w:r w:rsidRPr="004C18DB">
        <w:rPr>
          <w:rFonts w:cstheme="minorHAnsi"/>
          <w:bCs/>
        </w:rPr>
        <w:t>20 g/m</w:t>
      </w:r>
      <w:r w:rsidRPr="004C18DB">
        <w:rPr>
          <w:rFonts w:cstheme="minorHAnsi"/>
          <w:bCs/>
          <w:vertAlign w:val="superscript"/>
        </w:rPr>
        <w:t>-2</w:t>
      </w:r>
      <w:r w:rsidRPr="004C18DB">
        <w:rPr>
          <w:rFonts w:cstheme="minorHAnsi"/>
          <w:bCs/>
        </w:rPr>
        <w:t>/day</w:t>
      </w:r>
      <w:r w:rsidRPr="004C18DB">
        <w:rPr>
          <w:rFonts w:cstheme="minorHAnsi"/>
          <w:bCs/>
          <w:vertAlign w:val="superscript"/>
        </w:rPr>
        <w:t xml:space="preserve">-1 </w:t>
      </w:r>
      <w:r w:rsidRPr="004C18DB">
        <w:rPr>
          <w:rFonts w:cstheme="minorHAnsi"/>
          <w:bCs/>
        </w:rPr>
        <w:t xml:space="preserve">over the first year of operation </w:t>
      </w:r>
      <w:r w:rsidRPr="004C18DB">
        <w:rPr>
          <w:rFonts w:cstheme="minorHAnsi"/>
          <w:bCs/>
        </w:rPr>
        <w:fldChar w:fldCharType="begin" w:fldLock="1"/>
      </w:r>
      <w:r w:rsidRPr="004C18DB">
        <w:rPr>
          <w:rFonts w:cstheme="minorHAnsi"/>
          <w:bCs/>
        </w:rPr>
        <w:instrText>ADDIN CSL_CITATION { "citationItems" : [ { "id" : "ITEM-1", "itemData" : { "author" : [ { "dropping-particle" : "", "family" : "Nairn", "given" : "R W", "non-dropping-particle" : "", "parse-names" : false, "suffix" : "" }, { "dropping-particle" : "", "family" : "Labar", "given" : "J A", "non-dropping-particle" : "", "parse-names" : false, "suffix" : "" }, { "dropping-particle" : "", "family" : "Oxenford", "given" : "L R", "non-dropping-particle" : "", "parse-names" : false, "suffix" : "" }, { "dropping-particle" : "", "family" : "Page", "given" : "B J", "non-dropping-particle" : "", "parse-names" : false, "suffix" : "" }, { "dropping-particle" : "", "family" : "Shepherd", "given" : "N L", "non-dropping-particle" : "", "parse-names" : false, "suffix" : "" }, { "dropping-particle" : "", "family" : "Arango", "given" : "J", "non-dropping-particle" : "", "parse-names" : false, "suffix" : "" }, { "dropping-particle" : "", "family" : "Knox", "given" : "R C", "non-dropping-particle" : "", "parse-names" : false, "suffix" : "" } ], "id" : "ITEM-1", "issued" : { "date-parts" : [ [ "2009" ] ] }, "title" : "Restoring a Severely Disturbed Watershed via Ecological Engineering : Red Water at Tar Creek", "type" : "paper-conference" }, "uris" : [ "http://www.mendeley.com/documents/?uuid=e93d0fc5-e926-47ef-b555-2cb6bd67f9da" ] } ], "mendeley" : { "formattedCitation" : "(Nairn et al. 2009)", "plainTextFormattedCitation" : "(Nairn et al. 2009)", "previouslyFormattedCitation" : "(Nairn et al. 2009)" }, "properties" : { "noteIndex" : 0 }, "schema" : "https://github.com/citation-style-language/schema/raw/master/csl-citation.json" }</w:instrText>
      </w:r>
      <w:r w:rsidRPr="004C18DB">
        <w:rPr>
          <w:rFonts w:cstheme="minorHAnsi"/>
          <w:bCs/>
        </w:rPr>
        <w:fldChar w:fldCharType="separate"/>
      </w:r>
      <w:r w:rsidRPr="004C18DB">
        <w:rPr>
          <w:rFonts w:cstheme="minorHAnsi"/>
          <w:bCs/>
          <w:noProof/>
        </w:rPr>
        <w:t>(Nairn et al. 2009)</w:t>
      </w:r>
      <w:r w:rsidRPr="004C18DB">
        <w:rPr>
          <w:rFonts w:cstheme="minorHAnsi"/>
          <w:bCs/>
        </w:rPr>
        <w:fldChar w:fldCharType="end"/>
      </w:r>
      <w:r w:rsidRPr="004C18DB">
        <w:rPr>
          <w:rFonts w:cstheme="minorHAnsi"/>
          <w:bCs/>
        </w:rPr>
        <w:t xml:space="preserve"> and an average of 19.0 g/m</w:t>
      </w:r>
      <w:r w:rsidRPr="004C18DB">
        <w:rPr>
          <w:rFonts w:cstheme="minorHAnsi"/>
          <w:bCs/>
          <w:vertAlign w:val="superscript"/>
        </w:rPr>
        <w:t>-2</w:t>
      </w:r>
      <w:r w:rsidRPr="004C18DB">
        <w:rPr>
          <w:rFonts w:cstheme="minorHAnsi"/>
          <w:bCs/>
        </w:rPr>
        <w:t>/day</w:t>
      </w:r>
      <w:r w:rsidRPr="004C18DB">
        <w:rPr>
          <w:rFonts w:cstheme="minorHAnsi"/>
          <w:bCs/>
          <w:vertAlign w:val="superscript"/>
        </w:rPr>
        <w:t>-1</w:t>
      </w:r>
      <w:r w:rsidRPr="004C18DB">
        <w:rPr>
          <w:rFonts w:cstheme="minorHAnsi"/>
          <w:bCs/>
        </w:rPr>
        <w:t xml:space="preserve"> for the first five years of operation (2009-2013) based on influent/effluent grab sampling.</w:t>
      </w:r>
    </w:p>
    <w:p w14:paraId="61DBA15E" w14:textId="77777777" w:rsidR="004C18DB" w:rsidRPr="004C18DB" w:rsidRDefault="004C18DB" w:rsidP="004C18DB">
      <w:pPr>
        <w:spacing w:after="0" w:line="480" w:lineRule="auto"/>
        <w:jc w:val="both"/>
        <w:rPr>
          <w:rFonts w:cstheme="minorHAnsi"/>
          <w:bCs/>
        </w:rPr>
      </w:pPr>
      <w:r w:rsidRPr="004C18DB">
        <w:rPr>
          <w:rFonts w:cstheme="minorHAnsi"/>
          <w:bCs/>
        </w:rPr>
        <w:lastRenderedPageBreak/>
        <w:t>Sampling locations were selected based on physical features of the design, like points of flow restriction and curvature resulting in a change of flow direction. Figure 2.1 features an aerial photograph of Cell 1 with sample locations indicated.  Progressive</w:t>
      </w:r>
      <w:r w:rsidRPr="004C18DB">
        <w:rPr>
          <w:rFonts w:cstheme="minorHAnsi"/>
        </w:rPr>
        <w:t xml:space="preserve"> iron removal and storage patterns with increased distance from the AMD source of influent flow (horizontal component) as well as water quality changes with increased water depth (vertical component) were evaluated based on these locations.  </w:t>
      </w:r>
    </w:p>
    <w:p w14:paraId="41CA74B5" w14:textId="77777777" w:rsidR="004C18DB" w:rsidRPr="004C18DB" w:rsidRDefault="004C18DB" w:rsidP="004C18DB">
      <w:pPr>
        <w:spacing w:after="0" w:line="240" w:lineRule="auto"/>
        <w:jc w:val="both"/>
        <w:rPr>
          <w:rFonts w:cstheme="minorHAnsi"/>
          <w:sz w:val="20"/>
        </w:rPr>
      </w:pPr>
      <w:r w:rsidRPr="004C18DB">
        <w:rPr>
          <w:noProof/>
          <w:sz w:val="20"/>
        </w:rPr>
        <w:drawing>
          <wp:inline distT="0" distB="0" distL="0" distR="0" wp14:anchorId="7BBFA303" wp14:editId="7D2A1E7C">
            <wp:extent cx="5139690" cy="2877185"/>
            <wp:effectExtent l="0" t="0" r="381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6955" t="39268" r="27904" b="12037"/>
                    <a:stretch/>
                  </pic:blipFill>
                  <pic:spPr bwMode="auto">
                    <a:xfrm>
                      <a:off x="0" y="0"/>
                      <a:ext cx="5155714" cy="2886155"/>
                    </a:xfrm>
                    <a:prstGeom prst="rect">
                      <a:avLst/>
                    </a:prstGeom>
                    <a:ln>
                      <a:noFill/>
                    </a:ln>
                    <a:extLst>
                      <a:ext uri="{53640926-AAD7-44D8-BBD7-CCE9431645EC}">
                        <a14:shadowObscured xmlns:a14="http://schemas.microsoft.com/office/drawing/2010/main"/>
                      </a:ext>
                    </a:extLst>
                  </pic:spPr>
                </pic:pic>
              </a:graphicData>
            </a:graphic>
          </wp:inline>
        </w:drawing>
      </w:r>
    </w:p>
    <w:p w14:paraId="0EEC0A44" w14:textId="77777777" w:rsidR="004C18DB" w:rsidRPr="004C18DB" w:rsidRDefault="004C18DB" w:rsidP="004C18DB">
      <w:pPr>
        <w:spacing w:line="240" w:lineRule="auto"/>
        <w:rPr>
          <w:rFonts w:cstheme="minorHAnsi"/>
          <w:sz w:val="20"/>
        </w:rPr>
      </w:pPr>
      <w:r w:rsidRPr="004C18DB">
        <w:rPr>
          <w:rFonts w:cstheme="minorHAnsi"/>
          <w:sz w:val="20"/>
        </w:rPr>
        <w:t>Figure 2.1: Cell 1 progressive iron profile sample locations with corresponding sample types collected at each location. Influent and effluent flows noted with yellow arrows.</w:t>
      </w:r>
    </w:p>
    <w:p w14:paraId="10528343" w14:textId="77777777" w:rsidR="004C18DB" w:rsidRPr="004C18DB" w:rsidRDefault="004C18DB" w:rsidP="004C18DB">
      <w:pPr>
        <w:keepNext/>
        <w:keepLines/>
        <w:spacing w:before="40" w:after="0"/>
        <w:outlineLvl w:val="3"/>
        <w:rPr>
          <w:rFonts w:asciiTheme="majorHAnsi" w:eastAsiaTheme="majorEastAsia" w:hAnsiTheme="majorHAnsi" w:cstheme="majorBidi"/>
          <w:i/>
          <w:iCs/>
        </w:rPr>
      </w:pPr>
      <w:r w:rsidRPr="004C18DB">
        <w:rPr>
          <w:rFonts w:asciiTheme="majorHAnsi" w:eastAsiaTheme="majorEastAsia" w:hAnsiTheme="majorHAnsi" w:cstheme="majorBidi"/>
          <w:i/>
          <w:iCs/>
        </w:rPr>
        <w:t xml:space="preserve">Sampling </w:t>
      </w:r>
    </w:p>
    <w:p w14:paraId="4882496D" w14:textId="77777777" w:rsidR="004C18DB" w:rsidRPr="004C18DB" w:rsidRDefault="004C18DB" w:rsidP="004C18DB"/>
    <w:p w14:paraId="4947BB41" w14:textId="77777777" w:rsidR="004C18DB" w:rsidRPr="004C18DB" w:rsidRDefault="004C18DB" w:rsidP="004C18DB">
      <w:pPr>
        <w:spacing w:line="480" w:lineRule="auto"/>
        <w:jc w:val="both"/>
        <w:rPr>
          <w:rFonts w:cstheme="minorHAnsi"/>
        </w:rPr>
      </w:pPr>
      <w:r w:rsidRPr="004C18DB">
        <w:rPr>
          <w:rFonts w:cstheme="minorHAnsi"/>
        </w:rPr>
        <w:t xml:space="preserve">Cell 1 was divided into three sections based on visual inspection from aerial photographs.  These divisions were for sampling protocol only and did not represent any real type of boundary or separation within the cell itself.  Section 1 consists of the area in which all three mine water discharges enter the system (Seeps A, B, and D), and are assumed to be readily mixed prior to flowing through a narrow portion of the treatment cell (bottleneck) into Section 2.  Section 2 is characterized by the large U-bend on the farthest south side of the system.  Section 3 is designated as the final section of Cell 1 that includes the effluent discharge to the </w:t>
      </w:r>
      <w:r w:rsidRPr="004C18DB">
        <w:rPr>
          <w:rFonts w:cstheme="minorHAnsi"/>
        </w:rPr>
        <w:lastRenderedPageBreak/>
        <w:t xml:space="preserve">parallel treatment trains.  Each section includes a catwalk sampling structure (visible in Figure 2.1) that allows one to collect samples without extraneous disturbance to the water column or sediment deposits. The estimated distance of each sample location from where the influent seeps flow into the passive treatment cell are summarized in Table 2.1. </w:t>
      </w:r>
    </w:p>
    <w:p w14:paraId="5FE79297" w14:textId="77777777" w:rsidR="004C18DB" w:rsidRPr="004C18DB" w:rsidRDefault="004C18DB" w:rsidP="004C18DB">
      <w:pPr>
        <w:keepNext/>
        <w:keepLines/>
        <w:spacing w:before="40" w:after="0"/>
        <w:outlineLvl w:val="2"/>
        <w:rPr>
          <w:rFonts w:eastAsiaTheme="majorEastAsia" w:cstheme="majorBidi"/>
          <w:sz w:val="20"/>
          <w:szCs w:val="24"/>
        </w:rPr>
      </w:pPr>
      <w:r w:rsidRPr="004C18DB">
        <w:rPr>
          <w:rFonts w:eastAsiaTheme="majorEastAsia" w:cstheme="majorBidi"/>
          <w:sz w:val="20"/>
          <w:szCs w:val="24"/>
        </w:rPr>
        <w:t>Table 2.1: Distance from Influent AMD Discharges to progressive profile locations and the corresponding HRT as derived from the design time of 7.7 days for Cell 1</w:t>
      </w:r>
    </w:p>
    <w:tbl>
      <w:tblPr>
        <w:tblW w:w="8100" w:type="dxa"/>
        <w:tblLook w:val="04A0" w:firstRow="1" w:lastRow="0" w:firstColumn="1" w:lastColumn="0" w:noHBand="0" w:noVBand="1"/>
      </w:tblPr>
      <w:tblGrid>
        <w:gridCol w:w="3236"/>
        <w:gridCol w:w="724"/>
        <w:gridCol w:w="720"/>
        <w:gridCol w:w="720"/>
        <w:gridCol w:w="720"/>
        <w:gridCol w:w="720"/>
        <w:gridCol w:w="720"/>
        <w:gridCol w:w="571"/>
      </w:tblGrid>
      <w:tr w:rsidR="004C18DB" w:rsidRPr="004C18DB" w14:paraId="34809D84" w14:textId="77777777" w:rsidTr="004C18DB">
        <w:trPr>
          <w:trHeight w:val="315"/>
        </w:trPr>
        <w:tc>
          <w:tcPr>
            <w:tcW w:w="3236" w:type="dxa"/>
            <w:tcBorders>
              <w:top w:val="single" w:sz="4" w:space="0" w:color="auto"/>
              <w:left w:val="nil"/>
              <w:bottom w:val="double" w:sz="6" w:space="0" w:color="auto"/>
              <w:right w:val="nil"/>
            </w:tcBorders>
            <w:shd w:val="clear" w:color="auto" w:fill="auto"/>
            <w:noWrap/>
            <w:vAlign w:val="bottom"/>
            <w:hideMark/>
          </w:tcPr>
          <w:p w14:paraId="51EF8CDC" w14:textId="77777777" w:rsidR="004C18DB" w:rsidRPr="004C18DB" w:rsidRDefault="004C18DB" w:rsidP="004C18DB">
            <w:pPr>
              <w:spacing w:after="0" w:line="240" w:lineRule="auto"/>
              <w:jc w:val="right"/>
              <w:rPr>
                <w:rFonts w:eastAsia="Times New Roman" w:cs="Calibri"/>
                <w:color w:val="000000"/>
                <w:sz w:val="20"/>
                <w:szCs w:val="20"/>
              </w:rPr>
            </w:pPr>
            <w:r w:rsidRPr="004C18DB">
              <w:rPr>
                <w:rFonts w:eastAsia="Times New Roman" w:cs="Calibri"/>
                <w:color w:val="000000"/>
                <w:sz w:val="20"/>
                <w:szCs w:val="20"/>
              </w:rPr>
              <w:t xml:space="preserve"> Sample locations </w:t>
            </w:r>
            <w:r w:rsidRPr="004C18DB">
              <w:rPr>
                <w:rFonts w:eastAsia="Times New Roman" w:cs="Calibri"/>
                <w:color w:val="000000"/>
                <w:sz w:val="20"/>
                <w:szCs w:val="20"/>
              </w:rPr>
              <w:sym w:font="Wingdings" w:char="F0E0"/>
            </w:r>
          </w:p>
        </w:tc>
        <w:tc>
          <w:tcPr>
            <w:tcW w:w="724" w:type="dxa"/>
            <w:tcBorders>
              <w:top w:val="single" w:sz="4" w:space="0" w:color="auto"/>
              <w:left w:val="nil"/>
              <w:bottom w:val="double" w:sz="6" w:space="0" w:color="auto"/>
              <w:right w:val="nil"/>
            </w:tcBorders>
            <w:shd w:val="clear" w:color="auto" w:fill="auto"/>
            <w:noWrap/>
            <w:vAlign w:val="bottom"/>
            <w:hideMark/>
          </w:tcPr>
          <w:p w14:paraId="6DFBC43D"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4</w:t>
            </w:r>
          </w:p>
        </w:tc>
        <w:tc>
          <w:tcPr>
            <w:tcW w:w="720" w:type="dxa"/>
            <w:tcBorders>
              <w:top w:val="single" w:sz="4" w:space="0" w:color="auto"/>
              <w:left w:val="nil"/>
              <w:bottom w:val="double" w:sz="6" w:space="0" w:color="auto"/>
              <w:right w:val="nil"/>
            </w:tcBorders>
            <w:shd w:val="clear" w:color="auto" w:fill="auto"/>
            <w:noWrap/>
            <w:vAlign w:val="bottom"/>
            <w:hideMark/>
          </w:tcPr>
          <w:p w14:paraId="6EA43CB6"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5</w:t>
            </w:r>
          </w:p>
        </w:tc>
        <w:tc>
          <w:tcPr>
            <w:tcW w:w="720" w:type="dxa"/>
            <w:tcBorders>
              <w:top w:val="single" w:sz="4" w:space="0" w:color="auto"/>
              <w:left w:val="nil"/>
              <w:bottom w:val="double" w:sz="6" w:space="0" w:color="auto"/>
              <w:right w:val="nil"/>
            </w:tcBorders>
            <w:shd w:val="clear" w:color="auto" w:fill="auto"/>
            <w:noWrap/>
            <w:vAlign w:val="bottom"/>
            <w:hideMark/>
          </w:tcPr>
          <w:p w14:paraId="2DBA0954"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6</w:t>
            </w:r>
          </w:p>
        </w:tc>
        <w:tc>
          <w:tcPr>
            <w:tcW w:w="720" w:type="dxa"/>
            <w:tcBorders>
              <w:top w:val="single" w:sz="4" w:space="0" w:color="auto"/>
              <w:left w:val="nil"/>
              <w:bottom w:val="double" w:sz="6" w:space="0" w:color="auto"/>
              <w:right w:val="nil"/>
            </w:tcBorders>
            <w:shd w:val="clear" w:color="auto" w:fill="auto"/>
            <w:noWrap/>
            <w:vAlign w:val="bottom"/>
            <w:hideMark/>
          </w:tcPr>
          <w:p w14:paraId="5504B50E"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7</w:t>
            </w:r>
          </w:p>
        </w:tc>
        <w:tc>
          <w:tcPr>
            <w:tcW w:w="720" w:type="dxa"/>
            <w:tcBorders>
              <w:top w:val="single" w:sz="4" w:space="0" w:color="auto"/>
              <w:left w:val="nil"/>
              <w:bottom w:val="double" w:sz="6" w:space="0" w:color="auto"/>
              <w:right w:val="nil"/>
            </w:tcBorders>
            <w:shd w:val="clear" w:color="auto" w:fill="auto"/>
            <w:noWrap/>
            <w:vAlign w:val="bottom"/>
            <w:hideMark/>
          </w:tcPr>
          <w:p w14:paraId="30A2B640"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8</w:t>
            </w:r>
          </w:p>
        </w:tc>
        <w:tc>
          <w:tcPr>
            <w:tcW w:w="720" w:type="dxa"/>
            <w:tcBorders>
              <w:top w:val="single" w:sz="4" w:space="0" w:color="auto"/>
              <w:left w:val="nil"/>
              <w:bottom w:val="double" w:sz="6" w:space="0" w:color="auto"/>
              <w:right w:val="nil"/>
            </w:tcBorders>
            <w:shd w:val="clear" w:color="auto" w:fill="auto"/>
            <w:noWrap/>
            <w:vAlign w:val="bottom"/>
            <w:hideMark/>
          </w:tcPr>
          <w:p w14:paraId="6D3678C2"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9</w:t>
            </w:r>
          </w:p>
        </w:tc>
        <w:tc>
          <w:tcPr>
            <w:tcW w:w="540" w:type="dxa"/>
            <w:tcBorders>
              <w:top w:val="single" w:sz="4" w:space="0" w:color="auto"/>
              <w:left w:val="nil"/>
              <w:bottom w:val="double" w:sz="6" w:space="0" w:color="auto"/>
              <w:right w:val="nil"/>
            </w:tcBorders>
            <w:shd w:val="clear" w:color="auto" w:fill="auto"/>
            <w:noWrap/>
            <w:vAlign w:val="bottom"/>
            <w:hideMark/>
          </w:tcPr>
          <w:p w14:paraId="5DC39D91"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10</w:t>
            </w:r>
          </w:p>
        </w:tc>
      </w:tr>
      <w:tr w:rsidR="004C18DB" w:rsidRPr="004C18DB" w14:paraId="68640804" w14:textId="77777777" w:rsidTr="004C18DB">
        <w:trPr>
          <w:trHeight w:val="315"/>
        </w:trPr>
        <w:tc>
          <w:tcPr>
            <w:tcW w:w="3236" w:type="dxa"/>
            <w:tcBorders>
              <w:top w:val="nil"/>
              <w:left w:val="nil"/>
              <w:bottom w:val="nil"/>
              <w:right w:val="nil"/>
            </w:tcBorders>
            <w:shd w:val="clear" w:color="auto" w:fill="auto"/>
            <w:noWrap/>
            <w:vAlign w:val="bottom"/>
            <w:hideMark/>
          </w:tcPr>
          <w:p w14:paraId="4527A2A0" w14:textId="77777777" w:rsidR="004C18DB" w:rsidRPr="004C18DB" w:rsidRDefault="004C18DB" w:rsidP="004C18DB">
            <w:pPr>
              <w:spacing w:after="0" w:line="240" w:lineRule="auto"/>
              <w:rPr>
                <w:rFonts w:eastAsia="Times New Roman" w:cs="Calibri"/>
                <w:color w:val="000000"/>
                <w:sz w:val="20"/>
                <w:szCs w:val="20"/>
              </w:rPr>
            </w:pPr>
            <w:r w:rsidRPr="004C18DB">
              <w:rPr>
                <w:rFonts w:eastAsia="Times New Roman" w:cs="Calibri"/>
                <w:color w:val="000000"/>
                <w:sz w:val="20"/>
                <w:szCs w:val="20"/>
              </w:rPr>
              <w:t>Distance from AMD Source (Linear Meters)</w:t>
            </w:r>
          </w:p>
        </w:tc>
        <w:tc>
          <w:tcPr>
            <w:tcW w:w="724" w:type="dxa"/>
            <w:tcBorders>
              <w:top w:val="nil"/>
              <w:left w:val="nil"/>
              <w:bottom w:val="nil"/>
              <w:right w:val="nil"/>
            </w:tcBorders>
            <w:shd w:val="clear" w:color="auto" w:fill="auto"/>
            <w:noWrap/>
            <w:vAlign w:val="bottom"/>
            <w:hideMark/>
          </w:tcPr>
          <w:p w14:paraId="1C96AD84"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21.9*</w:t>
            </w:r>
          </w:p>
        </w:tc>
        <w:tc>
          <w:tcPr>
            <w:tcW w:w="720" w:type="dxa"/>
            <w:tcBorders>
              <w:top w:val="nil"/>
              <w:left w:val="nil"/>
              <w:bottom w:val="nil"/>
              <w:right w:val="nil"/>
            </w:tcBorders>
            <w:shd w:val="clear" w:color="auto" w:fill="auto"/>
            <w:noWrap/>
            <w:vAlign w:val="bottom"/>
            <w:hideMark/>
          </w:tcPr>
          <w:p w14:paraId="5B8B6F2D"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60.9</w:t>
            </w:r>
          </w:p>
        </w:tc>
        <w:tc>
          <w:tcPr>
            <w:tcW w:w="720" w:type="dxa"/>
            <w:tcBorders>
              <w:top w:val="nil"/>
              <w:left w:val="nil"/>
              <w:bottom w:val="nil"/>
              <w:right w:val="nil"/>
            </w:tcBorders>
            <w:shd w:val="clear" w:color="auto" w:fill="auto"/>
            <w:noWrap/>
            <w:vAlign w:val="bottom"/>
            <w:hideMark/>
          </w:tcPr>
          <w:p w14:paraId="0F350377"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88.9</w:t>
            </w:r>
          </w:p>
        </w:tc>
        <w:tc>
          <w:tcPr>
            <w:tcW w:w="720" w:type="dxa"/>
            <w:tcBorders>
              <w:top w:val="nil"/>
              <w:left w:val="nil"/>
              <w:bottom w:val="nil"/>
              <w:right w:val="nil"/>
            </w:tcBorders>
            <w:shd w:val="clear" w:color="auto" w:fill="auto"/>
            <w:noWrap/>
            <w:vAlign w:val="bottom"/>
            <w:hideMark/>
          </w:tcPr>
          <w:p w14:paraId="7FD2B834"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118</w:t>
            </w:r>
          </w:p>
        </w:tc>
        <w:tc>
          <w:tcPr>
            <w:tcW w:w="720" w:type="dxa"/>
            <w:tcBorders>
              <w:top w:val="nil"/>
              <w:left w:val="nil"/>
              <w:bottom w:val="nil"/>
              <w:right w:val="nil"/>
            </w:tcBorders>
            <w:shd w:val="clear" w:color="auto" w:fill="auto"/>
            <w:noWrap/>
            <w:vAlign w:val="bottom"/>
            <w:hideMark/>
          </w:tcPr>
          <w:p w14:paraId="51F1AA23"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170</w:t>
            </w:r>
          </w:p>
        </w:tc>
        <w:tc>
          <w:tcPr>
            <w:tcW w:w="720" w:type="dxa"/>
            <w:tcBorders>
              <w:top w:val="nil"/>
              <w:left w:val="nil"/>
              <w:bottom w:val="nil"/>
              <w:right w:val="nil"/>
            </w:tcBorders>
            <w:shd w:val="clear" w:color="auto" w:fill="auto"/>
            <w:noWrap/>
            <w:vAlign w:val="bottom"/>
            <w:hideMark/>
          </w:tcPr>
          <w:p w14:paraId="3F18D54F"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186</w:t>
            </w:r>
          </w:p>
        </w:tc>
        <w:tc>
          <w:tcPr>
            <w:tcW w:w="540" w:type="dxa"/>
            <w:tcBorders>
              <w:top w:val="nil"/>
              <w:left w:val="nil"/>
              <w:bottom w:val="nil"/>
              <w:right w:val="nil"/>
            </w:tcBorders>
            <w:shd w:val="clear" w:color="auto" w:fill="auto"/>
            <w:noWrap/>
            <w:vAlign w:val="bottom"/>
            <w:hideMark/>
          </w:tcPr>
          <w:p w14:paraId="36BC1450"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202</w:t>
            </w:r>
          </w:p>
        </w:tc>
      </w:tr>
      <w:tr w:rsidR="004C18DB" w:rsidRPr="004C18DB" w14:paraId="0EC857AB" w14:textId="77777777" w:rsidTr="004C18DB">
        <w:trPr>
          <w:trHeight w:val="300"/>
        </w:trPr>
        <w:tc>
          <w:tcPr>
            <w:tcW w:w="3236" w:type="dxa"/>
            <w:tcBorders>
              <w:top w:val="nil"/>
              <w:left w:val="nil"/>
              <w:bottom w:val="single" w:sz="4" w:space="0" w:color="auto"/>
              <w:right w:val="nil"/>
            </w:tcBorders>
            <w:shd w:val="clear" w:color="auto" w:fill="auto"/>
            <w:noWrap/>
            <w:vAlign w:val="bottom"/>
            <w:hideMark/>
          </w:tcPr>
          <w:p w14:paraId="6094822E" w14:textId="77777777" w:rsidR="004C18DB" w:rsidRPr="004C18DB" w:rsidRDefault="004C18DB" w:rsidP="004C18DB">
            <w:pPr>
              <w:spacing w:after="0" w:line="240" w:lineRule="auto"/>
              <w:rPr>
                <w:rFonts w:eastAsia="Times New Roman" w:cs="Calibri"/>
                <w:color w:val="000000"/>
                <w:sz w:val="20"/>
                <w:szCs w:val="20"/>
              </w:rPr>
            </w:pPr>
            <w:r w:rsidRPr="004C18DB">
              <w:rPr>
                <w:rFonts w:eastAsia="Times New Roman" w:cs="Calibri"/>
                <w:color w:val="000000"/>
                <w:sz w:val="20"/>
                <w:szCs w:val="20"/>
              </w:rPr>
              <w:t>Timing based on Design HRT (Days)</w:t>
            </w:r>
          </w:p>
        </w:tc>
        <w:tc>
          <w:tcPr>
            <w:tcW w:w="724" w:type="dxa"/>
            <w:tcBorders>
              <w:top w:val="nil"/>
              <w:left w:val="nil"/>
              <w:bottom w:val="single" w:sz="4" w:space="0" w:color="auto"/>
              <w:right w:val="nil"/>
            </w:tcBorders>
            <w:shd w:val="clear" w:color="auto" w:fill="auto"/>
            <w:noWrap/>
            <w:vAlign w:val="bottom"/>
            <w:hideMark/>
          </w:tcPr>
          <w:p w14:paraId="3C52FACC"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0.83</w:t>
            </w:r>
          </w:p>
        </w:tc>
        <w:tc>
          <w:tcPr>
            <w:tcW w:w="720" w:type="dxa"/>
            <w:tcBorders>
              <w:top w:val="nil"/>
              <w:left w:val="nil"/>
              <w:bottom w:val="single" w:sz="4" w:space="0" w:color="auto"/>
              <w:right w:val="nil"/>
            </w:tcBorders>
            <w:shd w:val="clear" w:color="auto" w:fill="auto"/>
            <w:noWrap/>
            <w:vAlign w:val="bottom"/>
            <w:hideMark/>
          </w:tcPr>
          <w:p w14:paraId="566C4704"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2.32</w:t>
            </w:r>
          </w:p>
        </w:tc>
        <w:tc>
          <w:tcPr>
            <w:tcW w:w="720" w:type="dxa"/>
            <w:tcBorders>
              <w:top w:val="nil"/>
              <w:left w:val="nil"/>
              <w:bottom w:val="single" w:sz="4" w:space="0" w:color="auto"/>
              <w:right w:val="nil"/>
            </w:tcBorders>
            <w:shd w:val="clear" w:color="auto" w:fill="auto"/>
            <w:noWrap/>
            <w:vAlign w:val="bottom"/>
            <w:hideMark/>
          </w:tcPr>
          <w:p w14:paraId="12ED354E"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3.39</w:t>
            </w:r>
          </w:p>
        </w:tc>
        <w:tc>
          <w:tcPr>
            <w:tcW w:w="720" w:type="dxa"/>
            <w:tcBorders>
              <w:top w:val="nil"/>
              <w:left w:val="nil"/>
              <w:bottom w:val="single" w:sz="4" w:space="0" w:color="auto"/>
              <w:right w:val="nil"/>
            </w:tcBorders>
            <w:shd w:val="clear" w:color="auto" w:fill="auto"/>
            <w:noWrap/>
            <w:vAlign w:val="bottom"/>
            <w:hideMark/>
          </w:tcPr>
          <w:p w14:paraId="3122A470"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4.50</w:t>
            </w:r>
          </w:p>
        </w:tc>
        <w:tc>
          <w:tcPr>
            <w:tcW w:w="720" w:type="dxa"/>
            <w:tcBorders>
              <w:top w:val="nil"/>
              <w:left w:val="nil"/>
              <w:bottom w:val="single" w:sz="4" w:space="0" w:color="auto"/>
              <w:right w:val="nil"/>
            </w:tcBorders>
            <w:shd w:val="clear" w:color="auto" w:fill="auto"/>
            <w:noWrap/>
            <w:vAlign w:val="bottom"/>
            <w:hideMark/>
          </w:tcPr>
          <w:p w14:paraId="190B31E2"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6.48</w:t>
            </w:r>
          </w:p>
        </w:tc>
        <w:tc>
          <w:tcPr>
            <w:tcW w:w="720" w:type="dxa"/>
            <w:tcBorders>
              <w:top w:val="nil"/>
              <w:left w:val="nil"/>
              <w:bottom w:val="single" w:sz="4" w:space="0" w:color="auto"/>
              <w:right w:val="nil"/>
            </w:tcBorders>
            <w:shd w:val="clear" w:color="auto" w:fill="auto"/>
            <w:noWrap/>
            <w:vAlign w:val="bottom"/>
            <w:hideMark/>
          </w:tcPr>
          <w:p w14:paraId="5D8572BB"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7.09</w:t>
            </w:r>
          </w:p>
        </w:tc>
        <w:tc>
          <w:tcPr>
            <w:tcW w:w="540" w:type="dxa"/>
            <w:tcBorders>
              <w:top w:val="nil"/>
              <w:left w:val="nil"/>
              <w:bottom w:val="single" w:sz="4" w:space="0" w:color="auto"/>
              <w:right w:val="nil"/>
            </w:tcBorders>
            <w:shd w:val="clear" w:color="auto" w:fill="auto"/>
            <w:noWrap/>
            <w:vAlign w:val="bottom"/>
            <w:hideMark/>
          </w:tcPr>
          <w:p w14:paraId="638F62A6" w14:textId="77777777" w:rsidR="004C18DB" w:rsidRPr="004C18DB" w:rsidRDefault="004C18DB" w:rsidP="004C18DB">
            <w:pPr>
              <w:spacing w:after="0" w:line="240" w:lineRule="auto"/>
              <w:jc w:val="center"/>
              <w:rPr>
                <w:rFonts w:eastAsia="Times New Roman" w:cs="Calibri"/>
                <w:color w:val="000000"/>
                <w:sz w:val="20"/>
                <w:szCs w:val="20"/>
              </w:rPr>
            </w:pPr>
            <w:r w:rsidRPr="004C18DB">
              <w:rPr>
                <w:rFonts w:eastAsia="Times New Roman" w:cs="Calibri"/>
                <w:color w:val="000000"/>
                <w:sz w:val="20"/>
                <w:szCs w:val="20"/>
              </w:rPr>
              <w:t>7.70</w:t>
            </w:r>
          </w:p>
        </w:tc>
      </w:tr>
      <w:tr w:rsidR="004C18DB" w:rsidRPr="004C18DB" w14:paraId="16C65FCA" w14:textId="77777777" w:rsidTr="004C18DB">
        <w:trPr>
          <w:trHeight w:val="300"/>
        </w:trPr>
        <w:tc>
          <w:tcPr>
            <w:tcW w:w="8100" w:type="dxa"/>
            <w:gridSpan w:val="8"/>
            <w:tcBorders>
              <w:top w:val="nil"/>
              <w:left w:val="nil"/>
              <w:bottom w:val="nil"/>
              <w:right w:val="nil"/>
            </w:tcBorders>
            <w:shd w:val="clear" w:color="auto" w:fill="auto"/>
            <w:noWrap/>
            <w:vAlign w:val="bottom"/>
            <w:hideMark/>
          </w:tcPr>
          <w:p w14:paraId="36D7FB09" w14:textId="77777777" w:rsidR="004C18DB" w:rsidRPr="004C18DB" w:rsidRDefault="004C18DB" w:rsidP="004C18DB">
            <w:pPr>
              <w:spacing w:after="0" w:line="240" w:lineRule="auto"/>
              <w:rPr>
                <w:rFonts w:eastAsia="Times New Roman"/>
                <w:sz w:val="20"/>
                <w:szCs w:val="20"/>
              </w:rPr>
            </w:pPr>
            <w:r w:rsidRPr="004C18DB">
              <w:rPr>
                <w:rFonts w:eastAsia="Times New Roman" w:cs="Calibri"/>
                <w:color w:val="000000"/>
                <w:sz w:val="20"/>
                <w:szCs w:val="20"/>
              </w:rPr>
              <w:t>*average linear distance from seeps A, B, D averaged to location 4</w:t>
            </w:r>
          </w:p>
        </w:tc>
      </w:tr>
    </w:tbl>
    <w:p w14:paraId="62C16279" w14:textId="77777777" w:rsidR="004C18DB" w:rsidRDefault="004C18DB" w:rsidP="004C18DB">
      <w:pPr>
        <w:spacing w:line="480" w:lineRule="auto"/>
        <w:jc w:val="both"/>
        <w:rPr>
          <w:rFonts w:cstheme="minorHAnsi"/>
        </w:rPr>
      </w:pPr>
    </w:p>
    <w:p w14:paraId="12636E40" w14:textId="037CB892" w:rsidR="004C18DB" w:rsidRPr="004C18DB" w:rsidRDefault="004C18DB" w:rsidP="004C18DB">
      <w:pPr>
        <w:spacing w:line="480" w:lineRule="auto"/>
        <w:jc w:val="both"/>
        <w:rPr>
          <w:rFonts w:cstheme="minorHAnsi"/>
        </w:rPr>
      </w:pPr>
      <w:r w:rsidRPr="004C18DB">
        <w:rPr>
          <w:rFonts w:cstheme="minorHAnsi"/>
        </w:rPr>
        <w:t xml:space="preserve">Measurements and samples were collected at each location over a three-year period (July 2009-April 2012) to evaluate iron removal profiles with respect to season (i.e., temperature) as water levels permitted.  Catwalks facilitated sample collection for the evaluation of the vertical component of the profile with increasing depths (surface, 0.5, 1.0, and 1.5 meters) from the edge of each catwalk structure. Vertical water column samples were collected using a discrete horizontal sampler common in </w:t>
      </w:r>
      <w:proofErr w:type="spellStart"/>
      <w:r w:rsidRPr="004C18DB">
        <w:rPr>
          <w:rFonts w:cstheme="minorHAnsi"/>
        </w:rPr>
        <w:t>limnological</w:t>
      </w:r>
      <w:proofErr w:type="spellEnd"/>
      <w:r w:rsidRPr="004C18DB">
        <w:rPr>
          <w:rFonts w:cstheme="minorHAnsi"/>
        </w:rPr>
        <w:t xml:space="preserve"> studies to capture samples with increasing depth in the water column.  Samples were collected starting from the surface, working towards increasingly deeper samples in order to prevent any unnecessary disturbance to the water column.  </w:t>
      </w:r>
      <w:r w:rsidRPr="004C18DB">
        <w:rPr>
          <w:rFonts w:cstheme="minorHAnsi"/>
          <w:i/>
        </w:rPr>
        <w:t>In-situ</w:t>
      </w:r>
      <w:r w:rsidRPr="004C18DB">
        <w:rPr>
          <w:rFonts w:cstheme="minorHAnsi"/>
        </w:rPr>
        <w:t xml:space="preserve"> measurements included pH, temperature (</w:t>
      </w:r>
      <w:proofErr w:type="spellStart"/>
      <w:r w:rsidRPr="004C18DB">
        <w:rPr>
          <w:rFonts w:cstheme="minorHAnsi"/>
          <w:vertAlign w:val="superscript"/>
        </w:rPr>
        <w:t>o</w:t>
      </w:r>
      <w:r w:rsidRPr="004C18DB">
        <w:rPr>
          <w:rFonts w:cstheme="minorHAnsi"/>
        </w:rPr>
        <w:t>C</w:t>
      </w:r>
      <w:proofErr w:type="spellEnd"/>
      <w:r w:rsidRPr="004C18DB">
        <w:rPr>
          <w:rFonts w:cstheme="minorHAnsi"/>
        </w:rPr>
        <w:t>), specific conductance (</w:t>
      </w:r>
      <w:proofErr w:type="spellStart"/>
      <w:r w:rsidRPr="004C18DB">
        <w:rPr>
          <w:rFonts w:cstheme="minorHAnsi"/>
        </w:rPr>
        <w:t>mS</w:t>
      </w:r>
      <w:proofErr w:type="spellEnd"/>
      <w:r w:rsidRPr="004C18DB">
        <w:rPr>
          <w:rFonts w:cstheme="minorHAnsi"/>
        </w:rPr>
        <w:t xml:space="preserve">/cm), dissolved oxygen (%Sat), and oxidation-reduction potential (mV). </w:t>
      </w:r>
    </w:p>
    <w:p w14:paraId="0B894FDD" w14:textId="77777777" w:rsidR="004C18DB" w:rsidRPr="004C18DB" w:rsidRDefault="004C18DB" w:rsidP="004C18DB">
      <w:pPr>
        <w:keepNext/>
        <w:keepLines/>
        <w:spacing w:before="40" w:after="0"/>
        <w:outlineLvl w:val="3"/>
        <w:rPr>
          <w:rFonts w:asciiTheme="majorHAnsi" w:eastAsiaTheme="majorEastAsia" w:hAnsiTheme="majorHAnsi" w:cstheme="majorBidi"/>
          <w:i/>
          <w:iCs/>
        </w:rPr>
      </w:pPr>
      <w:r w:rsidRPr="004C18DB">
        <w:rPr>
          <w:rFonts w:asciiTheme="majorHAnsi" w:eastAsiaTheme="majorEastAsia" w:hAnsiTheme="majorHAnsi" w:cstheme="majorBidi"/>
          <w:i/>
          <w:iCs/>
        </w:rPr>
        <w:t xml:space="preserve">Sample Analysis </w:t>
      </w:r>
    </w:p>
    <w:p w14:paraId="2DC9971F" w14:textId="77777777" w:rsidR="004C18DB" w:rsidRPr="004C18DB" w:rsidRDefault="004C18DB" w:rsidP="004C18DB"/>
    <w:p w14:paraId="29B73ED4" w14:textId="6CBC5AAB" w:rsidR="004C18DB" w:rsidRPr="004C18DB" w:rsidRDefault="004C18DB" w:rsidP="004C18DB">
      <w:pPr>
        <w:spacing w:line="480" w:lineRule="auto"/>
        <w:jc w:val="both"/>
        <w:rPr>
          <w:rFonts w:cstheme="minorHAnsi"/>
        </w:rPr>
      </w:pPr>
      <w:r w:rsidRPr="004C18DB">
        <w:rPr>
          <w:rFonts w:cstheme="minorHAnsi"/>
        </w:rPr>
        <w:t>Total metals, dissolved metals, and anion grab samples were collected at each location. The dissolved metal samples were filtered using a hand-pump apparatus through 0.45-</w:t>
      </w:r>
      <w:r w:rsidRPr="004C18DB">
        <w:rPr>
          <w:rFonts w:ascii="Symbol" w:hAnsi="Symbol" w:cstheme="minorHAnsi"/>
        </w:rPr>
        <w:t></w:t>
      </w:r>
      <w:r w:rsidRPr="004C18DB">
        <w:rPr>
          <w:rFonts w:cstheme="minorHAnsi"/>
        </w:rPr>
        <w:t xml:space="preserve">m filter </w:t>
      </w:r>
      <w:r w:rsidRPr="004C18DB">
        <w:rPr>
          <w:rFonts w:cstheme="minorHAnsi"/>
        </w:rPr>
        <w:lastRenderedPageBreak/>
        <w:t xml:space="preserve">cartridges for each sample.  Turbidity (NTU) was determined on-site using a </w:t>
      </w:r>
      <w:proofErr w:type="spellStart"/>
      <w:r w:rsidRPr="004C18DB">
        <w:rPr>
          <w:rFonts w:cstheme="minorHAnsi"/>
        </w:rPr>
        <w:t>Hach</w:t>
      </w:r>
      <w:proofErr w:type="spellEnd"/>
      <w:r w:rsidRPr="004C18DB">
        <w:rPr>
          <w:rFonts w:cstheme="minorHAnsi"/>
        </w:rPr>
        <w:t xml:space="preserve"> 2100P Portable </w:t>
      </w:r>
      <w:proofErr w:type="spellStart"/>
      <w:r w:rsidRPr="004C18DB">
        <w:rPr>
          <w:rFonts w:cstheme="minorHAnsi"/>
        </w:rPr>
        <w:t>Turbidimeter</w:t>
      </w:r>
      <w:proofErr w:type="spellEnd"/>
      <w:r w:rsidRPr="004C18DB">
        <w:rPr>
          <w:rFonts w:cstheme="minorHAnsi"/>
        </w:rPr>
        <w:t xml:space="preserve"> and the average of three replicate measurements was recorded.  Total alkalinity (mg/L as CaCO</w:t>
      </w:r>
      <w:r w:rsidRPr="004C18DB">
        <w:rPr>
          <w:rFonts w:cstheme="minorHAnsi"/>
          <w:vertAlign w:val="subscript"/>
        </w:rPr>
        <w:t>3</w:t>
      </w:r>
      <w:r w:rsidRPr="004C18DB">
        <w:rPr>
          <w:rFonts w:cstheme="minorHAnsi"/>
        </w:rPr>
        <w:t xml:space="preserve"> eq.) was determined in the field immediately following sample collection via use of a </w:t>
      </w:r>
      <w:proofErr w:type="spellStart"/>
      <w:r w:rsidRPr="004C18DB">
        <w:rPr>
          <w:rFonts w:cstheme="minorHAnsi"/>
        </w:rPr>
        <w:t>Hach</w:t>
      </w:r>
      <w:proofErr w:type="spellEnd"/>
      <w:r w:rsidRPr="004C18DB">
        <w:rPr>
          <w:rFonts w:cstheme="minorHAnsi"/>
        </w:rPr>
        <w:t xml:space="preserve"> digital </w:t>
      </w:r>
      <w:proofErr w:type="spellStart"/>
      <w:r w:rsidRPr="004C18DB">
        <w:rPr>
          <w:rFonts w:cstheme="minorHAnsi"/>
        </w:rPr>
        <w:t>titrator</w:t>
      </w:r>
      <w:proofErr w:type="spellEnd"/>
      <w:r w:rsidRPr="004C18DB">
        <w:rPr>
          <w:rFonts w:cstheme="minorHAnsi"/>
        </w:rPr>
        <w:t xml:space="preserve"> with 1.6-N H</w:t>
      </w:r>
      <w:r w:rsidRPr="004C18DB">
        <w:rPr>
          <w:rFonts w:cstheme="minorHAnsi"/>
          <w:vertAlign w:val="subscript"/>
        </w:rPr>
        <w:t>2</w:t>
      </w:r>
      <w:r w:rsidRPr="004C18DB">
        <w:rPr>
          <w:rFonts w:cstheme="minorHAnsi"/>
        </w:rPr>
        <w:t>SO</w:t>
      </w:r>
      <w:r w:rsidRPr="004C18DB">
        <w:rPr>
          <w:rFonts w:cstheme="minorHAnsi"/>
          <w:vertAlign w:val="subscript"/>
        </w:rPr>
        <w:t>4</w:t>
      </w:r>
      <w:r w:rsidRPr="004C18DB">
        <w:rPr>
          <w:rFonts w:cstheme="minorHAnsi"/>
        </w:rPr>
        <w:t xml:space="preserve"> titrant and </w:t>
      </w:r>
      <w:proofErr w:type="spellStart"/>
      <w:r w:rsidRPr="004C18DB">
        <w:rPr>
          <w:rFonts w:cstheme="minorHAnsi"/>
        </w:rPr>
        <w:t>bromocresol</w:t>
      </w:r>
      <w:proofErr w:type="spellEnd"/>
      <w:r w:rsidRPr="004C18DB">
        <w:rPr>
          <w:rFonts w:cstheme="minorHAnsi"/>
        </w:rPr>
        <w:t xml:space="preserve"> gree</w:t>
      </w:r>
      <w:r>
        <w:rPr>
          <w:rFonts w:cstheme="minorHAnsi"/>
        </w:rPr>
        <w:t>n / methyl red indicator (APHA 1992</w:t>
      </w:r>
      <w:r w:rsidRPr="004C18DB">
        <w:rPr>
          <w:rFonts w:cstheme="minorHAnsi"/>
        </w:rPr>
        <w:t xml:space="preserve">).  All samples were acidified with concentrated trace-metal grade nitric acid and then kept on ice for transport back to the Center for Restoration of Ecosystems and Watersheds (CREW) laboratory for analysis.  Anion samples were promptly filtered and run in serial dilution on the </w:t>
      </w:r>
      <w:proofErr w:type="spellStart"/>
      <w:r w:rsidRPr="004C18DB">
        <w:rPr>
          <w:rFonts w:cstheme="minorHAnsi"/>
        </w:rPr>
        <w:t>MetrOhm</w:t>
      </w:r>
      <w:proofErr w:type="spellEnd"/>
      <w:r w:rsidRPr="004C18DB">
        <w:rPr>
          <w:rFonts w:cstheme="minorHAnsi"/>
        </w:rPr>
        <w:t xml:space="preserve"> 761 Compact Ion Chromatograph (EPA 300) to determine total sulfate concentration (mg/L).  The metal samples underwent aqueous digestion using the CEM MARS in accordance with the standard operating procedure (EPA Method 30</w:t>
      </w:r>
      <w:r w:rsidR="006F27F7">
        <w:rPr>
          <w:rFonts w:cstheme="minorHAnsi"/>
        </w:rPr>
        <w:t>51</w:t>
      </w:r>
      <w:r w:rsidRPr="004C18DB">
        <w:rPr>
          <w:rFonts w:cstheme="minorHAnsi"/>
        </w:rPr>
        <w:t xml:space="preserve">).  The digested samples were analyzed with a Varian-Vista PRO Inductively Coupled Plasma Optical Emission Spectrometer (ICP-OES) following EPA Method 6010 for total and dissolved metals concentrations.  Appropriate QAQC procedures were observed during sample preparation as well as sample analysis to verify instrument calibration and evaluate field and laboratory practices via </w:t>
      </w:r>
      <w:r w:rsidR="006F27F7">
        <w:rPr>
          <w:rFonts w:cstheme="minorHAnsi"/>
        </w:rPr>
        <w:t>standard operating procedures and laboratory specific</w:t>
      </w:r>
      <w:r w:rsidRPr="004C18DB">
        <w:rPr>
          <w:rFonts w:cstheme="minorHAnsi"/>
        </w:rPr>
        <w:t xml:space="preserve"> protocols.</w:t>
      </w:r>
    </w:p>
    <w:p w14:paraId="75F21830" w14:textId="77777777" w:rsidR="004C18DB" w:rsidRPr="004C18DB" w:rsidRDefault="004C18DB" w:rsidP="004C18DB">
      <w:pPr>
        <w:spacing w:line="480" w:lineRule="auto"/>
        <w:jc w:val="both"/>
        <w:rPr>
          <w:rFonts w:cs="Arial"/>
        </w:rPr>
      </w:pPr>
      <w:r w:rsidRPr="004C18DB">
        <w:rPr>
          <w:noProof/>
        </w:rPr>
        <mc:AlternateContent>
          <mc:Choice Requires="wps">
            <w:drawing>
              <wp:anchor distT="0" distB="0" distL="114300" distR="114300" simplePos="0" relativeHeight="251666432" behindDoc="0" locked="0" layoutInCell="1" allowOverlap="1" wp14:anchorId="2D73ACAC" wp14:editId="49B3FC08">
                <wp:simplePos x="0" y="0"/>
                <wp:positionH relativeFrom="column">
                  <wp:posOffset>2156460</wp:posOffset>
                </wp:positionH>
                <wp:positionV relativeFrom="paragraph">
                  <wp:posOffset>4519295</wp:posOffset>
                </wp:positionV>
                <wp:extent cx="62865" cy="55245"/>
                <wp:effectExtent l="19050" t="0" r="32385" b="20955"/>
                <wp:wrapNone/>
                <wp:docPr id="68" name="Flowchart: Manual Operation 68"/>
                <wp:cNvGraphicFramePr/>
                <a:graphic xmlns:a="http://schemas.openxmlformats.org/drawingml/2006/main">
                  <a:graphicData uri="http://schemas.microsoft.com/office/word/2010/wordprocessingShape">
                    <wps:wsp>
                      <wps:cNvSpPr/>
                      <wps:spPr>
                        <a:xfrm>
                          <a:off x="0" y="0"/>
                          <a:ext cx="62865" cy="55245"/>
                        </a:xfrm>
                        <a:prstGeom prst="flowChartManualOperation">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w:pict>
              <v:shapetype w14:anchorId="715BA8FC" id="_x0000_t119" coordsize="21600,21600" o:spt="119" path="m,l21600,,17240,21600r-12880,xe">
                <v:stroke joinstyle="miter"/>
                <v:path gradientshapeok="t" o:connecttype="custom" o:connectlocs="10800,0;2180,10800;10800,21600;19420,10800" textboxrect="4321,0,17204,21600"/>
              </v:shapetype>
              <v:shape id="Flowchart: Manual Operation 68" o:spid="_x0000_s1026" type="#_x0000_t119" style="position:absolute;margin-left:169.8pt;margin-top:355.85pt;width:4.95pt;height:4.3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kzOhgIAADYFAAAOAAAAZHJzL2Uyb0RvYy54bWysVE1v2zAMvQ/YfxB0X50ESdoZdYogRYYB&#10;XRugHXpmZTkWIImapMTJfv0o2U0/tlMxH2RSFCny8VGXVwej2V76oNBWfHw24kxagbWy24r/fFh/&#10;ueAsRLA1aLSy4kcZ+NXi86fLzpVygi3qWnpGQWwoO1fxNkZXFkUQrTQQztBJS8YGvYFIqt8WtYeO&#10;ohtdTEajedGhr51HIUOg3eveyBc5ftNIEe+aJsjIdMUpt5hXn9entBaLSyi3HlyrxJAGfCALA8rS&#10;padQ1xCB7bz6K5RRwmPAJp4JNAU2jRIy10DVjEfvqrlvwclcC4ET3Amm8P/Citv9xjNVV3xOnbJg&#10;qEdrjZ1owceS/QC7A83unPQQqcWMThFknQsled67jR+0QGKq/9B4k/5UGTtkmI8nmOUhMkGb88nF&#10;fMaZIMtsNpnOUsTixdX5EL9JNCwJFW8om1XKps/llEqGG/Y3Ifbuz27p9oBa1WuldVaOYaU92wNR&#10;gJhTY8eZhhBpk2rN35DBGzdtWUeMnpyPiDcCiJuNhkiicYRWsFvOQG+J9CL6nMsb7/CxS1MR1xDa&#10;PtscMeUGpVGR5kQrU/GLUfqGlLVNVpmZPkCRmtO3I0lPWB+pwx576gcn1oouuSEANuCJ61QdzW+8&#10;oyVBXXEcJM5a9L//tZ/OEwXJyllHs0Nw/NqBl4Trd0vk/DqeTtOwZWU6O5+Q4l9bnl5b7M6skHoz&#10;ppfCiSym81E/i41H80hjvky3kgmsoLt74AdlFfuZpodCyOUyH6MBcxBv7L0TKXjCKcH7cHgE7wZy&#10;ReLkLT7PGZTv+NSfTZ4Wl7uIjcpke8GViJsUGs5M4eEhSdP/Ws+nXp67xR8AAAD//wMAUEsDBBQA&#10;BgAIAAAAIQCRKSH/4QAAAAsBAAAPAAAAZHJzL2Rvd25yZXYueG1sTI/BTsMwDIbvSLxDZCRuLO1a&#10;uq00nRDSQFwmbUyc08ZLKxKnNNlWeHrCCY62P/3+/mo9WcPOOPrekYB0lgBDap3qSQs4vG3ulsB8&#10;kKSkcYQCvtDDur6+qmSp3IV2eN4HzWII+VIK6EIYSs5926GVfuYGpHg7utHKEMdRczXKSwy3hs+T&#10;pOBW9hQ/dHLApw7bj/3JCvh+ptwcXt5H3bxajpttscv0pxC3N9PjA7CAU/iD4Vc/qkMdnRp3IuWZ&#10;EZBlqyKiAhZpugAWiSxf3QNr4mae5MDriv/vUP8AAAD//wMAUEsBAi0AFAAGAAgAAAAhALaDOJL+&#10;AAAA4QEAABMAAAAAAAAAAAAAAAAAAAAAAFtDb250ZW50X1R5cGVzXS54bWxQSwECLQAUAAYACAAA&#10;ACEAOP0h/9YAAACUAQAACwAAAAAAAAAAAAAAAAAvAQAAX3JlbHMvLnJlbHNQSwECLQAUAAYACAAA&#10;ACEAg9pMzoYCAAA2BQAADgAAAAAAAAAAAAAAAAAuAgAAZHJzL2Uyb0RvYy54bWxQSwECLQAUAAYA&#10;CAAAACEAkSkh/+EAAAALAQAADwAAAAAAAAAAAAAAAADgBAAAZHJzL2Rvd25yZXYueG1sUEsFBgAA&#10;AAAEAAQA8wAAAO4FAAAAAA==&#10;" fillcolor="window" strokecolor="window" strokeweight="1pt"/>
            </w:pict>
          </mc:Fallback>
        </mc:AlternateContent>
      </w:r>
      <w:r w:rsidRPr="004C18DB">
        <w:rPr>
          <w:rFonts w:cs="Arial"/>
        </w:rPr>
        <w:t xml:space="preserve">Seasonal profile samples were collected quarterly (January = winter; April = spring; July = summer, and October = fall).  Seasonal profiles were averaged (n = 3) for performance evaluation. Suspended iron floc samples were collected </w:t>
      </w:r>
      <w:r w:rsidRPr="004C18DB">
        <w:rPr>
          <w:rFonts w:cs="Arial"/>
          <w:i/>
        </w:rPr>
        <w:t xml:space="preserve">in situ </w:t>
      </w:r>
      <w:r w:rsidRPr="004C18DB">
        <w:rPr>
          <w:rFonts w:cs="Arial"/>
        </w:rPr>
        <w:t xml:space="preserve">with increasing depth (without nitric acid preservation) at each catwalk sampling location (sites 4, 7, 8). The floc samples were used to physically assess the average size, shape, and distribution of settling solids via laser in situ scattering and </w:t>
      </w:r>
      <w:proofErr w:type="spellStart"/>
      <w:r w:rsidRPr="004C18DB">
        <w:rPr>
          <w:rFonts w:cs="Arial"/>
        </w:rPr>
        <w:t>transmissometry</w:t>
      </w:r>
      <w:proofErr w:type="spellEnd"/>
      <w:r w:rsidRPr="004C18DB">
        <w:rPr>
          <w:rFonts w:cs="Arial"/>
        </w:rPr>
        <w:t xml:space="preserve"> (LISST), and were accompanied by grab sample turbidity measurements.  </w:t>
      </w:r>
    </w:p>
    <w:p w14:paraId="6396ED16" w14:textId="77777777" w:rsidR="004C18DB" w:rsidRPr="004C18DB" w:rsidRDefault="004C18DB" w:rsidP="004C18DB">
      <w:pPr>
        <w:spacing w:line="480" w:lineRule="auto"/>
        <w:jc w:val="both"/>
        <w:rPr>
          <w:rFonts w:cs="Arial"/>
        </w:rPr>
      </w:pPr>
    </w:p>
    <w:p w14:paraId="30124461" w14:textId="77777777" w:rsidR="004C18DB" w:rsidRPr="004C18DB" w:rsidRDefault="004C18DB" w:rsidP="004C18DB">
      <w:pPr>
        <w:keepNext/>
        <w:keepLines/>
        <w:spacing w:before="240" w:after="0"/>
        <w:outlineLvl w:val="0"/>
        <w:rPr>
          <w:rFonts w:asciiTheme="majorHAnsi" w:eastAsiaTheme="majorEastAsia" w:hAnsiTheme="majorHAnsi" w:cstheme="majorBidi"/>
          <w:b/>
          <w:sz w:val="24"/>
          <w:szCs w:val="32"/>
        </w:rPr>
      </w:pPr>
      <w:r w:rsidRPr="004C18DB">
        <w:rPr>
          <w:rFonts w:asciiTheme="majorHAnsi" w:eastAsiaTheme="majorEastAsia" w:hAnsiTheme="majorHAnsi" w:cstheme="majorBidi"/>
          <w:b/>
          <w:sz w:val="24"/>
          <w:szCs w:val="32"/>
        </w:rPr>
        <w:lastRenderedPageBreak/>
        <w:t xml:space="preserve">Results and Discussion </w:t>
      </w:r>
    </w:p>
    <w:p w14:paraId="47D5F97B" w14:textId="77777777" w:rsidR="004C18DB" w:rsidRPr="004C18DB" w:rsidRDefault="004C18DB" w:rsidP="004C18DB"/>
    <w:p w14:paraId="76D0BF05" w14:textId="77777777" w:rsidR="004C18DB" w:rsidRPr="004C18DB" w:rsidRDefault="004C18DB" w:rsidP="004C18DB">
      <w:pPr>
        <w:keepNext/>
        <w:keepLines/>
        <w:spacing w:before="40" w:after="0"/>
        <w:outlineLvl w:val="3"/>
        <w:rPr>
          <w:rFonts w:asciiTheme="majorHAnsi" w:eastAsiaTheme="majorEastAsia" w:hAnsiTheme="majorHAnsi" w:cstheme="majorBidi"/>
          <w:i/>
          <w:iCs/>
        </w:rPr>
      </w:pPr>
      <w:r w:rsidRPr="004C18DB">
        <w:rPr>
          <w:rFonts w:asciiTheme="majorHAnsi" w:eastAsiaTheme="majorEastAsia" w:hAnsiTheme="majorHAnsi" w:cstheme="majorBidi"/>
          <w:i/>
          <w:iCs/>
        </w:rPr>
        <w:t>Influent / Effluent Performance Evaluation</w:t>
      </w:r>
    </w:p>
    <w:p w14:paraId="413D0CC4" w14:textId="77777777" w:rsidR="004C18DB" w:rsidRPr="004C18DB" w:rsidRDefault="004C18DB" w:rsidP="004C18DB"/>
    <w:p w14:paraId="5E1F8F0C" w14:textId="77777777" w:rsidR="004C18DB" w:rsidRPr="004C18DB" w:rsidRDefault="004C18DB" w:rsidP="004C18DB">
      <w:pPr>
        <w:spacing w:line="480" w:lineRule="auto"/>
        <w:jc w:val="both"/>
        <w:rPr>
          <w:rFonts w:cstheme="minorHAnsi"/>
        </w:rPr>
      </w:pPr>
      <w:r w:rsidRPr="004C18DB">
        <w:rPr>
          <w:rFonts w:cstheme="minorHAnsi"/>
        </w:rPr>
        <w:t xml:space="preserve">The influent/effluent total metals water quality data for Cell 1 (2009-2013) are summarized in Table 2.2, while Table 2.3 summarizes </w:t>
      </w:r>
      <w:r w:rsidRPr="004C18DB">
        <w:rPr>
          <w:rFonts w:cstheme="minorHAnsi"/>
          <w:i/>
        </w:rPr>
        <w:t>in situ</w:t>
      </w:r>
      <w:r w:rsidRPr="004C18DB">
        <w:rPr>
          <w:rFonts w:cstheme="minorHAnsi"/>
        </w:rPr>
        <w:t xml:space="preserve"> average water quality parameters. </w:t>
      </w:r>
    </w:p>
    <w:p w14:paraId="60C6F200" w14:textId="77777777" w:rsidR="005E60C9" w:rsidRPr="006F27F7" w:rsidRDefault="005E60C9" w:rsidP="00310BCA">
      <w:pPr>
        <w:pStyle w:val="Heading3"/>
        <w:rPr>
          <w:rFonts w:asciiTheme="minorHAnsi" w:hAnsiTheme="minorHAnsi"/>
          <w:szCs w:val="20"/>
        </w:rPr>
      </w:pPr>
      <w:r w:rsidRPr="006F27F7">
        <w:rPr>
          <w:rFonts w:asciiTheme="minorHAnsi" w:hAnsiTheme="minorHAnsi"/>
          <w:szCs w:val="20"/>
        </w:rPr>
        <w:t>Table 2.2: Total Metals Removal by the MRPTS Preliminary Oxidation Cell (Cell 1) 2009-2013</w:t>
      </w:r>
    </w:p>
    <w:tbl>
      <w:tblPr>
        <w:tblW w:w="8130" w:type="dxa"/>
        <w:tblLook w:val="04A0" w:firstRow="1" w:lastRow="0" w:firstColumn="1" w:lastColumn="0" w:noHBand="0" w:noVBand="1"/>
      </w:tblPr>
      <w:tblGrid>
        <w:gridCol w:w="2430"/>
        <w:gridCol w:w="850"/>
        <w:gridCol w:w="960"/>
        <w:gridCol w:w="960"/>
        <w:gridCol w:w="1010"/>
        <w:gridCol w:w="960"/>
        <w:gridCol w:w="960"/>
      </w:tblGrid>
      <w:tr w:rsidR="005E60C9" w:rsidRPr="006F27F7" w14:paraId="4932B161" w14:textId="77777777" w:rsidTr="005E60C9">
        <w:trPr>
          <w:trHeight w:val="270"/>
        </w:trPr>
        <w:tc>
          <w:tcPr>
            <w:tcW w:w="2430" w:type="dxa"/>
            <w:tcBorders>
              <w:top w:val="single" w:sz="4" w:space="0" w:color="auto"/>
              <w:left w:val="nil"/>
              <w:bottom w:val="double" w:sz="6" w:space="0" w:color="auto"/>
              <w:right w:val="nil"/>
            </w:tcBorders>
            <w:shd w:val="clear" w:color="auto" w:fill="auto"/>
            <w:noWrap/>
            <w:vAlign w:val="bottom"/>
            <w:hideMark/>
          </w:tcPr>
          <w:p w14:paraId="4B3ED3F3" w14:textId="77777777" w:rsidR="005E60C9" w:rsidRPr="006F27F7" w:rsidRDefault="005E60C9" w:rsidP="005E60C9">
            <w:pPr>
              <w:spacing w:after="0" w:line="240" w:lineRule="auto"/>
              <w:rPr>
                <w:rFonts w:eastAsia="Times New Roman" w:cs="Calibri"/>
                <w:sz w:val="20"/>
                <w:szCs w:val="20"/>
              </w:rPr>
            </w:pPr>
            <w:r w:rsidRPr="006F27F7">
              <w:rPr>
                <w:rFonts w:eastAsia="Times New Roman" w:cs="Calibri"/>
                <w:sz w:val="20"/>
                <w:szCs w:val="20"/>
              </w:rPr>
              <w:t>Influent Average (n=3)</w:t>
            </w:r>
          </w:p>
        </w:tc>
        <w:tc>
          <w:tcPr>
            <w:tcW w:w="850" w:type="dxa"/>
            <w:tcBorders>
              <w:top w:val="single" w:sz="4" w:space="0" w:color="auto"/>
              <w:left w:val="nil"/>
              <w:bottom w:val="double" w:sz="6" w:space="0" w:color="auto"/>
              <w:right w:val="nil"/>
            </w:tcBorders>
            <w:shd w:val="clear" w:color="auto" w:fill="auto"/>
            <w:noWrap/>
            <w:vAlign w:val="bottom"/>
            <w:hideMark/>
          </w:tcPr>
          <w:p w14:paraId="4455E4F9"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Iron (mg/L)</w:t>
            </w:r>
          </w:p>
        </w:tc>
        <w:tc>
          <w:tcPr>
            <w:tcW w:w="960" w:type="dxa"/>
            <w:tcBorders>
              <w:top w:val="single" w:sz="4" w:space="0" w:color="auto"/>
              <w:left w:val="nil"/>
              <w:bottom w:val="double" w:sz="6" w:space="0" w:color="auto"/>
              <w:right w:val="nil"/>
            </w:tcBorders>
            <w:shd w:val="clear" w:color="auto" w:fill="auto"/>
            <w:noWrap/>
            <w:vAlign w:val="bottom"/>
            <w:hideMark/>
          </w:tcPr>
          <w:p w14:paraId="2E3DFA2D"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Zinc (mg/L)</w:t>
            </w:r>
          </w:p>
        </w:tc>
        <w:tc>
          <w:tcPr>
            <w:tcW w:w="960" w:type="dxa"/>
            <w:tcBorders>
              <w:top w:val="single" w:sz="4" w:space="0" w:color="auto"/>
              <w:left w:val="nil"/>
              <w:bottom w:val="double" w:sz="6" w:space="0" w:color="auto"/>
              <w:right w:val="nil"/>
            </w:tcBorders>
            <w:shd w:val="clear" w:color="auto" w:fill="auto"/>
            <w:noWrap/>
            <w:vAlign w:val="bottom"/>
            <w:hideMark/>
          </w:tcPr>
          <w:p w14:paraId="1AB36266"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Nickel (mg/L)</w:t>
            </w:r>
          </w:p>
        </w:tc>
        <w:tc>
          <w:tcPr>
            <w:tcW w:w="1010" w:type="dxa"/>
            <w:tcBorders>
              <w:top w:val="single" w:sz="4" w:space="0" w:color="auto"/>
              <w:left w:val="nil"/>
              <w:bottom w:val="double" w:sz="6" w:space="0" w:color="auto"/>
              <w:right w:val="nil"/>
            </w:tcBorders>
            <w:shd w:val="clear" w:color="auto" w:fill="auto"/>
            <w:noWrap/>
            <w:vAlign w:val="bottom"/>
            <w:hideMark/>
          </w:tcPr>
          <w:p w14:paraId="6ED2928F"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Cadmium (µg/L)</w:t>
            </w:r>
          </w:p>
        </w:tc>
        <w:tc>
          <w:tcPr>
            <w:tcW w:w="960" w:type="dxa"/>
            <w:tcBorders>
              <w:top w:val="single" w:sz="4" w:space="0" w:color="auto"/>
              <w:left w:val="nil"/>
              <w:bottom w:val="double" w:sz="6" w:space="0" w:color="auto"/>
              <w:right w:val="nil"/>
            </w:tcBorders>
            <w:shd w:val="clear" w:color="auto" w:fill="auto"/>
            <w:noWrap/>
            <w:vAlign w:val="bottom"/>
            <w:hideMark/>
          </w:tcPr>
          <w:p w14:paraId="1F4D57EF"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Lead (µg/L)</w:t>
            </w:r>
          </w:p>
        </w:tc>
        <w:tc>
          <w:tcPr>
            <w:tcW w:w="960" w:type="dxa"/>
            <w:tcBorders>
              <w:top w:val="single" w:sz="4" w:space="0" w:color="auto"/>
              <w:left w:val="nil"/>
              <w:bottom w:val="double" w:sz="6" w:space="0" w:color="auto"/>
              <w:right w:val="nil"/>
            </w:tcBorders>
            <w:shd w:val="clear" w:color="auto" w:fill="auto"/>
            <w:noWrap/>
            <w:vAlign w:val="bottom"/>
            <w:hideMark/>
          </w:tcPr>
          <w:p w14:paraId="75333986"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Arsenic (µg/L)</w:t>
            </w:r>
          </w:p>
        </w:tc>
      </w:tr>
      <w:tr w:rsidR="005E60C9" w:rsidRPr="006F27F7" w14:paraId="46DBBB09" w14:textId="77777777" w:rsidTr="005E60C9">
        <w:trPr>
          <w:trHeight w:val="270"/>
        </w:trPr>
        <w:tc>
          <w:tcPr>
            <w:tcW w:w="2430" w:type="dxa"/>
            <w:tcBorders>
              <w:top w:val="nil"/>
              <w:left w:val="nil"/>
              <w:bottom w:val="nil"/>
              <w:right w:val="nil"/>
            </w:tcBorders>
            <w:shd w:val="clear" w:color="auto" w:fill="auto"/>
            <w:noWrap/>
            <w:vAlign w:val="bottom"/>
            <w:hideMark/>
          </w:tcPr>
          <w:p w14:paraId="38CBBF10" w14:textId="77777777" w:rsidR="005E60C9" w:rsidRPr="006F27F7" w:rsidRDefault="005E60C9" w:rsidP="005E60C9">
            <w:pPr>
              <w:spacing w:after="0" w:line="240" w:lineRule="auto"/>
              <w:jc w:val="right"/>
              <w:rPr>
                <w:rFonts w:eastAsia="Times New Roman" w:cs="Calibri"/>
                <w:sz w:val="20"/>
                <w:szCs w:val="20"/>
              </w:rPr>
            </w:pPr>
            <w:r w:rsidRPr="006F27F7">
              <w:rPr>
                <w:rFonts w:eastAsia="Times New Roman" w:cs="Calibri"/>
                <w:sz w:val="20"/>
                <w:szCs w:val="20"/>
              </w:rPr>
              <w:t>Average</w:t>
            </w:r>
          </w:p>
        </w:tc>
        <w:tc>
          <w:tcPr>
            <w:tcW w:w="850" w:type="dxa"/>
            <w:tcBorders>
              <w:top w:val="nil"/>
              <w:left w:val="nil"/>
              <w:bottom w:val="nil"/>
              <w:right w:val="nil"/>
            </w:tcBorders>
            <w:shd w:val="clear" w:color="auto" w:fill="auto"/>
            <w:noWrap/>
            <w:vAlign w:val="bottom"/>
            <w:hideMark/>
          </w:tcPr>
          <w:p w14:paraId="7B6DA712"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174</w:t>
            </w:r>
          </w:p>
        </w:tc>
        <w:tc>
          <w:tcPr>
            <w:tcW w:w="960" w:type="dxa"/>
            <w:tcBorders>
              <w:top w:val="nil"/>
              <w:left w:val="nil"/>
              <w:bottom w:val="nil"/>
              <w:right w:val="nil"/>
            </w:tcBorders>
            <w:shd w:val="clear" w:color="auto" w:fill="auto"/>
            <w:noWrap/>
            <w:vAlign w:val="bottom"/>
            <w:hideMark/>
          </w:tcPr>
          <w:p w14:paraId="38AF4AB6"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7.99</w:t>
            </w:r>
          </w:p>
        </w:tc>
        <w:tc>
          <w:tcPr>
            <w:tcW w:w="960" w:type="dxa"/>
            <w:tcBorders>
              <w:top w:val="nil"/>
              <w:left w:val="nil"/>
              <w:bottom w:val="nil"/>
              <w:right w:val="nil"/>
            </w:tcBorders>
            <w:shd w:val="clear" w:color="auto" w:fill="auto"/>
            <w:noWrap/>
            <w:vAlign w:val="bottom"/>
            <w:hideMark/>
          </w:tcPr>
          <w:p w14:paraId="37D1F49F"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0.917</w:t>
            </w:r>
          </w:p>
        </w:tc>
        <w:tc>
          <w:tcPr>
            <w:tcW w:w="1010" w:type="dxa"/>
            <w:tcBorders>
              <w:top w:val="nil"/>
              <w:left w:val="nil"/>
              <w:bottom w:val="nil"/>
              <w:right w:val="nil"/>
            </w:tcBorders>
            <w:shd w:val="clear" w:color="auto" w:fill="auto"/>
            <w:noWrap/>
            <w:vAlign w:val="bottom"/>
            <w:hideMark/>
          </w:tcPr>
          <w:p w14:paraId="0CA23CB3"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18.3</w:t>
            </w:r>
          </w:p>
        </w:tc>
        <w:tc>
          <w:tcPr>
            <w:tcW w:w="960" w:type="dxa"/>
            <w:tcBorders>
              <w:top w:val="nil"/>
              <w:left w:val="nil"/>
              <w:bottom w:val="nil"/>
              <w:right w:val="nil"/>
            </w:tcBorders>
            <w:shd w:val="clear" w:color="auto" w:fill="auto"/>
            <w:noWrap/>
            <w:vAlign w:val="bottom"/>
            <w:hideMark/>
          </w:tcPr>
          <w:p w14:paraId="46FF56B3"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74.8</w:t>
            </w:r>
          </w:p>
        </w:tc>
        <w:tc>
          <w:tcPr>
            <w:tcW w:w="960" w:type="dxa"/>
            <w:tcBorders>
              <w:top w:val="nil"/>
              <w:left w:val="nil"/>
              <w:bottom w:val="nil"/>
              <w:right w:val="nil"/>
            </w:tcBorders>
            <w:shd w:val="clear" w:color="auto" w:fill="auto"/>
            <w:noWrap/>
            <w:vAlign w:val="bottom"/>
            <w:hideMark/>
          </w:tcPr>
          <w:p w14:paraId="4CADE94B"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61.5</w:t>
            </w:r>
          </w:p>
        </w:tc>
      </w:tr>
      <w:tr w:rsidR="005E60C9" w:rsidRPr="006F27F7" w14:paraId="6C87275D" w14:textId="77777777" w:rsidTr="005E60C9">
        <w:trPr>
          <w:trHeight w:val="255"/>
        </w:trPr>
        <w:tc>
          <w:tcPr>
            <w:tcW w:w="2430" w:type="dxa"/>
            <w:tcBorders>
              <w:top w:val="nil"/>
              <w:left w:val="nil"/>
              <w:bottom w:val="nil"/>
              <w:right w:val="nil"/>
            </w:tcBorders>
            <w:shd w:val="clear" w:color="auto" w:fill="auto"/>
            <w:noWrap/>
            <w:vAlign w:val="bottom"/>
            <w:hideMark/>
          </w:tcPr>
          <w:p w14:paraId="76A32B79" w14:textId="77777777" w:rsidR="005E60C9" w:rsidRPr="006F27F7" w:rsidRDefault="005E60C9" w:rsidP="005E60C9">
            <w:pPr>
              <w:spacing w:after="0" w:line="240" w:lineRule="auto"/>
              <w:jc w:val="right"/>
              <w:rPr>
                <w:rFonts w:eastAsia="Times New Roman" w:cs="Calibri"/>
                <w:sz w:val="20"/>
                <w:szCs w:val="20"/>
              </w:rPr>
            </w:pPr>
            <w:r w:rsidRPr="006F27F7">
              <w:rPr>
                <w:rFonts w:eastAsia="Times New Roman" w:cs="Calibri"/>
                <w:sz w:val="20"/>
                <w:szCs w:val="20"/>
              </w:rPr>
              <w:t>Standard Deviation</w:t>
            </w:r>
          </w:p>
        </w:tc>
        <w:tc>
          <w:tcPr>
            <w:tcW w:w="850" w:type="dxa"/>
            <w:tcBorders>
              <w:top w:val="nil"/>
              <w:left w:val="nil"/>
              <w:bottom w:val="nil"/>
              <w:right w:val="nil"/>
            </w:tcBorders>
            <w:shd w:val="clear" w:color="auto" w:fill="auto"/>
            <w:noWrap/>
            <w:vAlign w:val="bottom"/>
            <w:hideMark/>
          </w:tcPr>
          <w:p w14:paraId="6CC7ADAD"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8</w:t>
            </w:r>
          </w:p>
        </w:tc>
        <w:tc>
          <w:tcPr>
            <w:tcW w:w="960" w:type="dxa"/>
            <w:tcBorders>
              <w:top w:val="nil"/>
              <w:left w:val="nil"/>
              <w:bottom w:val="nil"/>
              <w:right w:val="nil"/>
            </w:tcBorders>
            <w:shd w:val="clear" w:color="auto" w:fill="auto"/>
            <w:noWrap/>
            <w:vAlign w:val="bottom"/>
            <w:hideMark/>
          </w:tcPr>
          <w:p w14:paraId="435EB544"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0.49</w:t>
            </w:r>
          </w:p>
        </w:tc>
        <w:tc>
          <w:tcPr>
            <w:tcW w:w="960" w:type="dxa"/>
            <w:tcBorders>
              <w:top w:val="nil"/>
              <w:left w:val="nil"/>
              <w:bottom w:val="nil"/>
              <w:right w:val="nil"/>
            </w:tcBorders>
            <w:shd w:val="clear" w:color="auto" w:fill="auto"/>
            <w:noWrap/>
            <w:vAlign w:val="bottom"/>
            <w:hideMark/>
          </w:tcPr>
          <w:p w14:paraId="235CCF71"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0.058</w:t>
            </w:r>
          </w:p>
        </w:tc>
        <w:tc>
          <w:tcPr>
            <w:tcW w:w="1010" w:type="dxa"/>
            <w:tcBorders>
              <w:top w:val="nil"/>
              <w:left w:val="nil"/>
              <w:bottom w:val="nil"/>
              <w:right w:val="nil"/>
            </w:tcBorders>
            <w:shd w:val="clear" w:color="auto" w:fill="auto"/>
            <w:noWrap/>
            <w:vAlign w:val="bottom"/>
            <w:hideMark/>
          </w:tcPr>
          <w:p w14:paraId="3A8EDE72"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6.36</w:t>
            </w:r>
          </w:p>
        </w:tc>
        <w:tc>
          <w:tcPr>
            <w:tcW w:w="960" w:type="dxa"/>
            <w:tcBorders>
              <w:top w:val="nil"/>
              <w:left w:val="nil"/>
              <w:bottom w:val="nil"/>
              <w:right w:val="nil"/>
            </w:tcBorders>
            <w:shd w:val="clear" w:color="auto" w:fill="auto"/>
            <w:noWrap/>
            <w:vAlign w:val="bottom"/>
            <w:hideMark/>
          </w:tcPr>
          <w:p w14:paraId="15F87E54"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10.1</w:t>
            </w:r>
          </w:p>
        </w:tc>
        <w:tc>
          <w:tcPr>
            <w:tcW w:w="960" w:type="dxa"/>
            <w:tcBorders>
              <w:top w:val="nil"/>
              <w:left w:val="nil"/>
              <w:bottom w:val="nil"/>
              <w:right w:val="nil"/>
            </w:tcBorders>
            <w:shd w:val="clear" w:color="auto" w:fill="auto"/>
            <w:noWrap/>
            <w:vAlign w:val="bottom"/>
            <w:hideMark/>
          </w:tcPr>
          <w:p w14:paraId="791317DB"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4.27</w:t>
            </w:r>
          </w:p>
        </w:tc>
      </w:tr>
      <w:tr w:rsidR="005E60C9" w:rsidRPr="006F27F7" w14:paraId="55A13ED8" w14:textId="77777777" w:rsidTr="005E60C9">
        <w:trPr>
          <w:trHeight w:val="255"/>
        </w:trPr>
        <w:tc>
          <w:tcPr>
            <w:tcW w:w="2430" w:type="dxa"/>
            <w:tcBorders>
              <w:top w:val="nil"/>
              <w:left w:val="nil"/>
              <w:bottom w:val="nil"/>
              <w:right w:val="nil"/>
            </w:tcBorders>
            <w:shd w:val="clear" w:color="auto" w:fill="auto"/>
            <w:noWrap/>
            <w:vAlign w:val="bottom"/>
            <w:hideMark/>
          </w:tcPr>
          <w:p w14:paraId="17FE0FE7" w14:textId="77777777" w:rsidR="005E60C9" w:rsidRPr="006F27F7" w:rsidRDefault="005E60C9" w:rsidP="005E60C9">
            <w:pPr>
              <w:spacing w:after="0" w:line="240" w:lineRule="auto"/>
              <w:jc w:val="right"/>
              <w:rPr>
                <w:rFonts w:eastAsia="Times New Roman" w:cs="Calibri"/>
                <w:sz w:val="20"/>
                <w:szCs w:val="20"/>
              </w:rPr>
            </w:pPr>
            <w:r w:rsidRPr="006F27F7">
              <w:rPr>
                <w:rFonts w:eastAsia="Times New Roman" w:cs="Calibri"/>
                <w:sz w:val="20"/>
                <w:szCs w:val="20"/>
              </w:rPr>
              <w:t>%RSD</w:t>
            </w:r>
          </w:p>
        </w:tc>
        <w:tc>
          <w:tcPr>
            <w:tcW w:w="850" w:type="dxa"/>
            <w:tcBorders>
              <w:top w:val="nil"/>
              <w:left w:val="nil"/>
              <w:bottom w:val="nil"/>
              <w:right w:val="nil"/>
            </w:tcBorders>
            <w:shd w:val="clear" w:color="auto" w:fill="auto"/>
            <w:noWrap/>
            <w:vAlign w:val="bottom"/>
            <w:hideMark/>
          </w:tcPr>
          <w:p w14:paraId="08B4C0CD"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4.6</w:t>
            </w:r>
          </w:p>
        </w:tc>
        <w:tc>
          <w:tcPr>
            <w:tcW w:w="960" w:type="dxa"/>
            <w:tcBorders>
              <w:top w:val="nil"/>
              <w:left w:val="nil"/>
              <w:bottom w:val="nil"/>
              <w:right w:val="nil"/>
            </w:tcBorders>
            <w:shd w:val="clear" w:color="auto" w:fill="auto"/>
            <w:noWrap/>
            <w:vAlign w:val="bottom"/>
            <w:hideMark/>
          </w:tcPr>
          <w:p w14:paraId="19552E93"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6.20</w:t>
            </w:r>
          </w:p>
        </w:tc>
        <w:tc>
          <w:tcPr>
            <w:tcW w:w="960" w:type="dxa"/>
            <w:tcBorders>
              <w:top w:val="nil"/>
              <w:left w:val="nil"/>
              <w:bottom w:val="nil"/>
              <w:right w:val="nil"/>
            </w:tcBorders>
            <w:shd w:val="clear" w:color="auto" w:fill="auto"/>
            <w:noWrap/>
            <w:vAlign w:val="bottom"/>
            <w:hideMark/>
          </w:tcPr>
          <w:p w14:paraId="73E8766C"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6.30</w:t>
            </w:r>
          </w:p>
        </w:tc>
        <w:tc>
          <w:tcPr>
            <w:tcW w:w="1010" w:type="dxa"/>
            <w:tcBorders>
              <w:top w:val="nil"/>
              <w:left w:val="nil"/>
              <w:bottom w:val="nil"/>
              <w:right w:val="nil"/>
            </w:tcBorders>
            <w:shd w:val="clear" w:color="auto" w:fill="auto"/>
            <w:noWrap/>
            <w:vAlign w:val="bottom"/>
            <w:hideMark/>
          </w:tcPr>
          <w:p w14:paraId="3813EFD7"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34.9</w:t>
            </w:r>
          </w:p>
        </w:tc>
        <w:tc>
          <w:tcPr>
            <w:tcW w:w="960" w:type="dxa"/>
            <w:tcBorders>
              <w:top w:val="nil"/>
              <w:left w:val="nil"/>
              <w:bottom w:val="nil"/>
              <w:right w:val="nil"/>
            </w:tcBorders>
            <w:shd w:val="clear" w:color="auto" w:fill="auto"/>
            <w:noWrap/>
            <w:vAlign w:val="bottom"/>
            <w:hideMark/>
          </w:tcPr>
          <w:p w14:paraId="6FE4E671"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13.6</w:t>
            </w:r>
          </w:p>
        </w:tc>
        <w:tc>
          <w:tcPr>
            <w:tcW w:w="960" w:type="dxa"/>
            <w:tcBorders>
              <w:top w:val="nil"/>
              <w:left w:val="nil"/>
              <w:bottom w:val="nil"/>
              <w:right w:val="nil"/>
            </w:tcBorders>
            <w:shd w:val="clear" w:color="auto" w:fill="auto"/>
            <w:noWrap/>
            <w:vAlign w:val="bottom"/>
            <w:hideMark/>
          </w:tcPr>
          <w:p w14:paraId="3B696700"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7.0</w:t>
            </w:r>
          </w:p>
        </w:tc>
      </w:tr>
      <w:tr w:rsidR="005E60C9" w:rsidRPr="006F27F7" w14:paraId="3543A7D0" w14:textId="77777777" w:rsidTr="005E60C9">
        <w:trPr>
          <w:trHeight w:val="255"/>
        </w:trPr>
        <w:tc>
          <w:tcPr>
            <w:tcW w:w="2430" w:type="dxa"/>
            <w:tcBorders>
              <w:top w:val="nil"/>
              <w:left w:val="nil"/>
              <w:bottom w:val="nil"/>
              <w:right w:val="nil"/>
            </w:tcBorders>
            <w:shd w:val="clear" w:color="auto" w:fill="auto"/>
            <w:noWrap/>
            <w:vAlign w:val="bottom"/>
            <w:hideMark/>
          </w:tcPr>
          <w:p w14:paraId="25F4C820" w14:textId="614B34BA" w:rsidR="005E60C9" w:rsidRPr="006F27F7" w:rsidRDefault="005E60C9" w:rsidP="005E60C9">
            <w:pPr>
              <w:spacing w:after="0" w:line="240" w:lineRule="auto"/>
              <w:jc w:val="right"/>
              <w:rPr>
                <w:rFonts w:eastAsia="Times New Roman" w:cs="Calibri"/>
                <w:sz w:val="20"/>
                <w:szCs w:val="20"/>
              </w:rPr>
            </w:pPr>
            <w:r w:rsidRPr="006F27F7">
              <w:rPr>
                <w:rFonts w:eastAsia="Times New Roman" w:cs="Calibri"/>
                <w:sz w:val="20"/>
                <w:szCs w:val="20"/>
              </w:rPr>
              <w:t>Min</w:t>
            </w:r>
            <w:r w:rsidR="006F27F7">
              <w:rPr>
                <w:rFonts w:eastAsia="Times New Roman" w:cs="Calibri"/>
                <w:sz w:val="20"/>
                <w:szCs w:val="20"/>
              </w:rPr>
              <w:t>imum</w:t>
            </w:r>
          </w:p>
        </w:tc>
        <w:tc>
          <w:tcPr>
            <w:tcW w:w="850" w:type="dxa"/>
            <w:tcBorders>
              <w:top w:val="nil"/>
              <w:left w:val="nil"/>
              <w:bottom w:val="nil"/>
              <w:right w:val="nil"/>
            </w:tcBorders>
            <w:shd w:val="clear" w:color="auto" w:fill="auto"/>
            <w:noWrap/>
            <w:vAlign w:val="bottom"/>
            <w:hideMark/>
          </w:tcPr>
          <w:p w14:paraId="3AAE3D6E"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161</w:t>
            </w:r>
          </w:p>
        </w:tc>
        <w:tc>
          <w:tcPr>
            <w:tcW w:w="960" w:type="dxa"/>
            <w:tcBorders>
              <w:top w:val="nil"/>
              <w:left w:val="nil"/>
              <w:bottom w:val="nil"/>
              <w:right w:val="nil"/>
            </w:tcBorders>
            <w:shd w:val="clear" w:color="auto" w:fill="auto"/>
            <w:noWrap/>
            <w:vAlign w:val="bottom"/>
            <w:hideMark/>
          </w:tcPr>
          <w:p w14:paraId="49777B94"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6.94</w:t>
            </w:r>
          </w:p>
        </w:tc>
        <w:tc>
          <w:tcPr>
            <w:tcW w:w="960" w:type="dxa"/>
            <w:tcBorders>
              <w:top w:val="nil"/>
              <w:left w:val="nil"/>
              <w:bottom w:val="nil"/>
              <w:right w:val="nil"/>
            </w:tcBorders>
            <w:shd w:val="clear" w:color="auto" w:fill="auto"/>
            <w:noWrap/>
            <w:vAlign w:val="bottom"/>
            <w:hideMark/>
          </w:tcPr>
          <w:p w14:paraId="07CCB5B6"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0.792</w:t>
            </w:r>
          </w:p>
        </w:tc>
        <w:tc>
          <w:tcPr>
            <w:tcW w:w="1010" w:type="dxa"/>
            <w:tcBorders>
              <w:top w:val="nil"/>
              <w:left w:val="nil"/>
              <w:bottom w:val="nil"/>
              <w:right w:val="nil"/>
            </w:tcBorders>
            <w:shd w:val="clear" w:color="auto" w:fill="auto"/>
            <w:noWrap/>
            <w:vAlign w:val="bottom"/>
            <w:hideMark/>
          </w:tcPr>
          <w:p w14:paraId="5363AB88"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8.00</w:t>
            </w:r>
          </w:p>
        </w:tc>
        <w:tc>
          <w:tcPr>
            <w:tcW w:w="960" w:type="dxa"/>
            <w:tcBorders>
              <w:top w:val="nil"/>
              <w:left w:val="nil"/>
              <w:bottom w:val="nil"/>
              <w:right w:val="nil"/>
            </w:tcBorders>
            <w:shd w:val="clear" w:color="auto" w:fill="auto"/>
            <w:noWrap/>
            <w:vAlign w:val="bottom"/>
            <w:hideMark/>
          </w:tcPr>
          <w:p w14:paraId="31B864E3"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57.5</w:t>
            </w:r>
          </w:p>
        </w:tc>
        <w:tc>
          <w:tcPr>
            <w:tcW w:w="960" w:type="dxa"/>
            <w:tcBorders>
              <w:top w:val="nil"/>
              <w:left w:val="nil"/>
              <w:bottom w:val="nil"/>
              <w:right w:val="nil"/>
            </w:tcBorders>
            <w:shd w:val="clear" w:color="auto" w:fill="auto"/>
            <w:noWrap/>
            <w:vAlign w:val="bottom"/>
            <w:hideMark/>
          </w:tcPr>
          <w:p w14:paraId="0A032233"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53.9</w:t>
            </w:r>
          </w:p>
        </w:tc>
      </w:tr>
      <w:tr w:rsidR="005E60C9" w:rsidRPr="006F27F7" w14:paraId="6433BD74" w14:textId="77777777" w:rsidTr="005E60C9">
        <w:trPr>
          <w:trHeight w:val="255"/>
        </w:trPr>
        <w:tc>
          <w:tcPr>
            <w:tcW w:w="2430" w:type="dxa"/>
            <w:tcBorders>
              <w:top w:val="nil"/>
              <w:left w:val="nil"/>
              <w:bottom w:val="nil"/>
              <w:right w:val="nil"/>
            </w:tcBorders>
            <w:shd w:val="clear" w:color="auto" w:fill="auto"/>
            <w:noWrap/>
            <w:vAlign w:val="bottom"/>
            <w:hideMark/>
          </w:tcPr>
          <w:p w14:paraId="7F89B39F" w14:textId="62CF9C4B" w:rsidR="005E60C9" w:rsidRPr="006F27F7" w:rsidRDefault="005E60C9" w:rsidP="005E60C9">
            <w:pPr>
              <w:spacing w:after="0" w:line="240" w:lineRule="auto"/>
              <w:jc w:val="right"/>
              <w:rPr>
                <w:rFonts w:eastAsia="Times New Roman" w:cs="Calibri"/>
                <w:sz w:val="20"/>
                <w:szCs w:val="20"/>
              </w:rPr>
            </w:pPr>
            <w:r w:rsidRPr="006F27F7">
              <w:rPr>
                <w:rFonts w:eastAsia="Times New Roman" w:cs="Calibri"/>
                <w:sz w:val="20"/>
                <w:szCs w:val="20"/>
              </w:rPr>
              <w:t>Max</w:t>
            </w:r>
            <w:r w:rsidR="006F27F7">
              <w:rPr>
                <w:rFonts w:eastAsia="Times New Roman" w:cs="Calibri"/>
                <w:sz w:val="20"/>
                <w:szCs w:val="20"/>
              </w:rPr>
              <w:t>imum</w:t>
            </w:r>
          </w:p>
        </w:tc>
        <w:tc>
          <w:tcPr>
            <w:tcW w:w="850" w:type="dxa"/>
            <w:tcBorders>
              <w:top w:val="nil"/>
              <w:left w:val="nil"/>
              <w:bottom w:val="nil"/>
              <w:right w:val="nil"/>
            </w:tcBorders>
            <w:shd w:val="clear" w:color="auto" w:fill="auto"/>
            <w:noWrap/>
            <w:vAlign w:val="bottom"/>
            <w:hideMark/>
          </w:tcPr>
          <w:p w14:paraId="60BCCB87"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190</w:t>
            </w:r>
          </w:p>
        </w:tc>
        <w:tc>
          <w:tcPr>
            <w:tcW w:w="960" w:type="dxa"/>
            <w:tcBorders>
              <w:top w:val="nil"/>
              <w:left w:val="nil"/>
              <w:bottom w:val="nil"/>
              <w:right w:val="nil"/>
            </w:tcBorders>
            <w:shd w:val="clear" w:color="auto" w:fill="auto"/>
            <w:noWrap/>
            <w:vAlign w:val="bottom"/>
            <w:hideMark/>
          </w:tcPr>
          <w:p w14:paraId="45D8E21E"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9.06</w:t>
            </w:r>
          </w:p>
        </w:tc>
        <w:tc>
          <w:tcPr>
            <w:tcW w:w="960" w:type="dxa"/>
            <w:tcBorders>
              <w:top w:val="nil"/>
              <w:left w:val="nil"/>
              <w:bottom w:val="nil"/>
              <w:right w:val="nil"/>
            </w:tcBorders>
            <w:shd w:val="clear" w:color="auto" w:fill="auto"/>
            <w:noWrap/>
            <w:vAlign w:val="bottom"/>
            <w:hideMark/>
          </w:tcPr>
          <w:p w14:paraId="2C677E34"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1.04</w:t>
            </w:r>
          </w:p>
        </w:tc>
        <w:tc>
          <w:tcPr>
            <w:tcW w:w="1010" w:type="dxa"/>
            <w:tcBorders>
              <w:top w:val="nil"/>
              <w:left w:val="nil"/>
              <w:bottom w:val="nil"/>
              <w:right w:val="nil"/>
            </w:tcBorders>
            <w:shd w:val="clear" w:color="auto" w:fill="auto"/>
            <w:noWrap/>
            <w:vAlign w:val="bottom"/>
            <w:hideMark/>
          </w:tcPr>
          <w:p w14:paraId="19615A8C"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31.0</w:t>
            </w:r>
          </w:p>
        </w:tc>
        <w:tc>
          <w:tcPr>
            <w:tcW w:w="960" w:type="dxa"/>
            <w:tcBorders>
              <w:top w:val="nil"/>
              <w:left w:val="nil"/>
              <w:bottom w:val="nil"/>
              <w:right w:val="nil"/>
            </w:tcBorders>
            <w:shd w:val="clear" w:color="auto" w:fill="auto"/>
            <w:noWrap/>
            <w:vAlign w:val="bottom"/>
            <w:hideMark/>
          </w:tcPr>
          <w:p w14:paraId="46DB758A"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96.5</w:t>
            </w:r>
          </w:p>
        </w:tc>
        <w:tc>
          <w:tcPr>
            <w:tcW w:w="960" w:type="dxa"/>
            <w:tcBorders>
              <w:top w:val="nil"/>
              <w:left w:val="nil"/>
              <w:bottom w:val="nil"/>
              <w:right w:val="nil"/>
            </w:tcBorders>
            <w:shd w:val="clear" w:color="auto" w:fill="auto"/>
            <w:noWrap/>
            <w:vAlign w:val="bottom"/>
            <w:hideMark/>
          </w:tcPr>
          <w:p w14:paraId="6C391050"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72.2</w:t>
            </w:r>
          </w:p>
        </w:tc>
      </w:tr>
      <w:tr w:rsidR="005E60C9" w:rsidRPr="006F27F7" w14:paraId="1A293EE4" w14:textId="77777777" w:rsidTr="005E60C9">
        <w:trPr>
          <w:trHeight w:val="255"/>
        </w:trPr>
        <w:tc>
          <w:tcPr>
            <w:tcW w:w="2430" w:type="dxa"/>
            <w:tcBorders>
              <w:top w:val="nil"/>
              <w:left w:val="nil"/>
              <w:bottom w:val="nil"/>
              <w:right w:val="nil"/>
            </w:tcBorders>
            <w:shd w:val="clear" w:color="auto" w:fill="auto"/>
            <w:noWrap/>
            <w:vAlign w:val="bottom"/>
            <w:hideMark/>
          </w:tcPr>
          <w:p w14:paraId="2FF7F6AA" w14:textId="77777777" w:rsidR="005E60C9" w:rsidRPr="006F27F7" w:rsidRDefault="005E60C9" w:rsidP="005E60C9">
            <w:pPr>
              <w:spacing w:after="0" w:line="240" w:lineRule="auto"/>
              <w:jc w:val="right"/>
              <w:rPr>
                <w:rFonts w:eastAsia="Times New Roman" w:cs="Calibri"/>
                <w:sz w:val="20"/>
                <w:szCs w:val="20"/>
              </w:rPr>
            </w:pPr>
            <w:r w:rsidRPr="006F27F7">
              <w:rPr>
                <w:rFonts w:eastAsia="Times New Roman" w:cs="Calibri"/>
                <w:sz w:val="20"/>
                <w:szCs w:val="20"/>
              </w:rPr>
              <w:t>Range</w:t>
            </w:r>
          </w:p>
        </w:tc>
        <w:tc>
          <w:tcPr>
            <w:tcW w:w="850" w:type="dxa"/>
            <w:tcBorders>
              <w:top w:val="nil"/>
              <w:left w:val="nil"/>
              <w:bottom w:val="nil"/>
              <w:right w:val="nil"/>
            </w:tcBorders>
            <w:shd w:val="clear" w:color="auto" w:fill="auto"/>
            <w:noWrap/>
            <w:vAlign w:val="bottom"/>
            <w:hideMark/>
          </w:tcPr>
          <w:p w14:paraId="56BEA455"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29</w:t>
            </w:r>
          </w:p>
        </w:tc>
        <w:tc>
          <w:tcPr>
            <w:tcW w:w="960" w:type="dxa"/>
            <w:tcBorders>
              <w:top w:val="nil"/>
              <w:left w:val="nil"/>
              <w:bottom w:val="nil"/>
              <w:right w:val="nil"/>
            </w:tcBorders>
            <w:shd w:val="clear" w:color="auto" w:fill="auto"/>
            <w:noWrap/>
            <w:vAlign w:val="bottom"/>
            <w:hideMark/>
          </w:tcPr>
          <w:p w14:paraId="6AB34324"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2.12</w:t>
            </w:r>
          </w:p>
        </w:tc>
        <w:tc>
          <w:tcPr>
            <w:tcW w:w="960" w:type="dxa"/>
            <w:tcBorders>
              <w:top w:val="nil"/>
              <w:left w:val="nil"/>
              <w:bottom w:val="nil"/>
              <w:right w:val="nil"/>
            </w:tcBorders>
            <w:shd w:val="clear" w:color="auto" w:fill="auto"/>
            <w:noWrap/>
            <w:vAlign w:val="bottom"/>
            <w:hideMark/>
          </w:tcPr>
          <w:p w14:paraId="7A23BC5A"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0.25</w:t>
            </w:r>
          </w:p>
        </w:tc>
        <w:tc>
          <w:tcPr>
            <w:tcW w:w="1010" w:type="dxa"/>
            <w:tcBorders>
              <w:top w:val="nil"/>
              <w:left w:val="nil"/>
              <w:bottom w:val="nil"/>
              <w:right w:val="nil"/>
            </w:tcBorders>
            <w:shd w:val="clear" w:color="auto" w:fill="auto"/>
            <w:noWrap/>
            <w:vAlign w:val="bottom"/>
            <w:hideMark/>
          </w:tcPr>
          <w:p w14:paraId="47FDC7B3"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23.0</w:t>
            </w:r>
          </w:p>
        </w:tc>
        <w:tc>
          <w:tcPr>
            <w:tcW w:w="960" w:type="dxa"/>
            <w:tcBorders>
              <w:top w:val="nil"/>
              <w:left w:val="nil"/>
              <w:bottom w:val="nil"/>
              <w:right w:val="nil"/>
            </w:tcBorders>
            <w:shd w:val="clear" w:color="auto" w:fill="auto"/>
            <w:noWrap/>
            <w:vAlign w:val="bottom"/>
            <w:hideMark/>
          </w:tcPr>
          <w:p w14:paraId="6DE2F35E"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39.0</w:t>
            </w:r>
          </w:p>
        </w:tc>
        <w:tc>
          <w:tcPr>
            <w:tcW w:w="960" w:type="dxa"/>
            <w:tcBorders>
              <w:top w:val="nil"/>
              <w:left w:val="nil"/>
              <w:bottom w:val="nil"/>
              <w:right w:val="nil"/>
            </w:tcBorders>
            <w:shd w:val="clear" w:color="auto" w:fill="auto"/>
            <w:noWrap/>
            <w:vAlign w:val="bottom"/>
            <w:hideMark/>
          </w:tcPr>
          <w:p w14:paraId="369F5915"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18.3</w:t>
            </w:r>
          </w:p>
        </w:tc>
      </w:tr>
      <w:tr w:rsidR="005E60C9" w:rsidRPr="006F27F7" w14:paraId="3E839E1E" w14:textId="77777777" w:rsidTr="005E60C9">
        <w:trPr>
          <w:trHeight w:val="255"/>
        </w:trPr>
        <w:tc>
          <w:tcPr>
            <w:tcW w:w="2430" w:type="dxa"/>
            <w:tcBorders>
              <w:top w:val="nil"/>
              <w:left w:val="nil"/>
              <w:bottom w:val="nil"/>
              <w:right w:val="nil"/>
            </w:tcBorders>
            <w:shd w:val="clear" w:color="auto" w:fill="auto"/>
            <w:noWrap/>
            <w:vAlign w:val="bottom"/>
            <w:hideMark/>
          </w:tcPr>
          <w:p w14:paraId="3B5E7683" w14:textId="77777777" w:rsidR="005E60C9" w:rsidRPr="006F27F7" w:rsidRDefault="005E60C9" w:rsidP="005E60C9">
            <w:pPr>
              <w:spacing w:after="0" w:line="240" w:lineRule="auto"/>
              <w:jc w:val="right"/>
              <w:rPr>
                <w:rFonts w:eastAsia="Times New Roman" w:cs="Calibri"/>
                <w:sz w:val="20"/>
                <w:szCs w:val="20"/>
              </w:rPr>
            </w:pPr>
            <w:r w:rsidRPr="006F27F7">
              <w:rPr>
                <w:rFonts w:eastAsia="Times New Roman" w:cs="Calibri"/>
                <w:sz w:val="20"/>
                <w:szCs w:val="20"/>
              </w:rPr>
              <w:t>n</w:t>
            </w:r>
          </w:p>
        </w:tc>
        <w:tc>
          <w:tcPr>
            <w:tcW w:w="850" w:type="dxa"/>
            <w:tcBorders>
              <w:top w:val="nil"/>
              <w:left w:val="nil"/>
              <w:bottom w:val="nil"/>
              <w:right w:val="nil"/>
            </w:tcBorders>
            <w:shd w:val="clear" w:color="auto" w:fill="auto"/>
            <w:noWrap/>
            <w:vAlign w:val="bottom"/>
            <w:hideMark/>
          </w:tcPr>
          <w:p w14:paraId="31F55695"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28</w:t>
            </w:r>
          </w:p>
        </w:tc>
        <w:tc>
          <w:tcPr>
            <w:tcW w:w="960" w:type="dxa"/>
            <w:tcBorders>
              <w:top w:val="nil"/>
              <w:left w:val="nil"/>
              <w:bottom w:val="nil"/>
              <w:right w:val="nil"/>
            </w:tcBorders>
            <w:shd w:val="clear" w:color="auto" w:fill="auto"/>
            <w:noWrap/>
            <w:vAlign w:val="bottom"/>
            <w:hideMark/>
          </w:tcPr>
          <w:p w14:paraId="2C07678C"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28</w:t>
            </w:r>
          </w:p>
        </w:tc>
        <w:tc>
          <w:tcPr>
            <w:tcW w:w="960" w:type="dxa"/>
            <w:tcBorders>
              <w:top w:val="nil"/>
              <w:left w:val="nil"/>
              <w:bottom w:val="nil"/>
              <w:right w:val="nil"/>
            </w:tcBorders>
            <w:shd w:val="clear" w:color="auto" w:fill="auto"/>
            <w:noWrap/>
            <w:vAlign w:val="bottom"/>
            <w:hideMark/>
          </w:tcPr>
          <w:p w14:paraId="331C4266"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28</w:t>
            </w:r>
          </w:p>
        </w:tc>
        <w:tc>
          <w:tcPr>
            <w:tcW w:w="1010" w:type="dxa"/>
            <w:tcBorders>
              <w:top w:val="nil"/>
              <w:left w:val="nil"/>
              <w:bottom w:val="nil"/>
              <w:right w:val="nil"/>
            </w:tcBorders>
            <w:shd w:val="clear" w:color="auto" w:fill="auto"/>
            <w:noWrap/>
            <w:vAlign w:val="bottom"/>
            <w:hideMark/>
          </w:tcPr>
          <w:p w14:paraId="5E2C030B"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28</w:t>
            </w:r>
          </w:p>
        </w:tc>
        <w:tc>
          <w:tcPr>
            <w:tcW w:w="960" w:type="dxa"/>
            <w:tcBorders>
              <w:top w:val="nil"/>
              <w:left w:val="nil"/>
              <w:bottom w:val="nil"/>
              <w:right w:val="nil"/>
            </w:tcBorders>
            <w:shd w:val="clear" w:color="auto" w:fill="auto"/>
            <w:noWrap/>
            <w:vAlign w:val="bottom"/>
            <w:hideMark/>
          </w:tcPr>
          <w:p w14:paraId="597D9B7B"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28</w:t>
            </w:r>
          </w:p>
        </w:tc>
        <w:tc>
          <w:tcPr>
            <w:tcW w:w="960" w:type="dxa"/>
            <w:tcBorders>
              <w:top w:val="nil"/>
              <w:left w:val="nil"/>
              <w:bottom w:val="nil"/>
              <w:right w:val="nil"/>
            </w:tcBorders>
            <w:shd w:val="clear" w:color="auto" w:fill="auto"/>
            <w:noWrap/>
            <w:vAlign w:val="bottom"/>
            <w:hideMark/>
          </w:tcPr>
          <w:p w14:paraId="42C29965"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28</w:t>
            </w:r>
          </w:p>
        </w:tc>
      </w:tr>
      <w:tr w:rsidR="005E60C9" w:rsidRPr="006F27F7" w14:paraId="4ED2D8FD" w14:textId="77777777" w:rsidTr="005E60C9">
        <w:trPr>
          <w:trHeight w:val="81"/>
        </w:trPr>
        <w:tc>
          <w:tcPr>
            <w:tcW w:w="2430" w:type="dxa"/>
            <w:tcBorders>
              <w:top w:val="nil"/>
              <w:left w:val="nil"/>
              <w:bottom w:val="nil"/>
              <w:right w:val="nil"/>
            </w:tcBorders>
            <w:shd w:val="clear" w:color="auto" w:fill="auto"/>
            <w:noWrap/>
            <w:vAlign w:val="bottom"/>
            <w:hideMark/>
          </w:tcPr>
          <w:p w14:paraId="5A55CA5A" w14:textId="77777777" w:rsidR="005E60C9" w:rsidRPr="006F27F7" w:rsidRDefault="005E60C9" w:rsidP="005E60C9">
            <w:pPr>
              <w:spacing w:after="0" w:line="240" w:lineRule="auto"/>
              <w:jc w:val="center"/>
              <w:rPr>
                <w:rFonts w:eastAsia="Times New Roman" w:cs="Calibri"/>
                <w:sz w:val="20"/>
                <w:szCs w:val="20"/>
              </w:rPr>
            </w:pPr>
          </w:p>
        </w:tc>
        <w:tc>
          <w:tcPr>
            <w:tcW w:w="850" w:type="dxa"/>
            <w:tcBorders>
              <w:top w:val="nil"/>
              <w:left w:val="nil"/>
              <w:bottom w:val="nil"/>
              <w:right w:val="nil"/>
            </w:tcBorders>
            <w:shd w:val="clear" w:color="auto" w:fill="auto"/>
            <w:noWrap/>
            <w:vAlign w:val="bottom"/>
            <w:hideMark/>
          </w:tcPr>
          <w:p w14:paraId="2840B64A" w14:textId="77777777" w:rsidR="005E60C9" w:rsidRPr="006F27F7" w:rsidRDefault="005E60C9" w:rsidP="005E60C9">
            <w:pPr>
              <w:spacing w:after="0" w:line="240" w:lineRule="auto"/>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559DF552" w14:textId="77777777" w:rsidR="005E60C9" w:rsidRPr="006F27F7" w:rsidRDefault="005E60C9" w:rsidP="005E60C9">
            <w:pPr>
              <w:spacing w:after="0" w:line="240" w:lineRule="auto"/>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27D92CB9" w14:textId="77777777" w:rsidR="005E60C9" w:rsidRPr="006F27F7" w:rsidRDefault="005E60C9" w:rsidP="005E60C9">
            <w:pPr>
              <w:spacing w:after="0" w:line="240" w:lineRule="auto"/>
              <w:rPr>
                <w:rFonts w:eastAsia="Times New Roman"/>
                <w:sz w:val="20"/>
                <w:szCs w:val="20"/>
              </w:rPr>
            </w:pPr>
          </w:p>
        </w:tc>
        <w:tc>
          <w:tcPr>
            <w:tcW w:w="1010" w:type="dxa"/>
            <w:tcBorders>
              <w:top w:val="nil"/>
              <w:left w:val="nil"/>
              <w:bottom w:val="nil"/>
              <w:right w:val="nil"/>
            </w:tcBorders>
            <w:shd w:val="clear" w:color="auto" w:fill="auto"/>
            <w:noWrap/>
            <w:vAlign w:val="bottom"/>
            <w:hideMark/>
          </w:tcPr>
          <w:p w14:paraId="51957831" w14:textId="77777777" w:rsidR="005E60C9" w:rsidRPr="006F27F7" w:rsidRDefault="005E60C9" w:rsidP="005E60C9">
            <w:pPr>
              <w:spacing w:after="0" w:line="240" w:lineRule="auto"/>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6E30D879" w14:textId="77777777" w:rsidR="005E60C9" w:rsidRPr="006F27F7" w:rsidRDefault="005E60C9" w:rsidP="005E60C9">
            <w:pPr>
              <w:spacing w:after="0" w:line="240" w:lineRule="auto"/>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62ED90A4" w14:textId="77777777" w:rsidR="005E60C9" w:rsidRPr="006F27F7" w:rsidRDefault="005E60C9" w:rsidP="005E60C9">
            <w:pPr>
              <w:spacing w:after="0" w:line="240" w:lineRule="auto"/>
              <w:rPr>
                <w:rFonts w:eastAsia="Times New Roman"/>
                <w:sz w:val="20"/>
                <w:szCs w:val="20"/>
              </w:rPr>
            </w:pPr>
          </w:p>
        </w:tc>
      </w:tr>
      <w:tr w:rsidR="005E60C9" w:rsidRPr="006F27F7" w14:paraId="25238252" w14:textId="77777777" w:rsidTr="005E60C9">
        <w:trPr>
          <w:trHeight w:val="270"/>
        </w:trPr>
        <w:tc>
          <w:tcPr>
            <w:tcW w:w="2430" w:type="dxa"/>
            <w:tcBorders>
              <w:top w:val="single" w:sz="4" w:space="0" w:color="auto"/>
              <w:left w:val="nil"/>
              <w:bottom w:val="double" w:sz="6" w:space="0" w:color="auto"/>
              <w:right w:val="nil"/>
            </w:tcBorders>
            <w:shd w:val="clear" w:color="auto" w:fill="auto"/>
            <w:noWrap/>
            <w:vAlign w:val="bottom"/>
            <w:hideMark/>
          </w:tcPr>
          <w:p w14:paraId="09DB53F4" w14:textId="77777777" w:rsidR="005E60C9" w:rsidRPr="006F27F7" w:rsidRDefault="005E60C9" w:rsidP="005E60C9">
            <w:pPr>
              <w:spacing w:after="0" w:line="240" w:lineRule="auto"/>
              <w:rPr>
                <w:rFonts w:eastAsia="Times New Roman" w:cs="Calibri"/>
                <w:sz w:val="20"/>
                <w:szCs w:val="20"/>
              </w:rPr>
            </w:pPr>
            <w:r w:rsidRPr="006F27F7">
              <w:rPr>
                <w:rFonts w:eastAsia="Times New Roman" w:cs="Calibri"/>
                <w:sz w:val="20"/>
                <w:szCs w:val="20"/>
              </w:rPr>
              <w:t>Cell 1 Effluent</w:t>
            </w:r>
          </w:p>
        </w:tc>
        <w:tc>
          <w:tcPr>
            <w:tcW w:w="850" w:type="dxa"/>
            <w:tcBorders>
              <w:top w:val="single" w:sz="4" w:space="0" w:color="auto"/>
              <w:left w:val="nil"/>
              <w:bottom w:val="double" w:sz="6" w:space="0" w:color="auto"/>
              <w:right w:val="nil"/>
            </w:tcBorders>
            <w:shd w:val="clear" w:color="auto" w:fill="auto"/>
            <w:noWrap/>
            <w:vAlign w:val="bottom"/>
            <w:hideMark/>
          </w:tcPr>
          <w:p w14:paraId="3E307CA6"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Iron (mg/L)</w:t>
            </w:r>
          </w:p>
        </w:tc>
        <w:tc>
          <w:tcPr>
            <w:tcW w:w="960" w:type="dxa"/>
            <w:tcBorders>
              <w:top w:val="single" w:sz="4" w:space="0" w:color="auto"/>
              <w:left w:val="nil"/>
              <w:bottom w:val="double" w:sz="6" w:space="0" w:color="auto"/>
              <w:right w:val="nil"/>
            </w:tcBorders>
            <w:shd w:val="clear" w:color="auto" w:fill="auto"/>
            <w:noWrap/>
            <w:vAlign w:val="bottom"/>
            <w:hideMark/>
          </w:tcPr>
          <w:p w14:paraId="652AD14E"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Zinc (mg/L)</w:t>
            </w:r>
          </w:p>
        </w:tc>
        <w:tc>
          <w:tcPr>
            <w:tcW w:w="960" w:type="dxa"/>
            <w:tcBorders>
              <w:top w:val="single" w:sz="4" w:space="0" w:color="auto"/>
              <w:left w:val="nil"/>
              <w:bottom w:val="double" w:sz="6" w:space="0" w:color="auto"/>
              <w:right w:val="nil"/>
            </w:tcBorders>
            <w:shd w:val="clear" w:color="auto" w:fill="auto"/>
            <w:noWrap/>
            <w:vAlign w:val="bottom"/>
            <w:hideMark/>
          </w:tcPr>
          <w:p w14:paraId="36AC97D8"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Nickel (mg/L)</w:t>
            </w:r>
          </w:p>
        </w:tc>
        <w:tc>
          <w:tcPr>
            <w:tcW w:w="1010" w:type="dxa"/>
            <w:tcBorders>
              <w:top w:val="single" w:sz="4" w:space="0" w:color="auto"/>
              <w:left w:val="nil"/>
              <w:bottom w:val="double" w:sz="6" w:space="0" w:color="auto"/>
              <w:right w:val="nil"/>
            </w:tcBorders>
            <w:shd w:val="clear" w:color="auto" w:fill="auto"/>
            <w:noWrap/>
            <w:vAlign w:val="bottom"/>
            <w:hideMark/>
          </w:tcPr>
          <w:p w14:paraId="164A12A3"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Cadmium (µg/L)</w:t>
            </w:r>
          </w:p>
        </w:tc>
        <w:tc>
          <w:tcPr>
            <w:tcW w:w="960" w:type="dxa"/>
            <w:tcBorders>
              <w:top w:val="single" w:sz="4" w:space="0" w:color="auto"/>
              <w:left w:val="nil"/>
              <w:bottom w:val="double" w:sz="6" w:space="0" w:color="auto"/>
              <w:right w:val="nil"/>
            </w:tcBorders>
            <w:shd w:val="clear" w:color="auto" w:fill="auto"/>
            <w:noWrap/>
            <w:vAlign w:val="bottom"/>
            <w:hideMark/>
          </w:tcPr>
          <w:p w14:paraId="32B9B089"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Lead (µg/L)</w:t>
            </w:r>
          </w:p>
        </w:tc>
        <w:tc>
          <w:tcPr>
            <w:tcW w:w="960" w:type="dxa"/>
            <w:tcBorders>
              <w:top w:val="single" w:sz="4" w:space="0" w:color="auto"/>
              <w:left w:val="nil"/>
              <w:bottom w:val="double" w:sz="6" w:space="0" w:color="auto"/>
              <w:right w:val="nil"/>
            </w:tcBorders>
            <w:shd w:val="clear" w:color="auto" w:fill="auto"/>
            <w:noWrap/>
            <w:vAlign w:val="bottom"/>
            <w:hideMark/>
          </w:tcPr>
          <w:p w14:paraId="18B64FE3"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Arsenic (µg/L)</w:t>
            </w:r>
          </w:p>
        </w:tc>
      </w:tr>
      <w:tr w:rsidR="005E60C9" w:rsidRPr="006F27F7" w14:paraId="398D6EEA" w14:textId="77777777" w:rsidTr="005E60C9">
        <w:trPr>
          <w:trHeight w:val="270"/>
        </w:trPr>
        <w:tc>
          <w:tcPr>
            <w:tcW w:w="2430" w:type="dxa"/>
            <w:tcBorders>
              <w:top w:val="nil"/>
              <w:left w:val="nil"/>
              <w:bottom w:val="nil"/>
              <w:right w:val="nil"/>
            </w:tcBorders>
            <w:shd w:val="clear" w:color="auto" w:fill="auto"/>
            <w:noWrap/>
            <w:vAlign w:val="bottom"/>
            <w:hideMark/>
          </w:tcPr>
          <w:p w14:paraId="5E4B48DF" w14:textId="77777777" w:rsidR="005E60C9" w:rsidRPr="006F27F7" w:rsidRDefault="005E60C9" w:rsidP="005E60C9">
            <w:pPr>
              <w:spacing w:after="0" w:line="240" w:lineRule="auto"/>
              <w:jc w:val="right"/>
              <w:rPr>
                <w:rFonts w:eastAsia="Times New Roman" w:cs="Calibri"/>
                <w:sz w:val="20"/>
                <w:szCs w:val="20"/>
              </w:rPr>
            </w:pPr>
            <w:r w:rsidRPr="006F27F7">
              <w:rPr>
                <w:rFonts w:eastAsia="Times New Roman" w:cs="Calibri"/>
                <w:sz w:val="20"/>
                <w:szCs w:val="20"/>
              </w:rPr>
              <w:t>Average</w:t>
            </w:r>
          </w:p>
        </w:tc>
        <w:tc>
          <w:tcPr>
            <w:tcW w:w="850" w:type="dxa"/>
            <w:tcBorders>
              <w:top w:val="nil"/>
              <w:left w:val="nil"/>
              <w:bottom w:val="nil"/>
              <w:right w:val="nil"/>
            </w:tcBorders>
            <w:shd w:val="clear" w:color="auto" w:fill="auto"/>
            <w:noWrap/>
            <w:vAlign w:val="bottom"/>
            <w:hideMark/>
          </w:tcPr>
          <w:p w14:paraId="09377EFD"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34.7</w:t>
            </w:r>
          </w:p>
        </w:tc>
        <w:tc>
          <w:tcPr>
            <w:tcW w:w="960" w:type="dxa"/>
            <w:tcBorders>
              <w:top w:val="nil"/>
              <w:left w:val="nil"/>
              <w:bottom w:val="nil"/>
              <w:right w:val="nil"/>
            </w:tcBorders>
            <w:shd w:val="clear" w:color="auto" w:fill="auto"/>
            <w:noWrap/>
            <w:vAlign w:val="bottom"/>
            <w:hideMark/>
          </w:tcPr>
          <w:p w14:paraId="310F5992"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6.25</w:t>
            </w:r>
          </w:p>
        </w:tc>
        <w:tc>
          <w:tcPr>
            <w:tcW w:w="960" w:type="dxa"/>
            <w:tcBorders>
              <w:top w:val="nil"/>
              <w:left w:val="nil"/>
              <w:bottom w:val="nil"/>
              <w:right w:val="nil"/>
            </w:tcBorders>
            <w:shd w:val="clear" w:color="auto" w:fill="auto"/>
            <w:noWrap/>
            <w:vAlign w:val="bottom"/>
            <w:hideMark/>
          </w:tcPr>
          <w:p w14:paraId="34EC0F94"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0.827</w:t>
            </w:r>
          </w:p>
        </w:tc>
        <w:tc>
          <w:tcPr>
            <w:tcW w:w="1010" w:type="dxa"/>
            <w:tcBorders>
              <w:top w:val="nil"/>
              <w:left w:val="nil"/>
              <w:bottom w:val="nil"/>
              <w:right w:val="nil"/>
            </w:tcBorders>
            <w:shd w:val="clear" w:color="auto" w:fill="auto"/>
            <w:noWrap/>
            <w:vAlign w:val="bottom"/>
            <w:hideMark/>
          </w:tcPr>
          <w:p w14:paraId="5F1E7CED"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4.10</w:t>
            </w:r>
          </w:p>
        </w:tc>
        <w:tc>
          <w:tcPr>
            <w:tcW w:w="960" w:type="dxa"/>
            <w:tcBorders>
              <w:top w:val="nil"/>
              <w:left w:val="nil"/>
              <w:bottom w:val="nil"/>
              <w:right w:val="nil"/>
            </w:tcBorders>
            <w:shd w:val="clear" w:color="auto" w:fill="auto"/>
            <w:noWrap/>
            <w:vAlign w:val="bottom"/>
            <w:hideMark/>
          </w:tcPr>
          <w:p w14:paraId="2FAB79F9"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33.3</w:t>
            </w:r>
          </w:p>
        </w:tc>
        <w:tc>
          <w:tcPr>
            <w:tcW w:w="960" w:type="dxa"/>
            <w:tcBorders>
              <w:top w:val="nil"/>
              <w:left w:val="nil"/>
              <w:bottom w:val="nil"/>
              <w:right w:val="nil"/>
            </w:tcBorders>
            <w:shd w:val="clear" w:color="auto" w:fill="auto"/>
            <w:noWrap/>
            <w:vAlign w:val="bottom"/>
            <w:hideMark/>
          </w:tcPr>
          <w:p w14:paraId="6073122F"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BDL</w:t>
            </w:r>
          </w:p>
        </w:tc>
      </w:tr>
      <w:tr w:rsidR="005E60C9" w:rsidRPr="006F27F7" w14:paraId="4DCF3BDF" w14:textId="77777777" w:rsidTr="005E60C9">
        <w:trPr>
          <w:trHeight w:val="255"/>
        </w:trPr>
        <w:tc>
          <w:tcPr>
            <w:tcW w:w="2430" w:type="dxa"/>
            <w:tcBorders>
              <w:top w:val="nil"/>
              <w:left w:val="nil"/>
              <w:bottom w:val="nil"/>
              <w:right w:val="nil"/>
            </w:tcBorders>
            <w:shd w:val="clear" w:color="auto" w:fill="auto"/>
            <w:noWrap/>
            <w:vAlign w:val="bottom"/>
            <w:hideMark/>
          </w:tcPr>
          <w:p w14:paraId="01E4D8AF" w14:textId="77777777" w:rsidR="005E60C9" w:rsidRPr="006F27F7" w:rsidRDefault="005E60C9" w:rsidP="005E60C9">
            <w:pPr>
              <w:spacing w:after="0" w:line="240" w:lineRule="auto"/>
              <w:jc w:val="right"/>
              <w:rPr>
                <w:rFonts w:eastAsia="Times New Roman" w:cs="Calibri"/>
                <w:sz w:val="20"/>
                <w:szCs w:val="20"/>
              </w:rPr>
            </w:pPr>
            <w:r w:rsidRPr="006F27F7">
              <w:rPr>
                <w:rFonts w:eastAsia="Times New Roman" w:cs="Calibri"/>
                <w:sz w:val="20"/>
                <w:szCs w:val="20"/>
              </w:rPr>
              <w:t>Standard Deviation</w:t>
            </w:r>
          </w:p>
        </w:tc>
        <w:tc>
          <w:tcPr>
            <w:tcW w:w="850" w:type="dxa"/>
            <w:tcBorders>
              <w:top w:val="nil"/>
              <w:left w:val="nil"/>
              <w:bottom w:val="nil"/>
              <w:right w:val="nil"/>
            </w:tcBorders>
            <w:shd w:val="clear" w:color="auto" w:fill="auto"/>
            <w:noWrap/>
            <w:vAlign w:val="bottom"/>
            <w:hideMark/>
          </w:tcPr>
          <w:p w14:paraId="4359649A"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23.0</w:t>
            </w:r>
          </w:p>
        </w:tc>
        <w:tc>
          <w:tcPr>
            <w:tcW w:w="960" w:type="dxa"/>
            <w:tcBorders>
              <w:top w:val="nil"/>
              <w:left w:val="nil"/>
              <w:bottom w:val="nil"/>
              <w:right w:val="nil"/>
            </w:tcBorders>
            <w:shd w:val="clear" w:color="auto" w:fill="auto"/>
            <w:noWrap/>
            <w:vAlign w:val="bottom"/>
            <w:hideMark/>
          </w:tcPr>
          <w:p w14:paraId="5775362C"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0.83</w:t>
            </w:r>
          </w:p>
        </w:tc>
        <w:tc>
          <w:tcPr>
            <w:tcW w:w="960" w:type="dxa"/>
            <w:tcBorders>
              <w:top w:val="nil"/>
              <w:left w:val="nil"/>
              <w:bottom w:val="nil"/>
              <w:right w:val="nil"/>
            </w:tcBorders>
            <w:shd w:val="clear" w:color="auto" w:fill="auto"/>
            <w:noWrap/>
            <w:vAlign w:val="bottom"/>
            <w:hideMark/>
          </w:tcPr>
          <w:p w14:paraId="46AC18BD"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0.711</w:t>
            </w:r>
          </w:p>
        </w:tc>
        <w:tc>
          <w:tcPr>
            <w:tcW w:w="1010" w:type="dxa"/>
            <w:tcBorders>
              <w:top w:val="nil"/>
              <w:left w:val="nil"/>
              <w:bottom w:val="nil"/>
              <w:right w:val="nil"/>
            </w:tcBorders>
            <w:shd w:val="clear" w:color="auto" w:fill="auto"/>
            <w:noWrap/>
            <w:vAlign w:val="bottom"/>
            <w:hideMark/>
          </w:tcPr>
          <w:p w14:paraId="533DF3EF"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2.47</w:t>
            </w:r>
          </w:p>
        </w:tc>
        <w:tc>
          <w:tcPr>
            <w:tcW w:w="960" w:type="dxa"/>
            <w:tcBorders>
              <w:top w:val="nil"/>
              <w:left w:val="nil"/>
              <w:bottom w:val="nil"/>
              <w:right w:val="nil"/>
            </w:tcBorders>
            <w:shd w:val="clear" w:color="auto" w:fill="auto"/>
            <w:noWrap/>
            <w:vAlign w:val="bottom"/>
            <w:hideMark/>
          </w:tcPr>
          <w:p w14:paraId="0AC3F989"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8.85</w:t>
            </w:r>
          </w:p>
        </w:tc>
        <w:tc>
          <w:tcPr>
            <w:tcW w:w="960" w:type="dxa"/>
            <w:tcBorders>
              <w:top w:val="nil"/>
              <w:left w:val="nil"/>
              <w:bottom w:val="nil"/>
              <w:right w:val="nil"/>
            </w:tcBorders>
            <w:shd w:val="clear" w:color="auto" w:fill="auto"/>
            <w:noWrap/>
            <w:vAlign w:val="bottom"/>
            <w:hideMark/>
          </w:tcPr>
          <w:p w14:paraId="1B48AADA"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BDL</w:t>
            </w:r>
          </w:p>
        </w:tc>
      </w:tr>
      <w:tr w:rsidR="005E60C9" w:rsidRPr="006F27F7" w14:paraId="3F92F45C" w14:textId="77777777" w:rsidTr="005E60C9">
        <w:trPr>
          <w:trHeight w:val="255"/>
        </w:trPr>
        <w:tc>
          <w:tcPr>
            <w:tcW w:w="2430" w:type="dxa"/>
            <w:tcBorders>
              <w:top w:val="nil"/>
              <w:left w:val="nil"/>
              <w:bottom w:val="nil"/>
              <w:right w:val="nil"/>
            </w:tcBorders>
            <w:shd w:val="clear" w:color="auto" w:fill="auto"/>
            <w:noWrap/>
            <w:vAlign w:val="bottom"/>
            <w:hideMark/>
          </w:tcPr>
          <w:p w14:paraId="2238A937" w14:textId="77777777" w:rsidR="005E60C9" w:rsidRPr="006F27F7" w:rsidRDefault="005E60C9" w:rsidP="005E60C9">
            <w:pPr>
              <w:spacing w:after="0" w:line="240" w:lineRule="auto"/>
              <w:jc w:val="right"/>
              <w:rPr>
                <w:rFonts w:eastAsia="Times New Roman" w:cs="Calibri"/>
                <w:sz w:val="20"/>
                <w:szCs w:val="20"/>
              </w:rPr>
            </w:pPr>
            <w:r w:rsidRPr="006F27F7">
              <w:rPr>
                <w:rFonts w:eastAsia="Times New Roman" w:cs="Calibri"/>
                <w:sz w:val="20"/>
                <w:szCs w:val="20"/>
              </w:rPr>
              <w:t>%RSD</w:t>
            </w:r>
          </w:p>
        </w:tc>
        <w:tc>
          <w:tcPr>
            <w:tcW w:w="850" w:type="dxa"/>
            <w:tcBorders>
              <w:top w:val="nil"/>
              <w:left w:val="nil"/>
              <w:bottom w:val="nil"/>
              <w:right w:val="nil"/>
            </w:tcBorders>
            <w:shd w:val="clear" w:color="auto" w:fill="auto"/>
            <w:noWrap/>
            <w:vAlign w:val="bottom"/>
            <w:hideMark/>
          </w:tcPr>
          <w:p w14:paraId="72C0563B"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66.1</w:t>
            </w:r>
          </w:p>
        </w:tc>
        <w:tc>
          <w:tcPr>
            <w:tcW w:w="960" w:type="dxa"/>
            <w:tcBorders>
              <w:top w:val="nil"/>
              <w:left w:val="nil"/>
              <w:bottom w:val="nil"/>
              <w:right w:val="nil"/>
            </w:tcBorders>
            <w:shd w:val="clear" w:color="auto" w:fill="auto"/>
            <w:noWrap/>
            <w:vAlign w:val="bottom"/>
            <w:hideMark/>
          </w:tcPr>
          <w:p w14:paraId="57B8F890"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13.3</w:t>
            </w:r>
          </w:p>
        </w:tc>
        <w:tc>
          <w:tcPr>
            <w:tcW w:w="960" w:type="dxa"/>
            <w:tcBorders>
              <w:top w:val="nil"/>
              <w:left w:val="nil"/>
              <w:bottom w:val="nil"/>
              <w:right w:val="nil"/>
            </w:tcBorders>
            <w:shd w:val="clear" w:color="auto" w:fill="auto"/>
            <w:noWrap/>
            <w:vAlign w:val="bottom"/>
            <w:hideMark/>
          </w:tcPr>
          <w:p w14:paraId="6E249223"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8.59</w:t>
            </w:r>
          </w:p>
        </w:tc>
        <w:tc>
          <w:tcPr>
            <w:tcW w:w="1010" w:type="dxa"/>
            <w:tcBorders>
              <w:top w:val="nil"/>
              <w:left w:val="nil"/>
              <w:bottom w:val="nil"/>
              <w:right w:val="nil"/>
            </w:tcBorders>
            <w:shd w:val="clear" w:color="auto" w:fill="auto"/>
            <w:noWrap/>
            <w:vAlign w:val="bottom"/>
            <w:hideMark/>
          </w:tcPr>
          <w:p w14:paraId="0C074327"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60.4</w:t>
            </w:r>
          </w:p>
        </w:tc>
        <w:tc>
          <w:tcPr>
            <w:tcW w:w="960" w:type="dxa"/>
            <w:tcBorders>
              <w:top w:val="nil"/>
              <w:left w:val="nil"/>
              <w:bottom w:val="nil"/>
              <w:right w:val="nil"/>
            </w:tcBorders>
            <w:shd w:val="clear" w:color="auto" w:fill="auto"/>
            <w:noWrap/>
            <w:vAlign w:val="bottom"/>
            <w:hideMark/>
          </w:tcPr>
          <w:p w14:paraId="0DA7DB27"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26.6</w:t>
            </w:r>
          </w:p>
        </w:tc>
        <w:tc>
          <w:tcPr>
            <w:tcW w:w="960" w:type="dxa"/>
            <w:tcBorders>
              <w:top w:val="nil"/>
              <w:left w:val="nil"/>
              <w:bottom w:val="nil"/>
              <w:right w:val="nil"/>
            </w:tcBorders>
            <w:shd w:val="clear" w:color="auto" w:fill="auto"/>
            <w:noWrap/>
            <w:vAlign w:val="bottom"/>
            <w:hideMark/>
          </w:tcPr>
          <w:p w14:paraId="7B8F328B"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BDL</w:t>
            </w:r>
          </w:p>
        </w:tc>
      </w:tr>
      <w:tr w:rsidR="005E60C9" w:rsidRPr="006F27F7" w14:paraId="529AC7D2" w14:textId="77777777" w:rsidTr="005E60C9">
        <w:trPr>
          <w:trHeight w:val="255"/>
        </w:trPr>
        <w:tc>
          <w:tcPr>
            <w:tcW w:w="2430" w:type="dxa"/>
            <w:tcBorders>
              <w:top w:val="nil"/>
              <w:left w:val="nil"/>
              <w:bottom w:val="nil"/>
              <w:right w:val="nil"/>
            </w:tcBorders>
            <w:shd w:val="clear" w:color="auto" w:fill="auto"/>
            <w:noWrap/>
            <w:vAlign w:val="bottom"/>
            <w:hideMark/>
          </w:tcPr>
          <w:p w14:paraId="03B53CA0" w14:textId="006FDDA6" w:rsidR="005E60C9" w:rsidRPr="006F27F7" w:rsidRDefault="005E60C9" w:rsidP="005E60C9">
            <w:pPr>
              <w:spacing w:after="0" w:line="240" w:lineRule="auto"/>
              <w:jc w:val="right"/>
              <w:rPr>
                <w:rFonts w:eastAsia="Times New Roman" w:cs="Calibri"/>
                <w:sz w:val="20"/>
                <w:szCs w:val="20"/>
              </w:rPr>
            </w:pPr>
            <w:r w:rsidRPr="006F27F7">
              <w:rPr>
                <w:rFonts w:eastAsia="Times New Roman" w:cs="Calibri"/>
                <w:sz w:val="20"/>
                <w:szCs w:val="20"/>
              </w:rPr>
              <w:t>Min</w:t>
            </w:r>
            <w:r w:rsidR="006F27F7">
              <w:rPr>
                <w:rFonts w:eastAsia="Times New Roman" w:cs="Calibri"/>
                <w:sz w:val="20"/>
                <w:szCs w:val="20"/>
              </w:rPr>
              <w:t>imum</w:t>
            </w:r>
          </w:p>
        </w:tc>
        <w:tc>
          <w:tcPr>
            <w:tcW w:w="850" w:type="dxa"/>
            <w:tcBorders>
              <w:top w:val="nil"/>
              <w:left w:val="nil"/>
              <w:bottom w:val="nil"/>
              <w:right w:val="nil"/>
            </w:tcBorders>
            <w:shd w:val="clear" w:color="auto" w:fill="auto"/>
            <w:noWrap/>
            <w:vAlign w:val="bottom"/>
            <w:hideMark/>
          </w:tcPr>
          <w:p w14:paraId="5AE37960"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4.8</w:t>
            </w:r>
          </w:p>
        </w:tc>
        <w:tc>
          <w:tcPr>
            <w:tcW w:w="960" w:type="dxa"/>
            <w:tcBorders>
              <w:top w:val="nil"/>
              <w:left w:val="nil"/>
              <w:bottom w:val="nil"/>
              <w:right w:val="nil"/>
            </w:tcBorders>
            <w:shd w:val="clear" w:color="auto" w:fill="auto"/>
            <w:noWrap/>
            <w:vAlign w:val="bottom"/>
            <w:hideMark/>
          </w:tcPr>
          <w:p w14:paraId="63B43B01"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4.63</w:t>
            </w:r>
          </w:p>
        </w:tc>
        <w:tc>
          <w:tcPr>
            <w:tcW w:w="960" w:type="dxa"/>
            <w:tcBorders>
              <w:top w:val="nil"/>
              <w:left w:val="nil"/>
              <w:bottom w:val="nil"/>
              <w:right w:val="nil"/>
            </w:tcBorders>
            <w:shd w:val="clear" w:color="auto" w:fill="auto"/>
            <w:noWrap/>
            <w:vAlign w:val="bottom"/>
            <w:hideMark/>
          </w:tcPr>
          <w:p w14:paraId="14487B1E"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0.641</w:t>
            </w:r>
          </w:p>
        </w:tc>
        <w:tc>
          <w:tcPr>
            <w:tcW w:w="1010" w:type="dxa"/>
            <w:tcBorders>
              <w:top w:val="nil"/>
              <w:left w:val="nil"/>
              <w:bottom w:val="nil"/>
              <w:right w:val="nil"/>
            </w:tcBorders>
            <w:shd w:val="clear" w:color="auto" w:fill="auto"/>
            <w:noWrap/>
            <w:vAlign w:val="bottom"/>
            <w:hideMark/>
          </w:tcPr>
          <w:p w14:paraId="3BA7FB00"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0.878</w:t>
            </w:r>
          </w:p>
        </w:tc>
        <w:tc>
          <w:tcPr>
            <w:tcW w:w="960" w:type="dxa"/>
            <w:tcBorders>
              <w:top w:val="nil"/>
              <w:left w:val="nil"/>
              <w:bottom w:val="nil"/>
              <w:right w:val="nil"/>
            </w:tcBorders>
            <w:shd w:val="clear" w:color="auto" w:fill="auto"/>
            <w:noWrap/>
            <w:vAlign w:val="bottom"/>
            <w:hideMark/>
          </w:tcPr>
          <w:p w14:paraId="36550551"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23.7</w:t>
            </w:r>
          </w:p>
        </w:tc>
        <w:tc>
          <w:tcPr>
            <w:tcW w:w="960" w:type="dxa"/>
            <w:tcBorders>
              <w:top w:val="nil"/>
              <w:left w:val="nil"/>
              <w:bottom w:val="nil"/>
              <w:right w:val="nil"/>
            </w:tcBorders>
            <w:shd w:val="clear" w:color="auto" w:fill="auto"/>
            <w:noWrap/>
            <w:vAlign w:val="bottom"/>
            <w:hideMark/>
          </w:tcPr>
          <w:p w14:paraId="76B9D7DA"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BDL</w:t>
            </w:r>
          </w:p>
        </w:tc>
      </w:tr>
      <w:tr w:rsidR="005E60C9" w:rsidRPr="006F27F7" w14:paraId="1F886C78" w14:textId="77777777" w:rsidTr="005E60C9">
        <w:trPr>
          <w:trHeight w:val="255"/>
        </w:trPr>
        <w:tc>
          <w:tcPr>
            <w:tcW w:w="2430" w:type="dxa"/>
            <w:tcBorders>
              <w:top w:val="nil"/>
              <w:left w:val="nil"/>
              <w:bottom w:val="nil"/>
              <w:right w:val="nil"/>
            </w:tcBorders>
            <w:shd w:val="clear" w:color="auto" w:fill="auto"/>
            <w:noWrap/>
            <w:vAlign w:val="bottom"/>
            <w:hideMark/>
          </w:tcPr>
          <w:p w14:paraId="16F0A66C" w14:textId="43228FE6" w:rsidR="005E60C9" w:rsidRPr="006F27F7" w:rsidRDefault="005E60C9" w:rsidP="005E60C9">
            <w:pPr>
              <w:spacing w:after="0" w:line="240" w:lineRule="auto"/>
              <w:jc w:val="right"/>
              <w:rPr>
                <w:rFonts w:eastAsia="Times New Roman" w:cs="Calibri"/>
                <w:sz w:val="20"/>
                <w:szCs w:val="20"/>
              </w:rPr>
            </w:pPr>
            <w:r w:rsidRPr="006F27F7">
              <w:rPr>
                <w:rFonts w:eastAsia="Times New Roman" w:cs="Calibri"/>
                <w:sz w:val="20"/>
                <w:szCs w:val="20"/>
              </w:rPr>
              <w:t>Max</w:t>
            </w:r>
            <w:r w:rsidR="006F27F7">
              <w:rPr>
                <w:rFonts w:eastAsia="Times New Roman" w:cs="Calibri"/>
                <w:sz w:val="20"/>
                <w:szCs w:val="20"/>
              </w:rPr>
              <w:t>imum</w:t>
            </w:r>
          </w:p>
        </w:tc>
        <w:tc>
          <w:tcPr>
            <w:tcW w:w="850" w:type="dxa"/>
            <w:tcBorders>
              <w:top w:val="nil"/>
              <w:left w:val="nil"/>
              <w:bottom w:val="nil"/>
              <w:right w:val="nil"/>
            </w:tcBorders>
            <w:shd w:val="clear" w:color="auto" w:fill="auto"/>
            <w:noWrap/>
            <w:vAlign w:val="bottom"/>
            <w:hideMark/>
          </w:tcPr>
          <w:p w14:paraId="292D3CA0"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93.7</w:t>
            </w:r>
          </w:p>
        </w:tc>
        <w:tc>
          <w:tcPr>
            <w:tcW w:w="960" w:type="dxa"/>
            <w:tcBorders>
              <w:top w:val="nil"/>
              <w:left w:val="nil"/>
              <w:bottom w:val="nil"/>
              <w:right w:val="nil"/>
            </w:tcBorders>
            <w:shd w:val="clear" w:color="auto" w:fill="auto"/>
            <w:noWrap/>
            <w:vAlign w:val="bottom"/>
            <w:hideMark/>
          </w:tcPr>
          <w:p w14:paraId="477B933A"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7.49</w:t>
            </w:r>
          </w:p>
        </w:tc>
        <w:tc>
          <w:tcPr>
            <w:tcW w:w="960" w:type="dxa"/>
            <w:tcBorders>
              <w:top w:val="nil"/>
              <w:left w:val="nil"/>
              <w:bottom w:val="nil"/>
              <w:right w:val="nil"/>
            </w:tcBorders>
            <w:shd w:val="clear" w:color="auto" w:fill="auto"/>
            <w:noWrap/>
            <w:vAlign w:val="bottom"/>
            <w:hideMark/>
          </w:tcPr>
          <w:p w14:paraId="6ACBEE63"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0.947</w:t>
            </w:r>
          </w:p>
        </w:tc>
        <w:tc>
          <w:tcPr>
            <w:tcW w:w="1010" w:type="dxa"/>
            <w:tcBorders>
              <w:top w:val="nil"/>
              <w:left w:val="nil"/>
              <w:bottom w:val="nil"/>
              <w:right w:val="nil"/>
            </w:tcBorders>
            <w:shd w:val="clear" w:color="auto" w:fill="auto"/>
            <w:noWrap/>
            <w:vAlign w:val="bottom"/>
            <w:hideMark/>
          </w:tcPr>
          <w:p w14:paraId="2C852F65"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8.93</w:t>
            </w:r>
          </w:p>
        </w:tc>
        <w:tc>
          <w:tcPr>
            <w:tcW w:w="960" w:type="dxa"/>
            <w:tcBorders>
              <w:top w:val="nil"/>
              <w:left w:val="nil"/>
              <w:bottom w:val="nil"/>
              <w:right w:val="nil"/>
            </w:tcBorders>
            <w:shd w:val="clear" w:color="auto" w:fill="auto"/>
            <w:noWrap/>
            <w:vAlign w:val="bottom"/>
            <w:hideMark/>
          </w:tcPr>
          <w:p w14:paraId="0C781108"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56.2</w:t>
            </w:r>
          </w:p>
        </w:tc>
        <w:tc>
          <w:tcPr>
            <w:tcW w:w="960" w:type="dxa"/>
            <w:tcBorders>
              <w:top w:val="nil"/>
              <w:left w:val="nil"/>
              <w:bottom w:val="nil"/>
              <w:right w:val="nil"/>
            </w:tcBorders>
            <w:shd w:val="clear" w:color="auto" w:fill="auto"/>
            <w:noWrap/>
            <w:vAlign w:val="bottom"/>
            <w:hideMark/>
          </w:tcPr>
          <w:p w14:paraId="7532237D"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BDL</w:t>
            </w:r>
          </w:p>
        </w:tc>
      </w:tr>
      <w:tr w:rsidR="005E60C9" w:rsidRPr="006F27F7" w14:paraId="3FE4DAF6" w14:textId="77777777" w:rsidTr="005E60C9">
        <w:trPr>
          <w:trHeight w:val="255"/>
        </w:trPr>
        <w:tc>
          <w:tcPr>
            <w:tcW w:w="2430" w:type="dxa"/>
            <w:tcBorders>
              <w:top w:val="nil"/>
              <w:left w:val="nil"/>
              <w:bottom w:val="nil"/>
              <w:right w:val="nil"/>
            </w:tcBorders>
            <w:shd w:val="clear" w:color="auto" w:fill="auto"/>
            <w:noWrap/>
            <w:vAlign w:val="bottom"/>
            <w:hideMark/>
          </w:tcPr>
          <w:p w14:paraId="4FB60D63" w14:textId="77777777" w:rsidR="005E60C9" w:rsidRPr="006F27F7" w:rsidRDefault="005E60C9" w:rsidP="005E60C9">
            <w:pPr>
              <w:spacing w:after="0" w:line="240" w:lineRule="auto"/>
              <w:jc w:val="right"/>
              <w:rPr>
                <w:rFonts w:eastAsia="Times New Roman" w:cs="Calibri"/>
                <w:sz w:val="20"/>
                <w:szCs w:val="20"/>
              </w:rPr>
            </w:pPr>
            <w:r w:rsidRPr="006F27F7">
              <w:rPr>
                <w:rFonts w:eastAsia="Times New Roman" w:cs="Calibri"/>
                <w:sz w:val="20"/>
                <w:szCs w:val="20"/>
              </w:rPr>
              <w:t>Range</w:t>
            </w:r>
          </w:p>
        </w:tc>
        <w:tc>
          <w:tcPr>
            <w:tcW w:w="850" w:type="dxa"/>
            <w:tcBorders>
              <w:top w:val="nil"/>
              <w:left w:val="nil"/>
              <w:bottom w:val="nil"/>
              <w:right w:val="nil"/>
            </w:tcBorders>
            <w:shd w:val="clear" w:color="auto" w:fill="auto"/>
            <w:noWrap/>
            <w:vAlign w:val="bottom"/>
            <w:hideMark/>
          </w:tcPr>
          <w:p w14:paraId="162C67FC"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88.9</w:t>
            </w:r>
          </w:p>
        </w:tc>
        <w:tc>
          <w:tcPr>
            <w:tcW w:w="960" w:type="dxa"/>
            <w:tcBorders>
              <w:top w:val="nil"/>
              <w:left w:val="nil"/>
              <w:bottom w:val="nil"/>
              <w:right w:val="nil"/>
            </w:tcBorders>
            <w:shd w:val="clear" w:color="auto" w:fill="auto"/>
            <w:noWrap/>
            <w:vAlign w:val="bottom"/>
            <w:hideMark/>
          </w:tcPr>
          <w:p w14:paraId="409DD9EE"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2.86</w:t>
            </w:r>
          </w:p>
        </w:tc>
        <w:tc>
          <w:tcPr>
            <w:tcW w:w="960" w:type="dxa"/>
            <w:tcBorders>
              <w:top w:val="nil"/>
              <w:left w:val="nil"/>
              <w:bottom w:val="nil"/>
              <w:right w:val="nil"/>
            </w:tcBorders>
            <w:shd w:val="clear" w:color="auto" w:fill="auto"/>
            <w:noWrap/>
            <w:vAlign w:val="bottom"/>
            <w:hideMark/>
          </w:tcPr>
          <w:p w14:paraId="02BE5FD3"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0.306</w:t>
            </w:r>
          </w:p>
        </w:tc>
        <w:tc>
          <w:tcPr>
            <w:tcW w:w="1010" w:type="dxa"/>
            <w:tcBorders>
              <w:top w:val="nil"/>
              <w:left w:val="nil"/>
              <w:bottom w:val="nil"/>
              <w:right w:val="nil"/>
            </w:tcBorders>
            <w:shd w:val="clear" w:color="auto" w:fill="auto"/>
            <w:noWrap/>
            <w:vAlign w:val="bottom"/>
            <w:hideMark/>
          </w:tcPr>
          <w:p w14:paraId="5C6EC564"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8.05</w:t>
            </w:r>
          </w:p>
        </w:tc>
        <w:tc>
          <w:tcPr>
            <w:tcW w:w="960" w:type="dxa"/>
            <w:tcBorders>
              <w:top w:val="nil"/>
              <w:left w:val="nil"/>
              <w:bottom w:val="nil"/>
              <w:right w:val="nil"/>
            </w:tcBorders>
            <w:shd w:val="clear" w:color="auto" w:fill="auto"/>
            <w:noWrap/>
            <w:vAlign w:val="bottom"/>
            <w:hideMark/>
          </w:tcPr>
          <w:p w14:paraId="20977FD3"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32.5</w:t>
            </w:r>
          </w:p>
        </w:tc>
        <w:tc>
          <w:tcPr>
            <w:tcW w:w="960" w:type="dxa"/>
            <w:tcBorders>
              <w:top w:val="nil"/>
              <w:left w:val="nil"/>
              <w:bottom w:val="nil"/>
              <w:right w:val="nil"/>
            </w:tcBorders>
            <w:shd w:val="clear" w:color="auto" w:fill="auto"/>
            <w:noWrap/>
            <w:vAlign w:val="bottom"/>
            <w:hideMark/>
          </w:tcPr>
          <w:p w14:paraId="6F0F7ABF"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BDL</w:t>
            </w:r>
          </w:p>
        </w:tc>
      </w:tr>
      <w:tr w:rsidR="005E60C9" w:rsidRPr="006F27F7" w14:paraId="1CD5B25F" w14:textId="77777777" w:rsidTr="005E60C9">
        <w:trPr>
          <w:trHeight w:val="255"/>
        </w:trPr>
        <w:tc>
          <w:tcPr>
            <w:tcW w:w="2430" w:type="dxa"/>
            <w:tcBorders>
              <w:top w:val="nil"/>
              <w:left w:val="nil"/>
              <w:bottom w:val="nil"/>
              <w:right w:val="nil"/>
            </w:tcBorders>
            <w:shd w:val="clear" w:color="auto" w:fill="auto"/>
            <w:noWrap/>
            <w:vAlign w:val="bottom"/>
            <w:hideMark/>
          </w:tcPr>
          <w:p w14:paraId="49B0E6A9" w14:textId="77777777" w:rsidR="005E60C9" w:rsidRPr="006F27F7" w:rsidRDefault="005E60C9" w:rsidP="005E60C9">
            <w:pPr>
              <w:spacing w:after="0" w:line="240" w:lineRule="auto"/>
              <w:jc w:val="right"/>
              <w:rPr>
                <w:rFonts w:eastAsia="Times New Roman" w:cs="Calibri"/>
                <w:sz w:val="20"/>
                <w:szCs w:val="20"/>
              </w:rPr>
            </w:pPr>
            <w:r w:rsidRPr="006F27F7">
              <w:rPr>
                <w:rFonts w:eastAsia="Times New Roman" w:cs="Calibri"/>
                <w:sz w:val="20"/>
                <w:szCs w:val="20"/>
              </w:rPr>
              <w:t>n</w:t>
            </w:r>
          </w:p>
        </w:tc>
        <w:tc>
          <w:tcPr>
            <w:tcW w:w="850" w:type="dxa"/>
            <w:tcBorders>
              <w:top w:val="nil"/>
              <w:left w:val="nil"/>
              <w:bottom w:val="nil"/>
              <w:right w:val="nil"/>
            </w:tcBorders>
            <w:shd w:val="clear" w:color="auto" w:fill="auto"/>
            <w:noWrap/>
            <w:vAlign w:val="bottom"/>
            <w:hideMark/>
          </w:tcPr>
          <w:p w14:paraId="228DAC53"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31</w:t>
            </w:r>
          </w:p>
        </w:tc>
        <w:tc>
          <w:tcPr>
            <w:tcW w:w="960" w:type="dxa"/>
            <w:tcBorders>
              <w:top w:val="nil"/>
              <w:left w:val="nil"/>
              <w:bottom w:val="nil"/>
              <w:right w:val="nil"/>
            </w:tcBorders>
            <w:shd w:val="clear" w:color="auto" w:fill="auto"/>
            <w:noWrap/>
            <w:vAlign w:val="bottom"/>
            <w:hideMark/>
          </w:tcPr>
          <w:p w14:paraId="3018B835"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31</w:t>
            </w:r>
          </w:p>
        </w:tc>
        <w:tc>
          <w:tcPr>
            <w:tcW w:w="960" w:type="dxa"/>
            <w:tcBorders>
              <w:top w:val="nil"/>
              <w:left w:val="nil"/>
              <w:bottom w:val="nil"/>
              <w:right w:val="nil"/>
            </w:tcBorders>
            <w:shd w:val="clear" w:color="auto" w:fill="auto"/>
            <w:noWrap/>
            <w:vAlign w:val="bottom"/>
            <w:hideMark/>
          </w:tcPr>
          <w:p w14:paraId="3F5F8ABE"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31</w:t>
            </w:r>
          </w:p>
        </w:tc>
        <w:tc>
          <w:tcPr>
            <w:tcW w:w="1010" w:type="dxa"/>
            <w:tcBorders>
              <w:top w:val="nil"/>
              <w:left w:val="nil"/>
              <w:bottom w:val="nil"/>
              <w:right w:val="nil"/>
            </w:tcBorders>
            <w:shd w:val="clear" w:color="auto" w:fill="auto"/>
            <w:noWrap/>
            <w:vAlign w:val="bottom"/>
            <w:hideMark/>
          </w:tcPr>
          <w:p w14:paraId="4F5A6B6C"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27</w:t>
            </w:r>
          </w:p>
        </w:tc>
        <w:tc>
          <w:tcPr>
            <w:tcW w:w="960" w:type="dxa"/>
            <w:tcBorders>
              <w:top w:val="nil"/>
              <w:left w:val="nil"/>
              <w:bottom w:val="nil"/>
              <w:right w:val="nil"/>
            </w:tcBorders>
            <w:shd w:val="clear" w:color="auto" w:fill="auto"/>
            <w:noWrap/>
            <w:vAlign w:val="bottom"/>
            <w:hideMark/>
          </w:tcPr>
          <w:p w14:paraId="5AD7E440"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19</w:t>
            </w:r>
          </w:p>
        </w:tc>
        <w:tc>
          <w:tcPr>
            <w:tcW w:w="960" w:type="dxa"/>
            <w:tcBorders>
              <w:top w:val="nil"/>
              <w:left w:val="nil"/>
              <w:bottom w:val="nil"/>
              <w:right w:val="nil"/>
            </w:tcBorders>
            <w:shd w:val="clear" w:color="auto" w:fill="auto"/>
            <w:noWrap/>
            <w:vAlign w:val="bottom"/>
            <w:hideMark/>
          </w:tcPr>
          <w:p w14:paraId="275C592C"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27</w:t>
            </w:r>
          </w:p>
        </w:tc>
      </w:tr>
      <w:tr w:rsidR="005E60C9" w:rsidRPr="006F27F7" w14:paraId="2188C852" w14:textId="77777777" w:rsidTr="005E60C9">
        <w:trPr>
          <w:trHeight w:val="255"/>
        </w:trPr>
        <w:tc>
          <w:tcPr>
            <w:tcW w:w="2430" w:type="dxa"/>
            <w:tcBorders>
              <w:top w:val="nil"/>
              <w:left w:val="nil"/>
              <w:bottom w:val="nil"/>
              <w:right w:val="nil"/>
            </w:tcBorders>
            <w:shd w:val="clear" w:color="auto" w:fill="auto"/>
            <w:noWrap/>
            <w:vAlign w:val="bottom"/>
            <w:hideMark/>
          </w:tcPr>
          <w:p w14:paraId="4D28A1A1" w14:textId="77777777" w:rsidR="005E60C9" w:rsidRPr="006F27F7" w:rsidRDefault="005E60C9" w:rsidP="005E60C9">
            <w:pPr>
              <w:spacing w:after="0" w:line="240" w:lineRule="auto"/>
              <w:jc w:val="center"/>
              <w:rPr>
                <w:rFonts w:eastAsia="Times New Roman" w:cs="Calibri"/>
                <w:sz w:val="20"/>
                <w:szCs w:val="20"/>
              </w:rPr>
            </w:pPr>
          </w:p>
        </w:tc>
        <w:tc>
          <w:tcPr>
            <w:tcW w:w="850" w:type="dxa"/>
            <w:tcBorders>
              <w:top w:val="nil"/>
              <w:left w:val="nil"/>
              <w:bottom w:val="nil"/>
              <w:right w:val="nil"/>
            </w:tcBorders>
            <w:shd w:val="clear" w:color="auto" w:fill="auto"/>
            <w:noWrap/>
            <w:vAlign w:val="bottom"/>
            <w:hideMark/>
          </w:tcPr>
          <w:p w14:paraId="2ACD8364" w14:textId="77777777" w:rsidR="005E60C9" w:rsidRPr="006F27F7" w:rsidRDefault="005E60C9" w:rsidP="005E60C9">
            <w:pPr>
              <w:spacing w:after="0" w:line="240" w:lineRule="auto"/>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29366E5E" w14:textId="77777777" w:rsidR="005E60C9" w:rsidRPr="006F27F7" w:rsidRDefault="005E60C9" w:rsidP="005E60C9">
            <w:pPr>
              <w:spacing w:after="0" w:line="240" w:lineRule="auto"/>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2834DA3A" w14:textId="77777777" w:rsidR="005E60C9" w:rsidRPr="006F27F7" w:rsidRDefault="005E60C9" w:rsidP="005E60C9">
            <w:pPr>
              <w:spacing w:after="0" w:line="240" w:lineRule="auto"/>
              <w:rPr>
                <w:rFonts w:eastAsia="Times New Roman"/>
                <w:sz w:val="20"/>
                <w:szCs w:val="20"/>
              </w:rPr>
            </w:pPr>
          </w:p>
        </w:tc>
        <w:tc>
          <w:tcPr>
            <w:tcW w:w="1010" w:type="dxa"/>
            <w:tcBorders>
              <w:top w:val="nil"/>
              <w:left w:val="nil"/>
              <w:bottom w:val="nil"/>
              <w:right w:val="nil"/>
            </w:tcBorders>
            <w:shd w:val="clear" w:color="auto" w:fill="auto"/>
            <w:noWrap/>
            <w:vAlign w:val="bottom"/>
            <w:hideMark/>
          </w:tcPr>
          <w:p w14:paraId="0EA4A0E4" w14:textId="77777777" w:rsidR="005E60C9" w:rsidRPr="006F27F7" w:rsidRDefault="005E60C9" w:rsidP="005E60C9">
            <w:pPr>
              <w:spacing w:after="0" w:line="240" w:lineRule="auto"/>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5CBCF8AF" w14:textId="77777777" w:rsidR="005E60C9" w:rsidRPr="006F27F7" w:rsidRDefault="005E60C9" w:rsidP="005E60C9">
            <w:pPr>
              <w:spacing w:after="0" w:line="240" w:lineRule="auto"/>
              <w:rPr>
                <w:rFonts w:eastAsia="Times New Roman"/>
                <w:sz w:val="20"/>
                <w:szCs w:val="20"/>
              </w:rPr>
            </w:pPr>
          </w:p>
        </w:tc>
        <w:tc>
          <w:tcPr>
            <w:tcW w:w="960" w:type="dxa"/>
            <w:tcBorders>
              <w:top w:val="nil"/>
              <w:left w:val="nil"/>
              <w:bottom w:val="nil"/>
              <w:right w:val="nil"/>
            </w:tcBorders>
            <w:shd w:val="clear" w:color="auto" w:fill="auto"/>
            <w:noWrap/>
            <w:vAlign w:val="bottom"/>
            <w:hideMark/>
          </w:tcPr>
          <w:p w14:paraId="589D31B5" w14:textId="77777777" w:rsidR="005E60C9" w:rsidRPr="006F27F7" w:rsidRDefault="005E60C9" w:rsidP="005E60C9">
            <w:pPr>
              <w:spacing w:after="0" w:line="240" w:lineRule="auto"/>
              <w:rPr>
                <w:rFonts w:eastAsia="Times New Roman"/>
                <w:sz w:val="20"/>
                <w:szCs w:val="20"/>
              </w:rPr>
            </w:pPr>
          </w:p>
        </w:tc>
      </w:tr>
      <w:tr w:rsidR="005E60C9" w:rsidRPr="006F27F7" w14:paraId="18911705" w14:textId="77777777" w:rsidTr="005E60C9">
        <w:trPr>
          <w:trHeight w:val="270"/>
        </w:trPr>
        <w:tc>
          <w:tcPr>
            <w:tcW w:w="2430" w:type="dxa"/>
            <w:tcBorders>
              <w:top w:val="single" w:sz="4" w:space="0" w:color="auto"/>
              <w:left w:val="nil"/>
              <w:bottom w:val="double" w:sz="6" w:space="0" w:color="auto"/>
              <w:right w:val="nil"/>
            </w:tcBorders>
            <w:shd w:val="clear" w:color="auto" w:fill="auto"/>
            <w:noWrap/>
            <w:vAlign w:val="bottom"/>
            <w:hideMark/>
          </w:tcPr>
          <w:p w14:paraId="1779A3EB" w14:textId="77777777" w:rsidR="005E60C9" w:rsidRPr="006F27F7" w:rsidRDefault="005E60C9" w:rsidP="005E60C9">
            <w:pPr>
              <w:spacing w:after="0" w:line="240" w:lineRule="auto"/>
              <w:rPr>
                <w:rFonts w:eastAsia="Times New Roman" w:cs="Calibri"/>
                <w:sz w:val="20"/>
                <w:szCs w:val="20"/>
              </w:rPr>
            </w:pPr>
            <w:r w:rsidRPr="006F27F7">
              <w:rPr>
                <w:rFonts w:eastAsia="Times New Roman" w:cs="Calibri"/>
                <w:sz w:val="20"/>
                <w:szCs w:val="20"/>
              </w:rPr>
              <w:t>Performance Summary</w:t>
            </w:r>
          </w:p>
        </w:tc>
        <w:tc>
          <w:tcPr>
            <w:tcW w:w="850" w:type="dxa"/>
            <w:tcBorders>
              <w:top w:val="single" w:sz="4" w:space="0" w:color="auto"/>
              <w:left w:val="nil"/>
              <w:bottom w:val="double" w:sz="6" w:space="0" w:color="auto"/>
              <w:right w:val="nil"/>
            </w:tcBorders>
            <w:shd w:val="clear" w:color="auto" w:fill="auto"/>
            <w:noWrap/>
            <w:vAlign w:val="bottom"/>
            <w:hideMark/>
          </w:tcPr>
          <w:p w14:paraId="309235B4"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Iron (mg/L)</w:t>
            </w:r>
          </w:p>
        </w:tc>
        <w:tc>
          <w:tcPr>
            <w:tcW w:w="960" w:type="dxa"/>
            <w:tcBorders>
              <w:top w:val="single" w:sz="4" w:space="0" w:color="auto"/>
              <w:left w:val="nil"/>
              <w:bottom w:val="double" w:sz="6" w:space="0" w:color="auto"/>
              <w:right w:val="nil"/>
            </w:tcBorders>
            <w:shd w:val="clear" w:color="auto" w:fill="auto"/>
            <w:noWrap/>
            <w:vAlign w:val="bottom"/>
            <w:hideMark/>
          </w:tcPr>
          <w:p w14:paraId="7423113B"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Zinc (mg/L)</w:t>
            </w:r>
          </w:p>
        </w:tc>
        <w:tc>
          <w:tcPr>
            <w:tcW w:w="960" w:type="dxa"/>
            <w:tcBorders>
              <w:top w:val="single" w:sz="4" w:space="0" w:color="auto"/>
              <w:left w:val="nil"/>
              <w:bottom w:val="double" w:sz="6" w:space="0" w:color="auto"/>
              <w:right w:val="nil"/>
            </w:tcBorders>
            <w:shd w:val="clear" w:color="auto" w:fill="auto"/>
            <w:noWrap/>
            <w:vAlign w:val="bottom"/>
            <w:hideMark/>
          </w:tcPr>
          <w:p w14:paraId="0058F248"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Nickel (mg/L)</w:t>
            </w:r>
          </w:p>
        </w:tc>
        <w:tc>
          <w:tcPr>
            <w:tcW w:w="1010" w:type="dxa"/>
            <w:tcBorders>
              <w:top w:val="single" w:sz="4" w:space="0" w:color="auto"/>
              <w:left w:val="nil"/>
              <w:bottom w:val="double" w:sz="6" w:space="0" w:color="auto"/>
              <w:right w:val="nil"/>
            </w:tcBorders>
            <w:shd w:val="clear" w:color="auto" w:fill="auto"/>
            <w:noWrap/>
            <w:vAlign w:val="bottom"/>
            <w:hideMark/>
          </w:tcPr>
          <w:p w14:paraId="6F5372B8"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Cadmium (µg/L)</w:t>
            </w:r>
          </w:p>
        </w:tc>
        <w:tc>
          <w:tcPr>
            <w:tcW w:w="960" w:type="dxa"/>
            <w:tcBorders>
              <w:top w:val="single" w:sz="4" w:space="0" w:color="auto"/>
              <w:left w:val="nil"/>
              <w:bottom w:val="double" w:sz="6" w:space="0" w:color="auto"/>
              <w:right w:val="nil"/>
            </w:tcBorders>
            <w:shd w:val="clear" w:color="auto" w:fill="auto"/>
            <w:noWrap/>
            <w:vAlign w:val="bottom"/>
            <w:hideMark/>
          </w:tcPr>
          <w:p w14:paraId="6F64F062"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Lead (µg/L)</w:t>
            </w:r>
          </w:p>
        </w:tc>
        <w:tc>
          <w:tcPr>
            <w:tcW w:w="960" w:type="dxa"/>
            <w:tcBorders>
              <w:top w:val="single" w:sz="4" w:space="0" w:color="auto"/>
              <w:left w:val="nil"/>
              <w:bottom w:val="double" w:sz="6" w:space="0" w:color="auto"/>
              <w:right w:val="nil"/>
            </w:tcBorders>
            <w:shd w:val="clear" w:color="auto" w:fill="auto"/>
            <w:noWrap/>
            <w:vAlign w:val="bottom"/>
            <w:hideMark/>
          </w:tcPr>
          <w:p w14:paraId="0E66CB47" w14:textId="77777777" w:rsidR="005E60C9" w:rsidRPr="006F27F7" w:rsidRDefault="005E60C9" w:rsidP="005E60C9">
            <w:pPr>
              <w:spacing w:after="0" w:line="240" w:lineRule="auto"/>
              <w:jc w:val="center"/>
              <w:rPr>
                <w:rFonts w:eastAsia="Times New Roman" w:cs="Calibri"/>
                <w:b/>
                <w:bCs/>
                <w:sz w:val="20"/>
                <w:szCs w:val="20"/>
              </w:rPr>
            </w:pPr>
            <w:r w:rsidRPr="006F27F7">
              <w:rPr>
                <w:rFonts w:eastAsia="Times New Roman" w:cs="Calibri"/>
                <w:b/>
                <w:bCs/>
                <w:sz w:val="20"/>
                <w:szCs w:val="20"/>
              </w:rPr>
              <w:t>Arsenic (µg/L)</w:t>
            </w:r>
          </w:p>
        </w:tc>
      </w:tr>
      <w:tr w:rsidR="005E60C9" w:rsidRPr="006F27F7" w14:paraId="4D36260C" w14:textId="77777777" w:rsidTr="005E60C9">
        <w:trPr>
          <w:trHeight w:val="270"/>
        </w:trPr>
        <w:tc>
          <w:tcPr>
            <w:tcW w:w="2430" w:type="dxa"/>
            <w:tcBorders>
              <w:top w:val="nil"/>
              <w:left w:val="nil"/>
              <w:bottom w:val="nil"/>
              <w:right w:val="nil"/>
            </w:tcBorders>
            <w:shd w:val="clear" w:color="auto" w:fill="auto"/>
            <w:noWrap/>
            <w:vAlign w:val="bottom"/>
            <w:hideMark/>
          </w:tcPr>
          <w:p w14:paraId="112CE573" w14:textId="69C9C387" w:rsidR="005E60C9" w:rsidRPr="006F27F7" w:rsidRDefault="006F27F7" w:rsidP="005E60C9">
            <w:pPr>
              <w:spacing w:after="0" w:line="240" w:lineRule="auto"/>
              <w:jc w:val="right"/>
              <w:rPr>
                <w:rFonts w:eastAsia="Times New Roman" w:cs="Calibri"/>
                <w:sz w:val="20"/>
                <w:szCs w:val="20"/>
              </w:rPr>
            </w:pPr>
            <w:r>
              <w:rPr>
                <w:rFonts w:eastAsia="Times New Roman" w:cs="Calibri"/>
                <w:sz w:val="20"/>
                <w:szCs w:val="20"/>
              </w:rPr>
              <w:t>Change in Concentration</w:t>
            </w:r>
          </w:p>
        </w:tc>
        <w:tc>
          <w:tcPr>
            <w:tcW w:w="850" w:type="dxa"/>
            <w:tcBorders>
              <w:top w:val="nil"/>
              <w:left w:val="nil"/>
              <w:bottom w:val="nil"/>
              <w:right w:val="nil"/>
            </w:tcBorders>
            <w:shd w:val="clear" w:color="auto" w:fill="auto"/>
            <w:noWrap/>
            <w:vAlign w:val="bottom"/>
            <w:hideMark/>
          </w:tcPr>
          <w:p w14:paraId="026B1CF6"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139</w:t>
            </w:r>
          </w:p>
        </w:tc>
        <w:tc>
          <w:tcPr>
            <w:tcW w:w="960" w:type="dxa"/>
            <w:tcBorders>
              <w:top w:val="nil"/>
              <w:left w:val="nil"/>
              <w:bottom w:val="nil"/>
              <w:right w:val="nil"/>
            </w:tcBorders>
            <w:shd w:val="clear" w:color="auto" w:fill="auto"/>
            <w:noWrap/>
            <w:vAlign w:val="bottom"/>
            <w:hideMark/>
          </w:tcPr>
          <w:p w14:paraId="6242B4F9"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1.75</w:t>
            </w:r>
          </w:p>
        </w:tc>
        <w:tc>
          <w:tcPr>
            <w:tcW w:w="960" w:type="dxa"/>
            <w:tcBorders>
              <w:top w:val="nil"/>
              <w:left w:val="nil"/>
              <w:bottom w:val="nil"/>
              <w:right w:val="nil"/>
            </w:tcBorders>
            <w:shd w:val="clear" w:color="auto" w:fill="auto"/>
            <w:noWrap/>
            <w:vAlign w:val="bottom"/>
            <w:hideMark/>
          </w:tcPr>
          <w:p w14:paraId="3425A9B9"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0.09</w:t>
            </w:r>
          </w:p>
        </w:tc>
        <w:tc>
          <w:tcPr>
            <w:tcW w:w="1010" w:type="dxa"/>
            <w:tcBorders>
              <w:top w:val="nil"/>
              <w:left w:val="nil"/>
              <w:bottom w:val="nil"/>
              <w:right w:val="nil"/>
            </w:tcBorders>
            <w:shd w:val="clear" w:color="auto" w:fill="auto"/>
            <w:noWrap/>
            <w:vAlign w:val="bottom"/>
            <w:hideMark/>
          </w:tcPr>
          <w:p w14:paraId="23ECF2F4"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14.15</w:t>
            </w:r>
          </w:p>
        </w:tc>
        <w:tc>
          <w:tcPr>
            <w:tcW w:w="960" w:type="dxa"/>
            <w:tcBorders>
              <w:top w:val="nil"/>
              <w:left w:val="nil"/>
              <w:bottom w:val="nil"/>
              <w:right w:val="nil"/>
            </w:tcBorders>
            <w:shd w:val="clear" w:color="auto" w:fill="auto"/>
            <w:noWrap/>
            <w:vAlign w:val="bottom"/>
            <w:hideMark/>
          </w:tcPr>
          <w:p w14:paraId="54313ED3"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41.44</w:t>
            </w:r>
          </w:p>
        </w:tc>
        <w:tc>
          <w:tcPr>
            <w:tcW w:w="960" w:type="dxa"/>
            <w:tcBorders>
              <w:top w:val="nil"/>
              <w:left w:val="nil"/>
              <w:bottom w:val="nil"/>
              <w:right w:val="nil"/>
            </w:tcBorders>
            <w:shd w:val="clear" w:color="auto" w:fill="auto"/>
            <w:noWrap/>
            <w:vAlign w:val="bottom"/>
            <w:hideMark/>
          </w:tcPr>
          <w:p w14:paraId="004409BC"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61.54</w:t>
            </w:r>
          </w:p>
        </w:tc>
      </w:tr>
      <w:tr w:rsidR="005E60C9" w:rsidRPr="006F27F7" w14:paraId="64F4790C" w14:textId="77777777" w:rsidTr="005E60C9">
        <w:trPr>
          <w:trHeight w:val="57"/>
        </w:trPr>
        <w:tc>
          <w:tcPr>
            <w:tcW w:w="2430" w:type="dxa"/>
            <w:tcBorders>
              <w:top w:val="nil"/>
              <w:left w:val="nil"/>
              <w:bottom w:val="single" w:sz="4" w:space="0" w:color="auto"/>
              <w:right w:val="nil"/>
            </w:tcBorders>
            <w:shd w:val="clear" w:color="auto" w:fill="auto"/>
            <w:noWrap/>
            <w:vAlign w:val="bottom"/>
            <w:hideMark/>
          </w:tcPr>
          <w:p w14:paraId="73C01EAC" w14:textId="5C3BB1CC" w:rsidR="005E60C9" w:rsidRPr="006F27F7" w:rsidRDefault="006F27F7" w:rsidP="005E60C9">
            <w:pPr>
              <w:spacing w:after="0" w:line="240" w:lineRule="auto"/>
              <w:jc w:val="right"/>
              <w:rPr>
                <w:rFonts w:eastAsia="Times New Roman" w:cs="Calibri"/>
                <w:sz w:val="20"/>
                <w:szCs w:val="20"/>
              </w:rPr>
            </w:pPr>
            <w:r>
              <w:rPr>
                <w:rFonts w:eastAsia="Times New Roman" w:cs="Calibri"/>
                <w:sz w:val="20"/>
                <w:szCs w:val="20"/>
              </w:rPr>
              <w:t>Removal Efficiency (%)</w:t>
            </w:r>
          </w:p>
        </w:tc>
        <w:tc>
          <w:tcPr>
            <w:tcW w:w="850" w:type="dxa"/>
            <w:tcBorders>
              <w:top w:val="nil"/>
              <w:left w:val="nil"/>
              <w:bottom w:val="single" w:sz="4" w:space="0" w:color="auto"/>
              <w:right w:val="nil"/>
            </w:tcBorders>
            <w:shd w:val="clear" w:color="auto" w:fill="auto"/>
            <w:noWrap/>
            <w:vAlign w:val="bottom"/>
            <w:hideMark/>
          </w:tcPr>
          <w:p w14:paraId="2C659456"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80.0%</w:t>
            </w:r>
          </w:p>
        </w:tc>
        <w:tc>
          <w:tcPr>
            <w:tcW w:w="960" w:type="dxa"/>
            <w:tcBorders>
              <w:top w:val="nil"/>
              <w:left w:val="nil"/>
              <w:bottom w:val="single" w:sz="4" w:space="0" w:color="auto"/>
              <w:right w:val="nil"/>
            </w:tcBorders>
            <w:shd w:val="clear" w:color="auto" w:fill="auto"/>
            <w:noWrap/>
            <w:vAlign w:val="bottom"/>
            <w:hideMark/>
          </w:tcPr>
          <w:p w14:paraId="4FF877CA"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21.9%</w:t>
            </w:r>
          </w:p>
        </w:tc>
        <w:tc>
          <w:tcPr>
            <w:tcW w:w="960" w:type="dxa"/>
            <w:tcBorders>
              <w:top w:val="nil"/>
              <w:left w:val="nil"/>
              <w:bottom w:val="single" w:sz="4" w:space="0" w:color="auto"/>
              <w:right w:val="nil"/>
            </w:tcBorders>
            <w:shd w:val="clear" w:color="auto" w:fill="auto"/>
            <w:noWrap/>
            <w:vAlign w:val="bottom"/>
            <w:hideMark/>
          </w:tcPr>
          <w:p w14:paraId="0A186457"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9.8%</w:t>
            </w:r>
          </w:p>
        </w:tc>
        <w:tc>
          <w:tcPr>
            <w:tcW w:w="1010" w:type="dxa"/>
            <w:tcBorders>
              <w:top w:val="nil"/>
              <w:left w:val="nil"/>
              <w:bottom w:val="single" w:sz="4" w:space="0" w:color="auto"/>
              <w:right w:val="nil"/>
            </w:tcBorders>
            <w:shd w:val="clear" w:color="auto" w:fill="auto"/>
            <w:noWrap/>
            <w:vAlign w:val="bottom"/>
            <w:hideMark/>
          </w:tcPr>
          <w:p w14:paraId="64CE1CEB"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77.6%</w:t>
            </w:r>
          </w:p>
        </w:tc>
        <w:tc>
          <w:tcPr>
            <w:tcW w:w="960" w:type="dxa"/>
            <w:tcBorders>
              <w:top w:val="nil"/>
              <w:left w:val="nil"/>
              <w:bottom w:val="single" w:sz="4" w:space="0" w:color="auto"/>
              <w:right w:val="nil"/>
            </w:tcBorders>
            <w:shd w:val="clear" w:color="auto" w:fill="auto"/>
            <w:noWrap/>
            <w:vAlign w:val="bottom"/>
            <w:hideMark/>
          </w:tcPr>
          <w:p w14:paraId="52384FDE"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55.4%</w:t>
            </w:r>
          </w:p>
        </w:tc>
        <w:tc>
          <w:tcPr>
            <w:tcW w:w="960" w:type="dxa"/>
            <w:tcBorders>
              <w:top w:val="nil"/>
              <w:left w:val="nil"/>
              <w:bottom w:val="single" w:sz="4" w:space="0" w:color="auto"/>
              <w:right w:val="nil"/>
            </w:tcBorders>
            <w:shd w:val="clear" w:color="auto" w:fill="auto"/>
            <w:noWrap/>
            <w:vAlign w:val="bottom"/>
            <w:hideMark/>
          </w:tcPr>
          <w:p w14:paraId="555CD216" w14:textId="77777777" w:rsidR="005E60C9" w:rsidRPr="006F27F7" w:rsidRDefault="005E60C9" w:rsidP="005E60C9">
            <w:pPr>
              <w:spacing w:after="0" w:line="240" w:lineRule="auto"/>
              <w:jc w:val="center"/>
              <w:rPr>
                <w:rFonts w:eastAsia="Times New Roman" w:cs="Calibri"/>
                <w:sz w:val="20"/>
                <w:szCs w:val="20"/>
              </w:rPr>
            </w:pPr>
            <w:r w:rsidRPr="006F27F7">
              <w:rPr>
                <w:rFonts w:eastAsia="Times New Roman" w:cs="Calibri"/>
                <w:sz w:val="20"/>
                <w:szCs w:val="20"/>
              </w:rPr>
              <w:t>100.0%</w:t>
            </w:r>
          </w:p>
        </w:tc>
      </w:tr>
    </w:tbl>
    <w:p w14:paraId="11D4A026" w14:textId="77777777" w:rsidR="005E60C9" w:rsidRPr="006F27F7" w:rsidRDefault="005E60C9" w:rsidP="005E60C9">
      <w:pPr>
        <w:spacing w:line="360" w:lineRule="auto"/>
        <w:jc w:val="both"/>
        <w:rPr>
          <w:rFonts w:cstheme="minorHAnsi"/>
          <w:sz w:val="20"/>
          <w:szCs w:val="20"/>
        </w:rPr>
      </w:pPr>
    </w:p>
    <w:p w14:paraId="1F7BE5C9" w14:textId="10F5F5BF" w:rsidR="006F27F7" w:rsidRPr="006F27F7" w:rsidRDefault="006F27F7" w:rsidP="006F27F7">
      <w:pPr>
        <w:spacing w:line="480" w:lineRule="auto"/>
        <w:jc w:val="both"/>
        <w:rPr>
          <w:rFonts w:cstheme="minorHAnsi"/>
        </w:rPr>
      </w:pPr>
      <w:r w:rsidRPr="006F27F7">
        <w:rPr>
          <w:rFonts w:cstheme="minorHAnsi"/>
        </w:rPr>
        <w:t xml:space="preserve">The decreases in lead, cadmium, and zinc concentrations are likely due to sorption onto the iron solids that are retained in the system, and not a result of direct precipitation of either of these metals in the form of a hydroxide due to solubility constraints at this pH </w:t>
      </w:r>
      <w:r w:rsidRPr="006F27F7">
        <w:rPr>
          <w:rFonts w:cstheme="minorHAnsi"/>
        </w:rPr>
        <w:fldChar w:fldCharType="begin" w:fldLock="1"/>
      </w:r>
      <w:r w:rsidRPr="006F27F7">
        <w:rPr>
          <w:rFonts w:cstheme="minorHAnsi"/>
        </w:rPr>
        <w:instrText>ADDIN CSL_CITATION { "citationItems" : [ { "id" : "ITEM-1", "itemData" : { "DOI" : "10.1002/3527602097.ch21", "ISBN" : "9783527602094", "author" : [ { "dropping-particle" : "", "family" : "Cornell", "given" : "R M", "non-dropping-particle" : "", "parse-names" : false, "suffix" : "" }, { "dropping-particle" : "", "family" : "Schwertmann", "given" : "U", "non-dropping-particle" : "", "parse-names" : false, "suffix" : "" } ], "container-title" : "The Iron Oxides", "id" : "ITEM-1", "issued" : { "date-parts" : [ [ "2004" ] ] }, "page" : "541-551", "title" : "Environmental Significance", "type" : "article-journal" }, "uris" : [ "http://www.mendeley.com/documents/?uuid=ea979d3b-ee69-438b-8478-f5050e88eb1c" ] }, { "id" : "ITEM-2", "itemData" : { "DOI" : "10.1016/j.apgeochem.2007.10.003", "ISBN" : "0883-2927", "ISSN" : "08832927", "abstract" : "Water-quality data for discharges from 140 abandoned mines in the Anthracite and Bituminous Coalfields of Pennsylvania reveal complex relations among the pH and dissolved solute concentrations that can be explained with geochemical equilibrium models. Observed values of pH ranged from 2.7 to 7.3 in the coal-mine discharges (CMD). Generally, flow rates were smaller and solute concentrations were greater for low-pH CMD samples; pH typically increased with flow rate. Although the frequency distribution of pH was similar for the anthracite and bituminous discharges, the bituminous discharges had smaller median flow rates; greater concentrations of SO4, Fe, Al, As, Cd, Cu, Ni and Sr; comparable concentrations of Mn, Cd, Zn and Se; and smaller concentrations of Ba and Pb than anthracite discharges with the same pH values. The observed relations between the pH and constituent concentrations can be attributed to (1) dilution of acidic water by near-neutral or alkaline ground water; (2) solubility control of Al, Fe, Mn, Ba and Sr by hydroxide, sulfate, and/or carbonate minerals; and (3) aqueous SO4-complexation and surface-complexation (adsorption) reactions. The formation of AlSO4\n+ and AlHSO4\n2 + complexes adds to the total dissolved Al concentration at equilibrium with Al(OH)3 and/or Al hydroxysulfate phases and can account for 10-20 times greater concentrations of dissolved Al in SO4-laden bituminous discharges compared to anthracite discharges at pH of 5. Sulfate complexation can also account for 10-30 times greater concentrations of dissolved FeIII concentrations at equilibrium with Fe(OH)3 and/or schwertmannite (Fe8O8(OH)4.5(SO4)1.75) at pH of 3-5. In contrast, lower Ba concentrations in bituminous discharges indicate that elevated SO4 concentrations in these CMD sources could limit Ba concentrations by the precipitation of barite (BaSO4). Coprecipitation of Sr with barite could limit concentrations of this element. However, concentrations of dissolved Pb, Cu, Cd, Zn, and most other trace cations in CMD samples were orders of magnitude less than equilibrium with sulfate, carbonate, and/or hydroxide minerals. Surface complexation (adsorption) by hydrous ferric oxides (HFO) could account for the decreased concentrations of these divalent cations with increased pH. In contrast, increased concentrations of As and, to a lesser extent, Se with increased pH could result from the adsorption of these oxyanions by HFO at low pH and desorption at near-neutral pH. He\u2026", "author" : [ { "dropping-particle" : "", "family" : "Cravotta", "given" : "Charles A.", "non-dropping-particle" : "", "parse-names" : false, "suffix" : "" } ], "container-title" : "Applied Geochemistry", "id" : "ITEM-2", "issue" : "2", "issued" : { "date-parts" : [ [ "2008" ] ] }, "page" : "203-226", "publisher" : "Elsevier Ltd", "title" : "Dissolved metals and associated constituents in abandoned coal-mine discharges, Pennsylvania, USA. Part 2: Geochemical controls on constituent concentrations", "type" : "article-journal", "volume" : "23" }, "uris" : [ "http://www.mendeley.com/documents/?uuid=95cb6b94-2dfc-4c0d-86b7-3000daceb03f" ] } ], "mendeley" : { "formattedCitation" : "(Cornell and Schwertmann 2004; Cravotta 2008)", "plainTextFormattedCitation" : "(Cornell and Schwertmann 2004; Cravotta 2008)", "previouslyFormattedCitation" : "(Cornell and Schwertmann 2004; Cravotta 2008)" }, "properties" : { "noteIndex" : 0 }, "schema" : "https://github.com/citation-style-language/schema/raw/master/csl-citation.json" }</w:instrText>
      </w:r>
      <w:r w:rsidRPr="006F27F7">
        <w:rPr>
          <w:rFonts w:cstheme="minorHAnsi"/>
        </w:rPr>
        <w:fldChar w:fldCharType="separate"/>
      </w:r>
      <w:r w:rsidRPr="006F27F7">
        <w:rPr>
          <w:rFonts w:cstheme="minorHAnsi"/>
          <w:noProof/>
        </w:rPr>
        <w:t>(Cornell and Schwertmann 2004; Cravotta 2008)</w:t>
      </w:r>
      <w:r w:rsidRPr="006F27F7">
        <w:rPr>
          <w:rFonts w:cstheme="minorHAnsi"/>
        </w:rPr>
        <w:fldChar w:fldCharType="end"/>
      </w:r>
      <w:r w:rsidRPr="006F27F7">
        <w:rPr>
          <w:rFonts w:cstheme="minorHAnsi"/>
        </w:rPr>
        <w:t xml:space="preserve">. Arsenic is completed removed to below practical quantification limits within the preliminary oxidation cell likely through sorption </w:t>
      </w:r>
      <w:r w:rsidRPr="006F27F7">
        <w:rPr>
          <w:rFonts w:cstheme="minorHAnsi"/>
        </w:rPr>
        <w:fldChar w:fldCharType="begin" w:fldLock="1"/>
      </w:r>
      <w:r w:rsidRPr="006F27F7">
        <w:rPr>
          <w:rFonts w:cstheme="minorHAnsi"/>
        </w:rPr>
        <w:instrText>ADDIN CSL_CITATION { "citationItems" : [ { "id" : "ITEM-1", "itemData" : { "DOI" : "10.1016/j.scitotenv.2004.12.039", "ISBN" : "0048-9697", "ISSN" : "00489697", "PMID" : "16084973", "abstract" : "Reigous acid creek originating from the Carnoul\u00e8s tailings impoundment supplies high concentrations of arsenic under soluble (up to \u223c4 mg/l) and particulate (up to 150 mgAs/g) phases to the Amous river, situated at the drainage basin of the Rh\u00f4ne river (Southern France). The metalloid is present as As(III) (&gt;95%) in Reigous creek water while As(V) predominates (50-80%) in the solid phase, i.e. schwertmannite. At the confluence between acid (pH&lt;5) creek and alkaline Amous river, As(III) concentrations decrease ten-fold through dilution and formation of As-rich ferrihydrite (As/Fe=0.02-0.1) containing 10-30% As(III). However, these attenuation processes are not efficient in the summer heatwave of 2003 since As concentrations in Amous river water (\u226520 \u03bcg/l) and As/Fe ratios in particulate matter (\u22650.07) are closed to those of Reigous creek (\u226422 \u03bcg/l and \u22640.02, respectively) or even higher. Downstream the confluence, processes involved in the transport of aqueous As along Amous river flowpath vary seasonally. Arsenic is transported conservatively in the aqueous phase away from the confluence in the cooler months; thus, dilution by unpolluted tributaries is the only process that decreases As concentrations. However, As(III) is rapidly oxidized and As(V) remains in solution. In contrast, during the warm season, desorption from As-rich sediment occurs which results in an increase of As(V) and As(III) concentrations along Amous river flow until they reach up to \u223c20 \u03bcg/l each. Therefore, Amous river seems not to be totally recovered from mine-related arsenic contamination after 3.5 km and may affect freshwater resources further downstream. \u00a9 2004 Elsevier B.V. All rights reserved.", "author" : [ { "dropping-particle" : "", "family" : "Casiot", "given" : "C.", "non-dropping-particle" : "", "parse-names" : false, "suffix" : "" }, { "dropping-particle" : "", "family" : "Lebrun", "given" : "S.", "non-dropping-particle" : "", "parse-names" : false, "suffix" : "" }, { "dropping-particle" : "", "family" : "Morin", "given" : "G.", "non-dropping-particle" : "", "parse-names" : false, "suffix" : "" }, { "dropping-particle" : "", "family" : "Bruneel", "given" : "O.", "non-dropping-particle" : "", "parse-names" : false, "suffix" : "" }, { "dropping-particle" : "", "family" : "Personn\u00e9", "given" : "J. C.", "non-dropping-particle" : "", "parse-names" : false, "suffix" : "" }, { "dropping-particle" : "", "family" : "Elbaz-Poulichet", "given" : "F.", "non-dropping-particle" : "", "parse-names" : false, "suffix" : "" } ], "container-title" : "Science of the Total Environment", "id" : "ITEM-1", "issue" : "1-3", "issued" : { "date-parts" : [ [ "2005" ] ] }, "page" : "122-130", "title" : "Sorption and redox processes controlling arsenic fate and transport in a stream impacted by acid mine drainage", "type" : "article-journal", "volume" : "347" }, "uris" : [ "http://www.mendeley.com/documents/?uuid=a19a6d9e-0b49-4e94-83ae-5050d0ec15f2" ] }, { "id" : "ITEM-2", "itemData" : { "DOI" : "10.1006/jcis.2002.8646", "ISBN" : "0021-9797 (Print)\\r0021-9797 (Linking)", "ISSN" : "00219797", "PMID" : "12702367", "abstract" : "Arsenic adsorption was carried out on simple materials such as goethite and amorphous iron hydroxide, and more complex matrices such as clay pillared with titanium(IV), iron(III), and aluminum(III). These matrices were synthesized from a bentonite whose montmorillonitic fraction was pillared according to optimized parameters. These sorbents were characterized by various methods: XRD, FTIR, BET, DTA/TGA, surface acidity, and zetametry. Elimination of arsenite and arsenate as a function of pH was studied. Arsenate elimination was favored at acidic pH, whereas optimal arsenite elimination was obtained at 4&lt;pH&lt;9. For pH values above 10, the pillared clays were damaged and elimination decreased. Equilibrium time and adsorption isotherms were also determined for arsenite and arsenate at each matrix auto-equilibrium pH. Amorphous iron hydroxide had the highest adsorption capacities both towards arsenate and arsenite. Adsorption capacities of goethite and iron- and titanium-pillared clays toward arsenate were similar, but those toward arsenite were different. Desorption experiments from the various matrices were carried out. Iron- and titanium-pillared clays showed a desorption capacity above 95% and around 40% respectively, but no desorption rate could be obtained for iron (hydr)oxides as they were damaged during the process.", "author" : [ { "dropping-particle" : "", "family" : "Lenoble", "given" : "V\u00e9ronique", "non-dropping-particle" : "", "parse-names" : false, "suffix" : "" }, { "dropping-particle" : "", "family" : "Bouras", "given" : "Omar", "non-dropping-particle" : "", "parse-names" : false, "suffix" : "" }, { "dropping-particle" : "", "family" : "Deluchat", "given" : "V\u00e9ronique", "non-dropping-particle" : "", "parse-names" : false, "suffix" : "" }, { "dropping-particle" : "", "family" : "Serpaud", "given" : "Bernard", "non-dropping-particle" : "", "parse-names" : false, "suffix" : "" }, { "dropping-particle" : "", "family" : "Bollinger", "given" : "Jean-Claude", "non-dropping-particle" : "", "parse-names" : false, "suffix" : "" } ], "container-title" : "Journal of colloid and interface science", "id" : "ITEM-2", "issue" : "1", "issued" : { "date-parts" : [ [ "2002" ] ] }, "page" : "52-58", "title" : "Arsenic adsorption onto pillared clays and iron oxides.", "type" : "article-journal", "volume" : "255" }, "uris" : [ "http://www.mendeley.com/documents/?uuid=23696b25-67a5-48ce-9920-422b8f4fbbeb" ] } ], "mendeley" : { "formattedCitation" : "(Lenoble et al. 2002; Casiot et al. 2005)", "plainTextFormattedCitation" : "(Lenoble et al. 2002; Casiot et al. 2005)", "previouslyFormattedCitation" : "(Lenoble et al. 2002; Casiot et al. 2005)" }, "properties" : { "noteIndex" : 0 }, "schema" : "https://github.com/citation-style-language/schema/raw/master/csl-citation.json" }</w:instrText>
      </w:r>
      <w:r w:rsidRPr="006F27F7">
        <w:rPr>
          <w:rFonts w:cstheme="minorHAnsi"/>
        </w:rPr>
        <w:fldChar w:fldCharType="separate"/>
      </w:r>
      <w:r w:rsidRPr="006F27F7">
        <w:rPr>
          <w:rFonts w:cstheme="minorHAnsi"/>
          <w:noProof/>
        </w:rPr>
        <w:t>(Lenoble et al. 2002; Casiot et al. 2005)</w:t>
      </w:r>
      <w:r w:rsidRPr="006F27F7">
        <w:rPr>
          <w:rFonts w:cstheme="minorHAnsi"/>
        </w:rPr>
        <w:fldChar w:fldCharType="end"/>
      </w:r>
      <w:r w:rsidRPr="006F27F7">
        <w:rPr>
          <w:rFonts w:cstheme="minorHAnsi"/>
        </w:rPr>
        <w:t xml:space="preserve">.  The initial alkalinity of the mine drainage is elevated due to the </w:t>
      </w:r>
      <w:r w:rsidRPr="006F27F7">
        <w:rPr>
          <w:rFonts w:cstheme="minorHAnsi"/>
        </w:rPr>
        <w:lastRenderedPageBreak/>
        <w:t>dissolution of dolomitic limestone in the site host rock increasing the concentration of HCO</w:t>
      </w:r>
      <w:r w:rsidRPr="006F27F7">
        <w:rPr>
          <w:rFonts w:cstheme="minorHAnsi"/>
          <w:vertAlign w:val="subscript"/>
        </w:rPr>
        <w:t>3</w:t>
      </w:r>
      <w:r w:rsidRPr="006F27F7">
        <w:rPr>
          <w:rFonts w:cstheme="minorHAnsi"/>
          <w:vertAlign w:val="superscript"/>
        </w:rPr>
        <w:t xml:space="preserve">- </w:t>
      </w:r>
      <w:r w:rsidRPr="006F27F7">
        <w:rPr>
          <w:rFonts w:cstheme="minorHAnsi"/>
        </w:rPr>
        <w:t>in the influent AMD.  The dramatic decrease in alkalinity observed in the Cell 1 effluent sample results from the neutralization of the latent acidity that is released as iron is oxidized and hydrolyzed (equations 2.1 and 2.2).  Sulfate concentrations did not demonstrate significant change within Cell 1, which is expected based on the oxidizing function of this component of the treatment system. The performance of Cell 1 for the removal efficiency and storage of iron oxides (80% or 19.8 g Fe /m</w:t>
      </w:r>
      <w:r w:rsidRPr="006F27F7">
        <w:rPr>
          <w:rFonts w:cstheme="minorHAnsi"/>
          <w:vertAlign w:val="superscript"/>
        </w:rPr>
        <w:t>2</w:t>
      </w:r>
      <w:r w:rsidRPr="006F27F7">
        <w:rPr>
          <w:rFonts w:cstheme="minorHAnsi"/>
        </w:rPr>
        <w:t xml:space="preserve">/day) with some partial secondary removal of trace metals is consistent with the expected performance based on observations from the long-term monitoring of passive treatment systems </w:t>
      </w:r>
      <w:r w:rsidRPr="006F27F7">
        <w:rPr>
          <w:rFonts w:cstheme="minorHAnsi"/>
        </w:rPr>
        <w:fldChar w:fldCharType="begin" w:fldLock="1"/>
      </w:r>
      <w:r w:rsidRPr="006F27F7">
        <w:rPr>
          <w:rFonts w:cstheme="minorHAnsi"/>
        </w:rPr>
        <w:instrText>ADDIN CSL_CITATION { "citationItems" : [ { "id" : "ITEM-1", "itemData" : { "DOI" : "10.1017/CBO9781107415324.004", "ISBN" : "9788578110796", "ISSN" : "1098-6596", "PMID" : "25246403", "author" : [ { "dropping-particle" : "", "family" : "Ziemkiewicz", "given" : "P.F", "non-dropping-particle" : "", "parse-names" : false, "suffix" : "" }, { "dropping-particle" : "", "family" : "J.G", "given" : "Skousen", "non-dropping-particle" : "", "parse-names" : false, "suffix" : "" }, { "dropping-particle" : "", "family" : "Simmons", "given" : "J", "non-dropping-particle" : "", "parse-names" : false, "suffix" : "" } ], "container-title" : "Journal of Mine Water and the Environment", "id" : "ITEM-1", "issued" : { "date-parts" : [ [ "2003" ] ] }, "page" : "118.129", "title" : "Long-term Performance of Passive Acid Mine Drainage Treatment Systems", "type" : "article-journal", "volume" : "22" }, "uris" : [ "http://www.mendeley.com/documents/?uuid=9c33ba45-f464-428f-b562-48da1067e9f9" ] }, { "id" : "ITEM-2", "itemData" : { "DOI" : "10.1016/0169-1317(92)90040-T", "ISBN" : "0169-1317", "ISSN" : "01691317", "abstract" : "The mobility, biodisponibility and toxicity of heavy metals are largely controlled by chemical reactions which take place at the hydrous oxide/water interface. The recent development of the synchrotron-based fluorescence yield X-ray absorption spectroscopy permits elucidation of these chemical reactions, at a molecular level. Six case studies are presented: the sorption mechanism of SeO32-, UO22+, Pb(II), Cr(III) on hydrous Fe oxide, Pb(II) on hydrous Mn oxide and the surface oxidation mechanism of the Cr(III) oxidation to Cr(VI) at the MnO2/water interface. For all these examples the nature of the active site involved in the sorption process is described. On hydrous Fe oxide, cations [except Cr(III)] and anions adsorb on different surface sites: the former share edges and the latter double corners with Fe(O,OH)6 octahedra. The sizes of these two surface sites are quite identical so that steric factors cannot account for the difference of sorption processes between cations and anions. The high reactivity of hydrous oxides results from the fact that hydroxyl groups of the two active sites form an ideal \"template\" for bridging heavy metals. Indeed, OH-OH distances match well with the geometry of the coordination polyhedra of heavy metals. As an application it is shown how the knowledge of sorption mechanisms, at a microscopic level, may help understanding aqueous chemical experiments conducted at a macroscopic level. More generally, this level of investigation is a key issue in evaluating the environmental impact of long term application of heavy metals to land. ?? 1992.", "author" : [ { "dropping-particle" : "", "family" : "Manceau", "given" : "A.", "non-dropping-particle" : "", "parse-names" : false, "suffix" : "" }, { "dropping-particle" : "", "family" : "Charlet", "given" : "L.", "non-dropping-particle" : "", "parse-names" : false, "suffix" : "" }, { "dropping-particle" : "", "family" : "Boisset", "given" : "M. C.", "non-dropping-particle" : "", "parse-names" : false, "suffix" : "" }, { "dropping-particle" : "", "family" : "Didier", "given" : "B.", "non-dropping-particle" : "", "parse-names" : false, "suffix" : "" }, { "dropping-particle" : "", "family" : "Spadini", "given" : "L.", "non-dropping-particle" : "", "parse-names" : false, "suffix" : "" } ], "container-title" : "Applied Clay Science", "id" : "ITEM-2", "issue" : "1-3", "issued" : { "date-parts" : [ [ "1992" ] ] }, "page" : "201-223", "title" : "Sorption and speciation of heavy metals on hydrous Fe and Mn oxides. From microscopic to macroscopic", "type" : "article-journal", "volume" : "7" }, "uris" : [ "http://www.mendeley.com/documents/?uuid=6fdc5536-a3c7-4561-8ff6-c431bdd55301" ] }, { "id" : "ITEM-3", "itemData" : { "DOI" : "10.1016/j.scitotenv.2010.06.009", "ISSN" : "1879-1026", "PMID" : "20605568", "abstract" : "A full-scale passive treatment system (PTS) was commissioned in 2003 to treat two net-acidic coal mine water discharges in the Durham coalfield, UK. The principal aim of the PTS was to decrease concentrations of iron (&lt;177 mg L(-1)) and aluminium (&lt;85 mg L(-1)) and to increase pH (&gt;3.2) and alkalinity (&gt; or =0 mg L(-1) CaCO(3) eq). Secondary objectives were to decrease zinc (&lt;2.8 mg L(-1)), manganese (&lt;20.5 mg L(-1)) and sulfate (&lt;2120 mg L(-1)). Upon treatment, water qualities were improved by 84% in the case of Fe, 87% Al, 83% acidity, 51% Zn, 23% Mn and 29% SO(4)(2)(-). Alkalinity (74%) and pH (95% as H(+)) were increased. Area adjusted removal rates (Fe=1.49+/-0.66 g d(-1) m(-2); acidity=6.7+/-4.9 g d(-1) m(-2)) were low compared to design criteria, mainly due to load limitation. Disregarding seasonality effects, acidity removal and effluent pH were stable over time. A substantial temporal decrease in calcium and alkalinity generation suggests that limestone is increasingly armoured. Once pH is no longer buffered by the carbonate system, metals could be remobilized, putting treatment efficiency at risk.", "author" : [ { "dropping-particle" : "", "family" : "Matthies", "given" : "Romy", "non-dropping-particle" : "", "parse-names" : false, "suffix" : "" }, { "dropping-particle" : "", "family" : "Aplin", "given" : "Andrew C", "non-dropping-particle" : "", "parse-names" : false, "suffix" : "" }, { "dropping-particle" : "", "family" : "Jarvis", "given" : "Adam P", "non-dropping-particle" : "", "parse-names" : false, "suffix" : "" } ], "container-title" : "The Science of the total environment", "id" : "ITEM-3", "issue" : "20", "issued" : { "date-parts" : [ [ "2010", "9", "15" ] ] }, "page" : "4877-85", "title" : "Performance of a passive treatment system for net-acidic coal mine drainage over five years of operation.", "type" : "article-journal", "volume" : "408" }, "uris" : [ "http://www.mendeley.com/documents/?uuid=0e56f1e6-fec8-4653-9e06-e7c01d0932ac" ] } ], "mendeley" : { "formattedCitation" : "(Manceau et al. 1992; Ziemkiewicz et al. 2003; Matthies et al. 2010)", "plainTextFormattedCitation" : "(Manceau et al. 1992; Ziemkiewicz et al. 2003; Matthies et al. 2010)", "previouslyFormattedCitation" : "(Manceau et al. 1992; Ziemkiewicz et al. 2003; Matthies et al. 2010)" }, "properties" : { "noteIndex" : 0 }, "schema" : "https://github.com/citation-style-language/schema/raw/master/csl-citation.json" }</w:instrText>
      </w:r>
      <w:r w:rsidRPr="006F27F7">
        <w:rPr>
          <w:rFonts w:cstheme="minorHAnsi"/>
        </w:rPr>
        <w:fldChar w:fldCharType="separate"/>
      </w:r>
      <w:r w:rsidRPr="006F27F7">
        <w:rPr>
          <w:rFonts w:cstheme="minorHAnsi"/>
          <w:noProof/>
        </w:rPr>
        <w:t>(Manceau et al. 1992; Ziemkiewicz et al. 2003; Matthies et al. 2010)</w:t>
      </w:r>
      <w:r w:rsidRPr="006F27F7">
        <w:rPr>
          <w:rFonts w:cstheme="minorHAnsi"/>
        </w:rPr>
        <w:fldChar w:fldCharType="end"/>
      </w:r>
      <w:r w:rsidRPr="006F27F7">
        <w:rPr>
          <w:rFonts w:cstheme="minorHAnsi"/>
        </w:rPr>
        <w:t xml:space="preserve">. Removal rates have demonstrated seasonality but there are conflicting reports as to the whether the source of that variance is due to load limiting via fluctuations in flow rate  </w:t>
      </w:r>
      <w:r w:rsidRPr="006F27F7">
        <w:rPr>
          <w:rFonts w:cstheme="minorHAnsi"/>
        </w:rPr>
        <w:fldChar w:fldCharType="begin" w:fldLock="1"/>
      </w:r>
      <w:r w:rsidRPr="006F27F7">
        <w:rPr>
          <w:rFonts w:cstheme="minorHAnsi"/>
        </w:rPr>
        <w:instrText>ADDIN CSL_CITATION { "citationItems" : [ { "id" : "ITEM-1", "itemData" : { "DOI" : "10.1016/j.scitotenv.2010.06.009", "ISSN" : "1879-1026", "PMID" : "20605568", "abstract" : "A full-scale passive treatment system (PTS) was commissioned in 2003 to treat two net-acidic coal mine water discharges in the Durham coalfield, UK. The principal aim of the PTS was to decrease concentrations of iron (&lt;177 mg L(-1)) and aluminium (&lt;85 mg L(-1)) and to increase pH (&gt;3.2) and alkalinity (&gt; or =0 mg L(-1) CaCO(3) eq). Secondary objectives were to decrease zinc (&lt;2.8 mg L(-1)), manganese (&lt;20.5 mg L(-1)) and sulfate (&lt;2120 mg L(-1)). Upon treatment, water qualities were improved by 84% in the case of Fe, 87% Al, 83% acidity, 51% Zn, 23% Mn and 29% SO(4)(2)(-). Alkalinity (74%) and pH (95% as H(+)) were increased. Area adjusted removal rates (Fe=1.49+/-0.66 g d(-1) m(-2); acidity=6.7+/-4.9 g d(-1) m(-2)) were low compared to design criteria, mainly due to load limitation. Disregarding seasonality effects, acidity removal and effluent pH were stable over time. A substantial temporal decrease in calcium and alkalinity generation suggests that limestone is increasingly armoured. Once pH is no longer buffered by the carbonate system, metals could be remobilized, putting treatment efficiency at risk.", "author" : [ { "dropping-particle" : "", "family" : "Matthies", "given" : "Romy", "non-dropping-particle" : "", "parse-names" : false, "suffix" : "" }, { "dropping-particle" : "", "family" : "Aplin", "given" : "Andrew C", "non-dropping-particle" : "", "parse-names" : false, "suffix" : "" }, { "dropping-particle" : "", "family" : "Jarvis", "given" : "Adam P", "non-dropping-particle" : "", "parse-names" : false, "suffix" : "" } ], "container-title" : "The Science of the total environment", "id" : "ITEM-1", "issue" : "20", "issued" : { "date-parts" : [ [ "2010", "9", "15" ] ] }, "page" : "4877-85", "title" : "Performance of a passive treatment system for net-acidic coal mine drainage over five years of operation.", "type" : "article-journal", "volume" : "408" }, "uris" : [ "http://www.mendeley.com/documents/?uuid=0e56f1e6-fec8-4653-9e06-e7c01d0932ac" ] }, { "id" : "ITEM-2", "itemData" : { "DOI" : "10.1016/S0925-8574(97)10005-2", "ISBN" : "0925-8574", "ISSN" : "09258574", "abstract" : "An experiment was conducted to quantify the effects of flow rate and iron concentration on the performance of wetlands constructed to treat coal mine drainage, with implications for sizing. Sixteen identical wetland mesocosms, containing spent mushroom substrate, received simulated coal mine drainage (pH = 3.7) at different iron concentrations and flow rates in a 4 x 4 factorial design over an 8-month period. Effluent iron was positively correlated with influent iron and flow rate; effluent pH was negatively related to influent iron and flow rate. The relationship between iron loading (influent [Fe] x flow rate) per unit volume and effluent iron concentration was defined by a regression equation. To achieve a target effluent iron concentration of 3.5 mg L-1, this equation predicts a sizing coefficient of 17.0 g m-3 day-1. The mass of iron removed per unit of substrate volume increased as iron loading per unit volume increased, but leveled off at an iron removal rate of 34.3 g m-3 day-1 Iron treatment efficiency, however, decreased as iron loading increased. A trade-off exists between iron removal rate and treatment efficiency, such that a wetland's full capacity for iron removal per unit volume can only be utilized if the effluent water receives secondary treatment to decrease the effluent iron to an acceptable level.", "author" : [ { "dropping-particle" : "", "family" : "Manyin", "given" : "Teresa", "non-dropping-particle" : "", "parse-names" : false, "suffix" : "" }, { "dropping-particle" : "", "family" : "Williams", "given" : "Frederick M.", "non-dropping-particle" : "", "parse-names" : false, "suffix" : "" }, { "dropping-particle" : "", "family" : "Stark", "given" : "Lloyd R.", "non-dropping-particle" : "", "parse-names" : false, "suffix" : "" } ], "container-title" : "Ecological Engineering", "id" : "ITEM-2", "issue" : "3-4", "issued" : { "date-parts" : [ [ "1997" ] ] }, "page" : "171-185", "title" : "Effects of iron concentration and flow rate on treatment of coal mine drainage in wetland mesocosms: An experimental approach to sizing of constructed wetlands", "type" : "article-journal", "volume" : "9" }, "uris" : [ "http://www.mendeley.com/documents/?uuid=829ac65b-0fab-45f1-97ac-1795056b394e" ] } ], "mendeley" : { "formattedCitation" : "(Manyin et al. 1997; Matthies et al. 2010)", "plainTextFormattedCitation" : "(Manyin et al. 1997; Matthies et al. 2010)", "previouslyFormattedCitation" : "(Manyin et al. 1997; Matthies et al. 2010)" }, "properties" : { "noteIndex" : 0 }, "schema" : "https://github.com/citation-style-language/schema/raw/master/csl-citation.json" }</w:instrText>
      </w:r>
      <w:r w:rsidRPr="006F27F7">
        <w:rPr>
          <w:rFonts w:cstheme="minorHAnsi"/>
        </w:rPr>
        <w:fldChar w:fldCharType="separate"/>
      </w:r>
      <w:r w:rsidRPr="006F27F7">
        <w:rPr>
          <w:rFonts w:cstheme="minorHAnsi"/>
          <w:noProof/>
        </w:rPr>
        <w:t>(Manyin et al. 1997; Matthies et al. 2010)</w:t>
      </w:r>
      <w:r w:rsidRPr="006F27F7">
        <w:rPr>
          <w:rFonts w:cstheme="minorHAnsi"/>
        </w:rPr>
        <w:fldChar w:fldCharType="end"/>
      </w:r>
      <w:r w:rsidRPr="006F27F7">
        <w:rPr>
          <w:rFonts w:cstheme="minorHAnsi"/>
        </w:rPr>
        <w:t xml:space="preserve"> or from the impact of temperature on reaction kinetics and dissolved gas species solubility </w:t>
      </w:r>
      <w:r w:rsidRPr="006F27F7">
        <w:rPr>
          <w:rFonts w:cstheme="minorHAnsi"/>
        </w:rPr>
        <w:fldChar w:fldCharType="begin" w:fldLock="1"/>
      </w:r>
      <w:r w:rsidRPr="006F27F7">
        <w:rPr>
          <w:rFonts w:cstheme="minorHAnsi"/>
        </w:rPr>
        <w:instrText>ADDIN CSL_CITATION { "citationItems" : [ { "id" : "ITEM-1", "itemData" : { "author" : [ { "dropping-particle" : "", "family" : "Hedin", "given" : "Robert", "non-dropping-particle" : "", "parse-names" : false, "suffix" : "" }, { "dropping-particle" : "", "family" : "Weaver", "given" : "Ted", "non-dropping-particle" : "", "parse-names" : false, "suffix" : "" }, { "dropping-particle" : "", "family" : "Wolfe", "given" : "Neil", "non-dropping-particle" : "", "parse-names" : false, "suffix" : "" }, { "dropping-particle" : "", "family" : "Watzlaf", "given" : "George", "non-dropping-particle" : "", "parse-names" : false, "suffix" : "" } ], "id" : "ITEM-1", "issued" : { "date-parts" : [ [ "2013" ] ] }, "page" : "1-13", "title" : "Effective Passive Treatment of Coal Mine Drainage 1", "type" : "article-journal" }, "uris" : [ "http://www.mendeley.com/documents/?uuid=2f8da815-e365-4ada-914b-d907c7a6f2dc" ] }, { "id" : "ITEM-2", "itemData" : { "DOI" : "10.1007/978-1-4020-4547-9_4", "ISBN" : "9781402045479", "abstract" : "The feasibility (i.e. direction and extent of the chemical change) and mechanism (i.e. study of rate and factors effecting it) are two important aspects, which should be distinguished clearly while considering a chemical reaction. There is no simple connection between the two aspects. For a general reaction aA + bB rightleftharpoons c C + d D The equilibrium constant is defined as Kc = fracC c D d A a B b Kc does not depend on concentrations but depends on temperature. At the given temperature, if the equilibrium concentrations of C and D are higher than those of A and B and indicates high value of Kc, then A and B have reacted to a considerable extent. On the other hand, if Kc is small, there will be little of C and D at equilibrium. Thus, the extent of chemical reaction is determined by equilibrium constant and is not related in any simple way to the rate or velocity of reaction with which the chemical change takes place. The reaction between two reactants may occur to almost completion, but the time for even very small fraction of the molecules to react may be extremely long.", "author" : [ { "dropping-particle" : "", "family" : "Reaction", "given" : "Rate", "non-dropping-particle" : "", "parse-names" : false, "suffix" : "" } ], "container-title" : "Chemical Kinetics and Reaction Dynamics", "id" : "ITEM-2", "issued" : { "date-parts" : [ [ "2006" ] ] }, "page" : "79-114", "title" : "Theories of Reaction Rate 4.1", "type" : "article-journal" }, "uris" : [ "http://www.mendeley.com/documents/?uuid=4cd701d8-7565-4f23-a5e5-c6f9e0a46578" ] } ], "mendeley" : { "formattedCitation" : "(Reaction 2006; Hedin et al. 2013)", "plainTextFormattedCitation" : "(Reaction 2006; Hedin et al. 2013)", "previouslyFormattedCitation" : "(Reaction 2006; Hedin et al. 2013)" }, "properties" : { "noteIndex" : 0 }, "schema" : "https://github.com/citation-style-language/schema/raw/master/csl-citation.json" }</w:instrText>
      </w:r>
      <w:r w:rsidRPr="006F27F7">
        <w:rPr>
          <w:rFonts w:cstheme="minorHAnsi"/>
        </w:rPr>
        <w:fldChar w:fldCharType="separate"/>
      </w:r>
      <w:r>
        <w:rPr>
          <w:rFonts w:cstheme="minorHAnsi"/>
          <w:noProof/>
        </w:rPr>
        <w:t>(</w:t>
      </w:r>
      <w:r w:rsidRPr="006F27F7">
        <w:rPr>
          <w:rFonts w:cstheme="minorHAnsi"/>
          <w:noProof/>
        </w:rPr>
        <w:t>Hedin et al. 2013)</w:t>
      </w:r>
      <w:r w:rsidRPr="006F27F7">
        <w:rPr>
          <w:rFonts w:cstheme="minorHAnsi"/>
        </w:rPr>
        <w:fldChar w:fldCharType="end"/>
      </w:r>
      <w:r>
        <w:rPr>
          <w:rFonts w:cstheme="minorHAnsi"/>
        </w:rPr>
        <w:t>.</w:t>
      </w:r>
    </w:p>
    <w:p w14:paraId="6F2B1FD1" w14:textId="77777777" w:rsidR="006F27F7" w:rsidRPr="006F27F7" w:rsidRDefault="006F27F7" w:rsidP="006F27F7">
      <w:pPr>
        <w:spacing w:line="480" w:lineRule="auto"/>
        <w:jc w:val="both"/>
        <w:rPr>
          <w:rFonts w:cstheme="minorHAnsi"/>
        </w:rPr>
      </w:pPr>
      <w:r w:rsidRPr="006F27F7">
        <w:rPr>
          <w:rFonts w:cstheme="minorHAnsi"/>
        </w:rPr>
        <w:t>The influent seeps supply the MRPTS with an average load of 100 kg/day of total iron predominantly in the dissolved Fe</w:t>
      </w:r>
      <w:r w:rsidRPr="006F27F7">
        <w:rPr>
          <w:rFonts w:cstheme="minorHAnsi"/>
          <w:vertAlign w:val="superscript"/>
        </w:rPr>
        <w:t>2+</w:t>
      </w:r>
      <w:r w:rsidRPr="006F27F7">
        <w:rPr>
          <w:rFonts w:cstheme="minorHAnsi"/>
        </w:rPr>
        <w:t xml:space="preserve"> oxidation state (97% of loaded iron is dissolved Fe</w:t>
      </w:r>
      <w:r w:rsidRPr="006F27F7">
        <w:rPr>
          <w:rFonts w:cstheme="minorHAnsi"/>
          <w:vertAlign w:val="superscript"/>
        </w:rPr>
        <w:t>2+</w:t>
      </w:r>
      <w:r w:rsidRPr="006F27F7">
        <w:rPr>
          <w:rFonts w:cstheme="minorHAnsi"/>
        </w:rPr>
        <w:t xml:space="preserve">). Over the five-year monitoring period (2009-2013), there was only a 5% relative standard deviation (%RSD) in the concentration of iron measured in the seep discharge indicating that loading is governed by variance in flow to the system rather than acute changes in the mine pool chemistry. The statistical comparison of annual and seasonal average flow rates to the five-year average (400±68 L/min) is summarized in Table 2.4    </w:t>
      </w:r>
    </w:p>
    <w:p w14:paraId="7149C8FA" w14:textId="222FD144" w:rsidR="004E2FF1" w:rsidRDefault="004E2FF1" w:rsidP="006F27F7">
      <w:pPr>
        <w:spacing w:line="480" w:lineRule="auto"/>
        <w:jc w:val="both"/>
        <w:rPr>
          <w:rFonts w:cstheme="minorHAnsi"/>
        </w:rPr>
      </w:pPr>
    </w:p>
    <w:p w14:paraId="36B00EB0" w14:textId="1C719D8C" w:rsidR="00310BCA" w:rsidRPr="00310BCA" w:rsidRDefault="00310BCA" w:rsidP="005E60C9">
      <w:pPr>
        <w:spacing w:line="480" w:lineRule="auto"/>
        <w:jc w:val="both"/>
        <w:rPr>
          <w:rFonts w:cstheme="minorHAnsi"/>
        </w:rPr>
      </w:pPr>
    </w:p>
    <w:p w14:paraId="1B30571F" w14:textId="77777777" w:rsidR="005E60C9" w:rsidRDefault="004E2FF1" w:rsidP="005E60C9">
      <w:pPr>
        <w:spacing w:line="480" w:lineRule="auto"/>
        <w:jc w:val="both"/>
        <w:rPr>
          <w:rFonts w:cstheme="minorHAnsi"/>
        </w:rPr>
      </w:pPr>
      <w:r>
        <w:rPr>
          <w:noProof/>
        </w:rPr>
        <w:lastRenderedPageBreak/>
        <w:drawing>
          <wp:inline distT="0" distB="0" distL="0" distR="0" wp14:anchorId="6AD6C6AF" wp14:editId="4C911857">
            <wp:extent cx="5231825" cy="3076575"/>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2006" t="32087" r="20635" b="7913"/>
                    <a:stretch/>
                  </pic:blipFill>
                  <pic:spPr bwMode="auto">
                    <a:xfrm>
                      <a:off x="0" y="0"/>
                      <a:ext cx="5250146" cy="3087349"/>
                    </a:xfrm>
                    <a:prstGeom prst="rect">
                      <a:avLst/>
                    </a:prstGeom>
                    <a:ln>
                      <a:noFill/>
                    </a:ln>
                    <a:extLst>
                      <a:ext uri="{53640926-AAD7-44D8-BBD7-CCE9431645EC}">
                        <a14:shadowObscured xmlns:a14="http://schemas.microsoft.com/office/drawing/2010/main"/>
                      </a:ext>
                    </a:extLst>
                  </pic:spPr>
                </pic:pic>
              </a:graphicData>
            </a:graphic>
          </wp:inline>
        </w:drawing>
      </w:r>
    </w:p>
    <w:p w14:paraId="7BDE62C3" w14:textId="3D1C11A5" w:rsidR="006F27F7" w:rsidRPr="006F27F7" w:rsidRDefault="006F27F7" w:rsidP="006F27F7">
      <w:pPr>
        <w:spacing w:line="480" w:lineRule="auto"/>
        <w:jc w:val="both"/>
        <w:rPr>
          <w:rFonts w:cstheme="minorHAnsi"/>
        </w:rPr>
      </w:pPr>
      <w:r w:rsidRPr="006F27F7">
        <w:rPr>
          <w:rFonts w:cstheme="minorHAnsi"/>
        </w:rPr>
        <w:t xml:space="preserve">The annual average influent flow rate for the MRPTS was significantly higher during 2010 than the five-year average, while the flow rates for 2011 and 2013 were significantly lower than the five-year average flow. Seasonal impact on flow only appears to have a significant difference with respect to the five-year average for spring (March, April, May) in which higher flow than average is typically observed. The %RSD for the average iron concentrations measured in the effluent flow of Cell 1 over the same five-year period of performance evaluation demonstrated less consistency (66%RSD for total iron; 83%RSD for the dissolved fraction) than the influent concentrations. This indicates that removal efficiency may demonstrate seasonal effects as observed in AMD-impacted streams and other passive treatment system installations </w:t>
      </w:r>
      <w:r w:rsidRPr="006F27F7">
        <w:rPr>
          <w:rFonts w:cstheme="minorHAnsi"/>
        </w:rPr>
        <w:fldChar w:fldCharType="begin" w:fldLock="1"/>
      </w:r>
      <w:r w:rsidRPr="006F27F7">
        <w:rPr>
          <w:rFonts w:cstheme="minorHAnsi"/>
        </w:rPr>
        <w:instrText>ADDIN CSL_CITATION { "citationItems" : [ { "id" : "ITEM-1", "itemData" : { "DOI" : "10.1021/es015629w", "ISBN" : "0013-936X", "ISSN" : "0013936X", "PMID" : "12322751", "abstract" : "An annual study of a natural wetland receiving drainage with high concentrations of iron, zinc, and manganese from an abandoned mine tunnel was conducted. During summer, the wetland reduced the mass flow from the tunnel to a receiving stream by more than 90% for iron, by 65% for zinc, and by 25% for manganese. Plant uptake accounted for less than 1% of the total retention. Zinc and manganese mass flows to the stream were greater than mass flows from the tunnel during autumn and winter, indicating a seasonal cycle of the wetland acting as a net sink in the summer and then a net source in the winter. Iron mass flow to the stream was less than the iron mass flow from the tunnel for the majority of the year, with the high retention of iron in the wetland associated with large deposits of iron oxides, especially thick in the upper reaches of the wetland. Spring snowmelt saturated the otherwise dry material in the mine tailings above the wetland, creating an additional source of inflow, with metal concentrations two times higher and three pH units lower than water flowing from the mine tunnel. This period of runoff from the tailings, with the associated high concentration of metals in the stream below the wetland, represented a critical time for stream biota.", "author" : [ { "dropping-particle" : "", "family" : "August", "given" : "Eric E.", "non-dropping-particle" : "", "parse-names" : false, "suffix" : "" }, { "dropping-particle" : "", "family" : "McKnight", "given" : "Diane M.", "non-dropping-particle" : "", "parse-names" : false, "suffix" : "" }, { "dropping-particle" : "", "family" : "Hrncir", "given" : "Duane C.", "non-dropping-particle" : "", "parse-names" : false, "suffix" : "" }, { "dropping-particle" : "", "family" : "Garhart", "given" : "Kimberly S.", "non-dropping-particle" : "", "parse-names" : false, "suffix" : "" } ], "container-title" : "Environmental Science and Technology", "id" : "ITEM-1", "issue" : "17", "issued" : { "date-parts" : [ [ "2002" ] ] }, "page" : "3779-3786", "title" : "Seasonal variability of metals transport through a wetland impacted by mine drainage in the Rocky Mountains", "type" : "article-journal", "volume" : "36" }, "uris" : [ "http://www.mendeley.com/documents/?uuid=53fa5953-be05-40e4-8cde-04b1ecd8b3d5" ] }, { "id" : "ITEM-2", "itemData" : { "DOI" : "10.1016/j.watres.2008.03.004", "ISBN" : "0043-1354 (Print)\\r0043-1354 (Linking)", "ISSN" : "00431354", "PMID" : "18433827", "abstract" : "North Fork Clear Creek (NFCC) in Colorado, an acid-mine drainage (AMD) impacted stream, was chosen to examine the distribution of dissolved and particulate Cu, Fe, Mn, and Zn in the water column, with respect to seasonal hydrologic controls. NFCC is a high-gradient stream with discharge directly related to snowmelt and strong seasonal storms. Additionally, conditions in the stream cause rapid precipitation of large amounts of hydrous iron oxides (HFO) that sequester metals. Because AMD-impacted systems are complex, geochemical modeling may assist with predictions and/or confirmations of processes occurring in these environments. This research used Visual-MINTEQ to determine if field data collected over a two and one-half year study would be well represented by modeling with a currently existing model, while limiting the number of processes modeled and without modifications to the existing model's parameters. Observed distributions between dissolved and particulate phases in the water column varied greatly among the metals, with average dissolved fractions being &gt;90% for Mn, ???75% for Zn, ???30% for Cu, and &lt;10% for Fe. A strong seasonal trend was observed for the metals predominantly in the dissolved phase (Mn and Zn), with increasing concentrations during base-flow conditions and decreasing concentrations during spring-runoff. This trend was less obvious for Cu and Fe. Within hydrologic seasons, storm events significantly influenced in-stream metals concentrations. The most simplified modeling, using solely sorption to HFO, gave predicted percentage particulate Cu results for most samples to within a factor of two of the measured values, but modeling data were biased toward over-prediction. About one-half of the percentage particulate Zn data comparisons fell within a factor of two, with the remaining data being under-predicted. Slightly more complex modeling, which included dissolved organic carbon (DOC) as a solution phase ligand, significantly reduced the positive bias between observed and predicted percentage particulate Cu, while inclusion of hydrous manganese oxide (HMO) yielded model results more representative of the observed percentage particulate Zn. These results indicate that there is validity in the use of an existing model, without alteration and with typically collected water chemistry data, to describe complex natural systems, but that processes considered optimal for one metal might not be applicable for all metals in a given water sa\u2026", "author" : [ { "dropping-particle" : "", "family" : "Butler", "given" : "Barbara A.", "non-dropping-particle" : "", "parse-names" : false, "suffix" : "" }, { "dropping-particle" : "", "family" : "Ranville", "given" : "James F.", "non-dropping-particle" : "", "parse-names" : false, "suffix" : "" }, { "dropping-particle" : "", "family" : "Ross", "given" : "Philippe E.", "non-dropping-particle" : "", "parse-names" : false, "suffix" : "" } ], "container-title" : "Water Research", "id" : "ITEM-2", "issue" : "12", "issued" : { "date-parts" : [ [ "2008" ] ] }, "page" : "3135-3145", "title" : "Observed and modeled seasonal trends in dissolved and particulate Cu, Fe, Mn, and Zn in a mining-impacted stream", "type" : "article-journal", "volume" : "42" }, "uris" : [ "http://www.mendeley.com/documents/?uuid=58707850-a891-4fa3-83e9-03322e6466b3" ] } ], "mendeley" : { "formattedCitation" : "(August et al. 2002; Butler et al. 2008)", "plainTextFormattedCitation" : "(August et al. 2002; Butler et al. 2008)", "previouslyFormattedCitation" : "(August et al. 2002; Butler et al. 2008)" }, "properties" : { "noteIndex" : 0 }, "schema" : "https://github.com/citation-style-language/schema/raw/master/csl-citation.json" }</w:instrText>
      </w:r>
      <w:r w:rsidRPr="006F27F7">
        <w:rPr>
          <w:rFonts w:cstheme="minorHAnsi"/>
        </w:rPr>
        <w:fldChar w:fldCharType="separate"/>
      </w:r>
      <w:r w:rsidRPr="006F27F7">
        <w:rPr>
          <w:rFonts w:cstheme="minorHAnsi"/>
          <w:noProof/>
        </w:rPr>
        <w:t>(August et al. 2002; Butler et al. 2008</w:t>
      </w:r>
      <w:r w:rsidR="00551F79">
        <w:rPr>
          <w:rFonts w:cstheme="minorHAnsi"/>
          <w:noProof/>
        </w:rPr>
        <w:t>, Hedin 2008</w:t>
      </w:r>
      <w:r w:rsidRPr="006F27F7">
        <w:rPr>
          <w:rFonts w:cstheme="minorHAnsi"/>
          <w:noProof/>
        </w:rPr>
        <w:t>)</w:t>
      </w:r>
      <w:r w:rsidRPr="006F27F7">
        <w:rPr>
          <w:rFonts w:cstheme="minorHAnsi"/>
        </w:rPr>
        <w:fldChar w:fldCharType="end"/>
      </w:r>
      <w:r w:rsidRPr="006F27F7">
        <w:rPr>
          <w:rFonts w:cstheme="minorHAnsi"/>
        </w:rPr>
        <w:t xml:space="preserve">.  </w:t>
      </w:r>
    </w:p>
    <w:p w14:paraId="1D7FD511" w14:textId="77777777" w:rsidR="006F27F7" w:rsidRPr="006F27F7" w:rsidRDefault="006F27F7" w:rsidP="006F27F7">
      <w:pPr>
        <w:keepNext/>
        <w:keepLines/>
        <w:spacing w:before="40" w:after="0"/>
        <w:outlineLvl w:val="3"/>
        <w:rPr>
          <w:rFonts w:asciiTheme="majorHAnsi" w:eastAsiaTheme="majorEastAsia" w:hAnsiTheme="majorHAnsi" w:cstheme="majorBidi"/>
          <w:i/>
          <w:iCs/>
        </w:rPr>
      </w:pPr>
      <w:r w:rsidRPr="006F27F7">
        <w:rPr>
          <w:rFonts w:asciiTheme="majorHAnsi" w:eastAsiaTheme="majorEastAsia" w:hAnsiTheme="majorHAnsi" w:cstheme="majorBidi"/>
          <w:i/>
          <w:iCs/>
        </w:rPr>
        <w:t>Progressive Iron Removal Profile</w:t>
      </w:r>
    </w:p>
    <w:p w14:paraId="4C1DBB53" w14:textId="77777777" w:rsidR="006F27F7" w:rsidRPr="006F27F7" w:rsidRDefault="006F27F7" w:rsidP="006F27F7"/>
    <w:p w14:paraId="2BA84A4D" w14:textId="77777777" w:rsidR="006F27F7" w:rsidRPr="006F27F7" w:rsidRDefault="006F27F7" w:rsidP="006F27F7">
      <w:pPr>
        <w:spacing w:line="480" w:lineRule="auto"/>
        <w:jc w:val="both"/>
        <w:rPr>
          <w:rFonts w:cstheme="minorHAnsi"/>
        </w:rPr>
      </w:pPr>
      <w:r w:rsidRPr="006F27F7">
        <w:rPr>
          <w:rFonts w:cstheme="minorHAnsi"/>
        </w:rPr>
        <w:t xml:space="preserve">The average progressive iron removal profile for Cell 1 of the MRPTS (Figure 2.2) indicates the change in total and dissolved iron concentrations relative to position within the treatment cell. </w:t>
      </w:r>
    </w:p>
    <w:p w14:paraId="7B1950E1" w14:textId="77777777" w:rsidR="005E60C9" w:rsidRDefault="005E60C9" w:rsidP="004E2FF1">
      <w:pPr>
        <w:pStyle w:val="Heading3"/>
        <w:rPr>
          <w:rFonts w:cstheme="minorHAnsi"/>
        </w:rPr>
      </w:pPr>
      <w:r>
        <w:rPr>
          <w:noProof/>
        </w:rPr>
        <w:lastRenderedPageBreak/>
        <w:drawing>
          <wp:inline distT="0" distB="0" distL="0" distR="0" wp14:anchorId="12621FE3" wp14:editId="596DF6E5">
            <wp:extent cx="5253990" cy="2967355"/>
            <wp:effectExtent l="0" t="0" r="3810" b="444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540C579" w14:textId="636795B9" w:rsidR="005E60C9" w:rsidRPr="00C018C2" w:rsidRDefault="005E60C9" w:rsidP="004E2FF1">
      <w:pPr>
        <w:pStyle w:val="Heading3"/>
        <w:rPr>
          <w:rFonts w:cstheme="minorHAnsi"/>
        </w:rPr>
      </w:pPr>
      <w:r w:rsidRPr="00C018C2">
        <w:rPr>
          <w:rFonts w:cstheme="minorHAnsi"/>
        </w:rPr>
        <w:t xml:space="preserve">Figure 2.2: Average progressive iron removal profile for Cell 1 of the Mayer Ranch Passive Treatment System based on sample location for 2009-2012 (n = 12 profiles) with ± standard deviation error </w:t>
      </w:r>
      <w:r w:rsidR="00551F79" w:rsidRPr="00C018C2">
        <w:rPr>
          <w:rFonts w:cstheme="minorHAnsi"/>
        </w:rPr>
        <w:t>bars.</w:t>
      </w:r>
      <w:r w:rsidR="00551F79">
        <w:rPr>
          <w:rFonts w:cstheme="minorHAnsi"/>
        </w:rPr>
        <w:t xml:space="preserve"> Percentages are removal efficiencies that summarize the relative removal of iron as water progresses through the cell. </w:t>
      </w:r>
    </w:p>
    <w:p w14:paraId="70E45EA3" w14:textId="77777777" w:rsidR="005E60C9" w:rsidRDefault="005E60C9" w:rsidP="005E60C9">
      <w:pPr>
        <w:spacing w:line="240" w:lineRule="auto"/>
        <w:jc w:val="both"/>
        <w:rPr>
          <w:rFonts w:cstheme="minorHAnsi"/>
        </w:rPr>
      </w:pPr>
    </w:p>
    <w:p w14:paraId="6661A038" w14:textId="03C44C13" w:rsidR="00551F79" w:rsidRPr="00551F79" w:rsidRDefault="00551F79" w:rsidP="00551F79">
      <w:pPr>
        <w:spacing w:line="480" w:lineRule="auto"/>
        <w:jc w:val="both"/>
        <w:rPr>
          <w:rFonts w:cstheme="minorHAnsi"/>
        </w:rPr>
      </w:pPr>
      <w:r w:rsidRPr="00551F79">
        <w:rPr>
          <w:rFonts w:cstheme="minorHAnsi"/>
        </w:rPr>
        <w:t>The majority (</w:t>
      </w:r>
      <w:r>
        <w:rPr>
          <w:rFonts w:cstheme="minorHAnsi"/>
        </w:rPr>
        <w:t>87</w:t>
      </w:r>
      <w:r w:rsidRPr="00551F79">
        <w:rPr>
          <w:rFonts w:cstheme="minorHAnsi"/>
        </w:rPr>
        <w:t xml:space="preserve">% of iron removal within Cell 1, and 81% of removal based on influent loading) is removed from the water column in the first operationally-defined section. Total and dissolved average iron concentrations were plotted versus the approximated HRT for each location in Figure 2.3. </w:t>
      </w:r>
    </w:p>
    <w:p w14:paraId="040F8F73" w14:textId="7941A4F1" w:rsidR="005E60C9" w:rsidRDefault="005E60C9" w:rsidP="005E60C9">
      <w:pPr>
        <w:spacing w:line="480" w:lineRule="auto"/>
        <w:jc w:val="both"/>
        <w:rPr>
          <w:rFonts w:cstheme="minorHAnsi"/>
        </w:rPr>
      </w:pPr>
      <w:r>
        <w:rPr>
          <w:rFonts w:cstheme="minorHAnsi"/>
        </w:rPr>
        <w:t xml:space="preserve">. </w:t>
      </w:r>
    </w:p>
    <w:p w14:paraId="63FEE88C" w14:textId="2515F82B" w:rsidR="005E60C9" w:rsidRDefault="00CB542F" w:rsidP="004E2FF1">
      <w:pPr>
        <w:pStyle w:val="Heading3"/>
        <w:rPr>
          <w:rFonts w:cstheme="minorHAnsi"/>
        </w:rPr>
      </w:pPr>
      <w:r>
        <w:rPr>
          <w:noProof/>
        </w:rPr>
        <w:lastRenderedPageBreak/>
        <w:drawing>
          <wp:inline distT="0" distB="0" distL="0" distR="0" wp14:anchorId="6CD6A876" wp14:editId="46E1AE31">
            <wp:extent cx="4857750" cy="2809875"/>
            <wp:effectExtent l="0" t="0" r="0" b="9525"/>
            <wp:docPr id="231" name="Chart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52C1E6C" w14:textId="0544917E" w:rsidR="005E60C9" w:rsidRPr="00C018C2" w:rsidRDefault="005E60C9" w:rsidP="004E2FF1">
      <w:pPr>
        <w:pStyle w:val="Heading3"/>
        <w:rPr>
          <w:rFonts w:cstheme="minorHAnsi"/>
        </w:rPr>
      </w:pPr>
      <w:r w:rsidRPr="00C018C2">
        <w:rPr>
          <w:rFonts w:cstheme="minorHAnsi"/>
        </w:rPr>
        <w:t>Figure 2.3: Progressive profile of average iron concentrations based on design hydraulic retention time for the unit process (Cell 1 = 7</w:t>
      </w:r>
      <w:r w:rsidR="00551F79">
        <w:rPr>
          <w:rFonts w:cstheme="minorHAnsi"/>
        </w:rPr>
        <w:t>.7</w:t>
      </w:r>
      <w:r w:rsidRPr="00C018C2">
        <w:rPr>
          <w:rFonts w:cstheme="minorHAnsi"/>
        </w:rPr>
        <w:t xml:space="preserve"> days) scaled to sample collection position (distance from AMD source (meters). </w:t>
      </w:r>
    </w:p>
    <w:p w14:paraId="4897EDB9" w14:textId="77777777" w:rsidR="004E2FF1" w:rsidRDefault="004E2FF1" w:rsidP="005E60C9">
      <w:pPr>
        <w:spacing w:line="480" w:lineRule="auto"/>
        <w:jc w:val="both"/>
        <w:rPr>
          <w:rFonts w:cstheme="minorHAnsi"/>
        </w:rPr>
      </w:pPr>
    </w:p>
    <w:p w14:paraId="55A0051E" w14:textId="60957393" w:rsidR="00FD7A89" w:rsidRPr="00FD7A89" w:rsidRDefault="00FD7A89" w:rsidP="00FD7A89">
      <w:pPr>
        <w:spacing w:line="480" w:lineRule="auto"/>
        <w:jc w:val="both"/>
        <w:rPr>
          <w:rFonts w:cstheme="minorHAnsi"/>
        </w:rPr>
      </w:pPr>
      <w:r w:rsidRPr="00FD7A89">
        <w:rPr>
          <w:rFonts w:cstheme="minorHAnsi"/>
        </w:rPr>
        <w:t>The decrease in both total and dissolved iron concentrations indicates that conditions favored reaction kinetics for the oxidation of Fe</w:t>
      </w:r>
      <w:r w:rsidRPr="00FD7A89">
        <w:rPr>
          <w:rFonts w:cstheme="minorHAnsi"/>
          <w:vertAlign w:val="superscript"/>
        </w:rPr>
        <w:t>2+</w:t>
      </w:r>
      <w:r w:rsidRPr="00FD7A89">
        <w:rPr>
          <w:rFonts w:cstheme="minorHAnsi"/>
          <w:i/>
          <w:vertAlign w:val="subscript"/>
        </w:rPr>
        <w:t>(</w:t>
      </w:r>
      <w:proofErr w:type="spellStart"/>
      <w:r w:rsidRPr="00FD7A89">
        <w:rPr>
          <w:rFonts w:cstheme="minorHAnsi"/>
          <w:i/>
          <w:vertAlign w:val="subscript"/>
        </w:rPr>
        <w:t>aq</w:t>
      </w:r>
      <w:proofErr w:type="spellEnd"/>
      <w:r w:rsidRPr="00FD7A89">
        <w:rPr>
          <w:rFonts w:cstheme="minorHAnsi"/>
          <w:i/>
          <w:vertAlign w:val="subscript"/>
        </w:rPr>
        <w:t xml:space="preserve">) </w:t>
      </w:r>
      <w:r w:rsidRPr="00FD7A89">
        <w:rPr>
          <w:rFonts w:cstheme="minorHAnsi"/>
        </w:rPr>
        <w:t>to Fe</w:t>
      </w:r>
      <w:r w:rsidRPr="00FD7A89">
        <w:rPr>
          <w:rFonts w:cstheme="minorHAnsi"/>
          <w:vertAlign w:val="superscript"/>
        </w:rPr>
        <w:t>3+</w:t>
      </w:r>
      <w:r w:rsidRPr="00FD7A89">
        <w:rPr>
          <w:rFonts w:cstheme="minorHAnsi"/>
        </w:rPr>
        <w:t xml:space="preserve"> </w:t>
      </w:r>
      <w:r w:rsidRPr="00FD7A89">
        <w:rPr>
          <w:rFonts w:cstheme="minorHAnsi"/>
          <w:i/>
          <w:vertAlign w:val="subscript"/>
        </w:rPr>
        <w:t>(</w:t>
      </w:r>
      <w:proofErr w:type="spellStart"/>
      <w:r w:rsidRPr="00FD7A89">
        <w:rPr>
          <w:rFonts w:cstheme="minorHAnsi"/>
          <w:i/>
          <w:vertAlign w:val="subscript"/>
        </w:rPr>
        <w:t>aq</w:t>
      </w:r>
      <w:proofErr w:type="spellEnd"/>
      <w:r w:rsidRPr="00FD7A89">
        <w:rPr>
          <w:rFonts w:cstheme="minorHAnsi"/>
          <w:i/>
          <w:vertAlign w:val="subscript"/>
        </w:rPr>
        <w:t>)</w:t>
      </w:r>
      <w:r w:rsidRPr="00FD7A89">
        <w:rPr>
          <w:rFonts w:cstheme="minorHAnsi"/>
        </w:rPr>
        <w:t>, hydrolysis of Fe</w:t>
      </w:r>
      <w:r w:rsidRPr="00FD7A89">
        <w:rPr>
          <w:rFonts w:cstheme="minorHAnsi"/>
          <w:vertAlign w:val="superscript"/>
        </w:rPr>
        <w:t>3+</w:t>
      </w:r>
      <w:r w:rsidRPr="00FD7A89">
        <w:rPr>
          <w:rFonts w:cstheme="minorHAnsi"/>
          <w:i/>
          <w:vertAlign w:val="subscript"/>
        </w:rPr>
        <w:t>(</w:t>
      </w:r>
      <w:proofErr w:type="spellStart"/>
      <w:r w:rsidRPr="00FD7A89">
        <w:rPr>
          <w:rFonts w:cstheme="minorHAnsi"/>
          <w:i/>
          <w:vertAlign w:val="subscript"/>
        </w:rPr>
        <w:t>aq</w:t>
      </w:r>
      <w:proofErr w:type="spellEnd"/>
      <w:r w:rsidRPr="00FD7A89">
        <w:rPr>
          <w:rFonts w:cstheme="minorHAnsi"/>
          <w:i/>
          <w:vertAlign w:val="subscript"/>
        </w:rPr>
        <w:t xml:space="preserve">) </w:t>
      </w:r>
      <w:r w:rsidRPr="00FD7A89">
        <w:rPr>
          <w:rFonts w:cstheme="minorHAnsi"/>
        </w:rPr>
        <w:t xml:space="preserve">to </w:t>
      </w:r>
      <w:proofErr w:type="spellStart"/>
      <w:r w:rsidRPr="00FD7A89">
        <w:rPr>
          <w:rFonts w:cstheme="minorHAnsi"/>
        </w:rPr>
        <w:t>FeOOH</w:t>
      </w:r>
      <w:proofErr w:type="spellEnd"/>
      <w:r w:rsidRPr="00FD7A89">
        <w:rPr>
          <w:rFonts w:cstheme="minorHAnsi"/>
          <w:i/>
          <w:vertAlign w:val="subscript"/>
        </w:rPr>
        <w:t>(s)</w:t>
      </w:r>
      <w:r w:rsidRPr="00FD7A89">
        <w:rPr>
          <w:rFonts w:cstheme="minorHAnsi"/>
        </w:rPr>
        <w:t xml:space="preserve">, and the sedimentation of </w:t>
      </w:r>
      <w:proofErr w:type="spellStart"/>
      <w:r w:rsidRPr="00FD7A89">
        <w:rPr>
          <w:rFonts w:cstheme="minorHAnsi"/>
        </w:rPr>
        <w:t>FeOOH</w:t>
      </w:r>
      <w:proofErr w:type="spellEnd"/>
      <w:r w:rsidRPr="00FD7A89">
        <w:rPr>
          <w:rFonts w:cstheme="minorHAnsi"/>
          <w:i/>
          <w:vertAlign w:val="subscript"/>
        </w:rPr>
        <w:t>(s)</w:t>
      </w:r>
      <w:r w:rsidRPr="00FD7A89">
        <w:rPr>
          <w:rFonts w:cstheme="minorHAnsi"/>
        </w:rPr>
        <w:t xml:space="preserve"> to all occur within the first day of retention.  The average transport fraction of </w:t>
      </w:r>
      <w:r w:rsidR="001B2AE3" w:rsidRPr="00FD7A89">
        <w:rPr>
          <w:rFonts w:cstheme="minorHAnsi"/>
        </w:rPr>
        <w:t>dissolved: particulate</w:t>
      </w:r>
      <w:r w:rsidRPr="00FD7A89">
        <w:rPr>
          <w:rFonts w:cstheme="minorHAnsi"/>
        </w:rPr>
        <w:t xml:space="preserve"> iron ([Fe</w:t>
      </w:r>
      <w:r w:rsidRPr="00FD7A89">
        <w:rPr>
          <w:rFonts w:cstheme="minorHAnsi"/>
          <w:vertAlign w:val="superscript"/>
        </w:rPr>
        <w:t>2+</w:t>
      </w:r>
      <w:r w:rsidRPr="00FD7A89">
        <w:rPr>
          <w:rFonts w:cstheme="minorHAnsi"/>
        </w:rPr>
        <w:t>]/[Fe</w:t>
      </w:r>
      <w:r w:rsidRPr="00FD7A89">
        <w:rPr>
          <w:rFonts w:cstheme="minorHAnsi"/>
          <w:vertAlign w:val="superscript"/>
        </w:rPr>
        <w:t>3+</w:t>
      </w:r>
      <w:r w:rsidRPr="00FD7A89">
        <w:rPr>
          <w:rFonts w:cstheme="minorHAnsi"/>
        </w:rPr>
        <w:t>]) equals 1.37 as the larger proportion of iron being transported through sections 2 and 3 of the cell remains dissolved as Fe</w:t>
      </w:r>
      <w:r w:rsidRPr="00FD7A89">
        <w:rPr>
          <w:rFonts w:cstheme="minorHAnsi"/>
          <w:vertAlign w:val="superscript"/>
        </w:rPr>
        <w:t>2+</w:t>
      </w:r>
      <w:r w:rsidRPr="00FD7A89">
        <w:rPr>
          <w:rFonts w:cstheme="minorHAnsi"/>
          <w:i/>
          <w:vertAlign w:val="subscript"/>
        </w:rPr>
        <w:t>(</w:t>
      </w:r>
      <w:proofErr w:type="spellStart"/>
      <w:r w:rsidRPr="00FD7A89">
        <w:rPr>
          <w:rFonts w:cstheme="minorHAnsi"/>
          <w:i/>
          <w:vertAlign w:val="subscript"/>
        </w:rPr>
        <w:t>aq</w:t>
      </w:r>
      <w:proofErr w:type="spellEnd"/>
      <w:r w:rsidRPr="00FD7A89">
        <w:rPr>
          <w:rFonts w:cstheme="minorHAnsi"/>
          <w:i/>
          <w:vertAlign w:val="subscript"/>
        </w:rPr>
        <w:t xml:space="preserve">) </w:t>
      </w:r>
      <w:r w:rsidRPr="00FD7A89">
        <w:rPr>
          <w:rFonts w:cstheme="minorHAnsi"/>
        </w:rPr>
        <w:t>rather than being transported as a suspended solid. This suggests that iron removal efficiency for Cell 1 is dependent on the rate of oxidation. Rates of oxidation for Fe</w:t>
      </w:r>
      <w:r w:rsidRPr="00FD7A89">
        <w:rPr>
          <w:rFonts w:cstheme="minorHAnsi"/>
          <w:vertAlign w:val="superscript"/>
        </w:rPr>
        <w:t>2+</w:t>
      </w:r>
      <w:r w:rsidRPr="00FD7A89">
        <w:rPr>
          <w:rFonts w:cstheme="minorHAnsi"/>
          <w:i/>
          <w:vertAlign w:val="subscript"/>
        </w:rPr>
        <w:t>(</w:t>
      </w:r>
      <w:proofErr w:type="spellStart"/>
      <w:r w:rsidRPr="00FD7A89">
        <w:rPr>
          <w:rFonts w:cstheme="minorHAnsi"/>
          <w:i/>
          <w:vertAlign w:val="subscript"/>
        </w:rPr>
        <w:t>aq</w:t>
      </w:r>
      <w:proofErr w:type="spellEnd"/>
      <w:r w:rsidRPr="00FD7A89">
        <w:rPr>
          <w:rFonts w:cstheme="minorHAnsi"/>
          <w:i/>
          <w:vertAlign w:val="subscript"/>
        </w:rPr>
        <w:t xml:space="preserve">) </w:t>
      </w:r>
      <w:r w:rsidRPr="00FD7A89">
        <w:rPr>
          <w:rFonts w:cstheme="minorHAnsi"/>
        </w:rPr>
        <w:t xml:space="preserve">have been extensively quantified using ideal solutions as well as grab samples of AMD in the laboratory </w:t>
      </w:r>
      <w:r w:rsidRPr="00FD7A89">
        <w:rPr>
          <w:rFonts w:cstheme="minorHAnsi"/>
        </w:rPr>
        <w:fldChar w:fldCharType="begin" w:fldLock="1"/>
      </w:r>
      <w:r w:rsidRPr="00FD7A89">
        <w:rPr>
          <w:rFonts w:cstheme="minorHAnsi"/>
        </w:rPr>
        <w:instrText>ADDIN CSL_CITATION { "citationItems" : [ { "id" : "ITEM-1", "itemData" : { "author" : [ { "dropping-particle" : "", "family" : "Retnhardf", "given" : "C", "non-dropping-particle" : "", "parse-names" : false, "suffix" : "" } ], "id" : "ITEM-1", "issued" : { "date-parts" : [ [ "2001" ] ] }, "number-of-pages" : "5-18", "title" : "1 The Iron Oxides", "type" : "book" }, "uris" : [ "http://www.mendeley.com/documents/?uuid=84bf156f-27e3-46cb-b1d7-60c3de99e437" ] }, { "id" : "ITEM-2", "itemData" : { "DOI" : "10.1007/BF00878240", "ISSN" : "1015-1621", "author" : [ { "dropping-particle" : "", "family" : "Liang", "given" : "Liyuan", "non-dropping-particle" : "", "parse-names" : false, "suffix" : "" }, { "dropping-particle" : "", "family" : "Morgan", "given" : "James J.", "non-dropping-particle" : "", "parse-names" : false, "suffix" : "" } ], "container-title" : "Aquatic Sciences", "id" : "ITEM-2", "issue" : "1", "issued" : { "date-parts" : [ [ "1990" ] ] }, "page" : "32-55", "title" : "Chemical aspects of iron oxide coagulation in water: Laboratory studies and implications for natural systems", "type" : "article-journal", "volume" : "52" }, "uris" : [ "http://www.mendeley.com/documents/?uuid=06acf937-826c-4311-b1b1-a3de61e6f10d" ] }, { "id" : "ITEM-3", "itemData" : { "ISBN" : "3527302743", "author" : [ { "dropping-particle" : "", "family" : "Schwertmann", "given" : "U", "non-dropping-particle" : "", "parse-names" : false, "suffix" : "" } ], "id" : "ITEM-3", "issued" : { "date-parts" : [ [ "0" ] ] }, "page" : "1", "title" : "1 Introduction to the iron oxides", "type" : "article-journal" }, "uris" : [ "http://www.mendeley.com/documents/?uuid=663a55bd-4609-4a59-89d9-276bef8731b6" ] } ], "mendeley" : { "formattedCitation" : "(Schwertmann; Liang and Morgan 1990; Retnhardf 2001)", "plainTextFormattedCitation" : "(Schwertmann; Liang and Morgan 1990; Retnhardf 2001)", "previouslyFormattedCitation" : "(Schwertmann; Liang and Morgan 1990; Retnhardf 2001)" }, "properties" : { "noteIndex" : 0 }, "schema" : "https://github.com/citation-style-language/schema/raw/master/csl-citation.json" }</w:instrText>
      </w:r>
      <w:r w:rsidRPr="00FD7A89">
        <w:rPr>
          <w:rFonts w:cstheme="minorHAnsi"/>
        </w:rPr>
        <w:fldChar w:fldCharType="separate"/>
      </w:r>
      <w:r w:rsidRPr="00FD7A89">
        <w:rPr>
          <w:rFonts w:cstheme="minorHAnsi"/>
          <w:noProof/>
        </w:rPr>
        <w:t>(Liang and Morgan 1990; Retnhardf 2001</w:t>
      </w:r>
      <w:r w:rsidR="001B2AE3">
        <w:rPr>
          <w:rFonts w:cstheme="minorHAnsi"/>
          <w:noProof/>
        </w:rPr>
        <w:t xml:space="preserve">; </w:t>
      </w:r>
      <w:r w:rsidR="001B2AE3" w:rsidRPr="00FD7A89">
        <w:rPr>
          <w:rFonts w:cstheme="minorHAnsi"/>
          <w:noProof/>
        </w:rPr>
        <w:t>Schwertmann</w:t>
      </w:r>
      <w:r w:rsidR="001B2AE3">
        <w:rPr>
          <w:rFonts w:cstheme="minorHAnsi"/>
          <w:noProof/>
        </w:rPr>
        <w:t xml:space="preserve"> 2007</w:t>
      </w:r>
      <w:r w:rsidRPr="00FD7A89">
        <w:rPr>
          <w:rFonts w:cstheme="minorHAnsi"/>
          <w:noProof/>
        </w:rPr>
        <w:t>)</w:t>
      </w:r>
      <w:r w:rsidRPr="00FD7A89">
        <w:rPr>
          <w:rFonts w:cstheme="minorHAnsi"/>
        </w:rPr>
        <w:fldChar w:fldCharType="end"/>
      </w:r>
      <w:r w:rsidRPr="00FD7A89">
        <w:rPr>
          <w:rFonts w:cstheme="minorHAnsi"/>
        </w:rPr>
        <w:t>. Additionally, field batch reactor experiments have revisited the topic to address concerns regarding the role of CO</w:t>
      </w:r>
      <w:r w:rsidRPr="00FD7A89">
        <w:rPr>
          <w:rFonts w:cstheme="minorHAnsi"/>
          <w:vertAlign w:val="subscript"/>
        </w:rPr>
        <w:t>2</w:t>
      </w:r>
      <w:r w:rsidRPr="00FD7A89">
        <w:rPr>
          <w:rFonts w:cstheme="minorHAnsi"/>
        </w:rPr>
        <w:t xml:space="preserve"> via pH dependence that is non-ideal in its composition and relative concentrations of ions </w:t>
      </w:r>
      <w:r w:rsidRPr="00FD7A89">
        <w:rPr>
          <w:rFonts w:cstheme="minorHAnsi"/>
        </w:rPr>
        <w:fldChar w:fldCharType="begin" w:fldLock="1"/>
      </w:r>
      <w:r w:rsidRPr="00FD7A89">
        <w:rPr>
          <w:rFonts w:cstheme="minorHAnsi"/>
        </w:rPr>
        <w:instrText>ADDIN CSL_CITATION { "citationItems" : [ { "id" : "ITEM-1", "itemData" : { "DOI" : "10.1016/j.apgeochem.2009.02.028", "ISSN" : "08832927", "abstract" : "Passive treatment systems for mine drainage use no energy other than gravity, but they require greater area than active treatment systems. Researchers are considering \"hybrid\" systems that have passive and active components for increased efficiency, especially where space limitations render passive-only technology ineffective. Flow-through reactor field experiments were conducted at two large net-alkaline anthracite mine discharges in central Pennsylvania. Assuming an Fe removal rate of 20 g m-2 day-1 and Fe loading from field data, 3.6 ?? 103 and 3.0 ?? 104 m2 oxidation ponds would be required for the passive treatment of Site 21 and Packer 5 discharges, respectively. However, only a small area is available at each site. This paper demonstrates aeration to drive off CO2, increase pH, and increase Fe(II) oxidation rates, enabling treatment within a small area compared to passive treatment methods, and introduces a geochemical model to accurately predict these rates as well as semi-passive treatment system sizing parameters. Both net-alkaline discharges were suboxic with a pH of ???5.7, Fe(II) concentration of ???16 mg L-1, and low Mn and Al concentrations. Flow rates were ???4000 L min-1 at Site 21 and 15,000 L min-1 at Packer 5. Three-h aeration experiments with flow rates scaled to a 14-L reactor resulted in pH increases from 5.7 to greater than 7, temperature increases from 12 to 22 ??C, dissolved O2 increases to saturation with respect to the atmosphere, and Fe(II) concentration decreases from 16 to &lt;0.05 mg L-1. A 17,000-L pilot-scale reactor at Site 21 produced similar results although aeration was not as complete as in the smaller reactor. Two non-aerated experiments at Site 21 with 13 and 25-h run times resulted in pH changes of ???0.2 and Fe(II) concentration decreases of less than 3 mg L-1. An Fe(II) oxidation model written in a differential equation solver matched the field experiments very well using field-measured pH, temperature, dissolved O2, and initial Fe(II) concentration. The maximum oxidation rate was 1.3 ?? 10-4 mol L-1 s-1. The model was modified to predict alkalinity, PCO2, dissolved O2, and pH changes based on initial conditions and aeration rate. This more complex model also fits the data well, is more predictive than the first model, and should serve as a tool for predicting pond size needed for aerated Fe(II) oxidation at the field scale without the need for field pilot studies. Iron(II) oxidation modeling of actively aerated \u2026", "author" : [ { "dropping-particle" : "", "family" : "Kirby", "given" : "C. S.", "non-dropping-particle" : "", "parse-names" : false, "suffix" : "" }, { "dropping-particle" : "", "family" : "Dennis", "given" : "a.", "non-dropping-particle" : "", "parse-names" : false, "suffix" : "" }, { "dropping-particle" : "", "family" : "Kahler", "given" : "a.", "non-dropping-particle" : "", "parse-names" : false, "suffix" : "" } ], "container-title" : "Applied Geochemistry", "id" : "ITEM-1", "issue" : "7", "issued" : { "date-parts" : [ [ "2009" ] ] }, "page" : "1175-1184", "publisher" : "Elsevier Ltd", "title" : "Aeration to degas CO2, increase pH, and increase iron oxidation rates for efficient treatment of net alkaline mine drainage", "type" : "article-journal", "volume" : "24" }, "uris" : [ "http://www.mendeley.com/documents/?uuid=8993b782-b2e7-4cb6-b652-57218e2748c5" ] }, { "id" : "ITEM-2", "itemData" : { "DOI" : "10.1016/j.apgeochem.2011.05.018", "ISSN" : "08832927", "abstract" : "This paper presents the results of extensive field trials measuring rates of Fe(II) oxidation at a number of Fe-bearing mine drainage discharges in the UK. Batch experiments were carried out with samples taken at regular intervals and Fe(II) concentration determined spectrophotometrically using 2'2-bipyridyl as the complexing agent. Initial concentrations for Fe(II) were 5.65-76.5mg/L. Temperature, pH and dissolved O2 (DO) were logged every 10s, with pH at the start of the experiments in the range 5.64-6.95 and alkalinity ranging from 73 to 741mg/L CaCO3 equivalent. A numerical model based on a fourth order Runge-Kutta method was developed to calculate values for k1, the rate constant for homogeneous oxidation, from the experimental data. The measured values of pH, temperature, [Fe(II)] and DO were input into the model with resulting values for k1 found to be in the range 2.7??1014-2.7??1016M-2atm-1min-1. These values for k1 are 1-3 orders of magnitude higher than previously reported for laboratory studies at a similar pH. Comparison of the observed Fe(II) oxidation rates to data published by other authors show a good correlation with heterogenous oxidation rates and may indicate the importance of autocatalysis in these systems. These higher than expected rates of Fe oxidation could have a significant impact on the design of treatment schemes for the remediation of mine drainage and other Fe-bearing ground waters in the future. ?? 2011 Elsevier Ltd.", "author" : [ { "dropping-particle" : "", "family" : "Geroni", "given" : "Jennifer N.", "non-dropping-particle" : "", "parse-names" : false, "suffix" : "" }, { "dropping-particle" : "", "family" : "Sapsford", "given" : "Devin J.", "non-dropping-particle" : "", "parse-names" : false, "suffix" : "" } ], "container-title" : "Applied Geochemistry", "id" : "ITEM-2", "issue" : "8", "issued" : { "date-parts" : [ [ "2011" ] ] }, "page" : "1452-1457", "publisher" : "Elsevier Ltd", "title" : "Kinetics of iron (II) oxidation determined in the field", "type" : "article-journal", "volume" : "26" }, "uris" : [ "http://www.mendeley.com/documents/?uuid=5aee7ed6-727b-40f6-af37-b070294e15b3" ] } ], "mendeley" : { "formattedCitation" : "(Kirby et al. 2009; Geroni and Sapsford 2011)", "plainTextFormattedCitation" : "(Kirby et al. 2009; Geroni and Sapsford 2011)", "previouslyFormattedCitation" : "(Kirby et al. 2009; Geroni and Sapsford 2011)" }, "properties" : { "noteIndex" : 0 }, "schema" : "https://github.com/citation-style-language/schema/raw/master/csl-citation.json" }</w:instrText>
      </w:r>
      <w:r w:rsidRPr="00FD7A89">
        <w:rPr>
          <w:rFonts w:cstheme="minorHAnsi"/>
        </w:rPr>
        <w:fldChar w:fldCharType="separate"/>
      </w:r>
      <w:r w:rsidRPr="00FD7A89">
        <w:rPr>
          <w:rFonts w:cstheme="minorHAnsi"/>
          <w:noProof/>
        </w:rPr>
        <w:t>(</w:t>
      </w:r>
      <w:r w:rsidR="001B2AE3">
        <w:rPr>
          <w:rFonts w:cstheme="minorHAnsi"/>
          <w:noProof/>
        </w:rPr>
        <w:t xml:space="preserve">Nairn et al 2002; </w:t>
      </w:r>
      <w:r w:rsidRPr="00FD7A89">
        <w:rPr>
          <w:rFonts w:cstheme="minorHAnsi"/>
          <w:noProof/>
        </w:rPr>
        <w:t>Kirby et al. 2009; Geroni and Sapsford 2011)</w:t>
      </w:r>
      <w:r w:rsidRPr="00FD7A89">
        <w:rPr>
          <w:rFonts w:cstheme="minorHAnsi"/>
        </w:rPr>
        <w:fldChar w:fldCharType="end"/>
      </w:r>
      <w:r w:rsidRPr="00FD7A89">
        <w:rPr>
          <w:rFonts w:cstheme="minorHAnsi"/>
        </w:rPr>
        <w:t xml:space="preserve">.  </w:t>
      </w:r>
    </w:p>
    <w:p w14:paraId="1DA33557" w14:textId="77777777" w:rsidR="001B2AE3" w:rsidRPr="001B2AE3" w:rsidRDefault="001B2AE3" w:rsidP="001B2AE3">
      <w:pPr>
        <w:spacing w:line="480" w:lineRule="auto"/>
        <w:jc w:val="both"/>
        <w:rPr>
          <w:rFonts w:cstheme="minorHAnsi"/>
        </w:rPr>
      </w:pPr>
      <w:r w:rsidRPr="001B2AE3">
        <w:rPr>
          <w:rFonts w:cstheme="minorHAnsi"/>
        </w:rPr>
        <w:lastRenderedPageBreak/>
        <w:t xml:space="preserve">Plotting </w:t>
      </w:r>
      <w:r w:rsidRPr="001B2AE3">
        <w:rPr>
          <w:rFonts w:cstheme="minorHAnsi"/>
          <w:i/>
        </w:rPr>
        <w:t>in situ</w:t>
      </w:r>
      <w:r w:rsidRPr="001B2AE3">
        <w:rPr>
          <w:rFonts w:cstheme="minorHAnsi"/>
        </w:rPr>
        <w:t xml:space="preserve"> parameters measured at each location within Cell 1 versus locational hydraulic retention time yielded no linear relationship (R</w:t>
      </w:r>
      <w:r w:rsidRPr="001B2AE3">
        <w:rPr>
          <w:rFonts w:cstheme="minorHAnsi"/>
          <w:vertAlign w:val="superscript"/>
        </w:rPr>
        <w:t>2</w:t>
      </w:r>
      <w:r w:rsidRPr="001B2AE3">
        <w:rPr>
          <w:rFonts w:cstheme="minorHAnsi"/>
        </w:rPr>
        <w:t xml:space="preserve">&lt;0.60) for temperature and </w:t>
      </w:r>
      <w:proofErr w:type="spellStart"/>
      <w:r w:rsidRPr="001B2AE3">
        <w:rPr>
          <w:rFonts w:cstheme="minorHAnsi"/>
        </w:rPr>
        <w:t>pH.</w:t>
      </w:r>
      <w:proofErr w:type="spellEnd"/>
      <w:r w:rsidRPr="001B2AE3">
        <w:rPr>
          <w:rFonts w:cstheme="minorHAnsi"/>
        </w:rPr>
        <w:t xml:space="preserve"> Yet, the change in total dissolved solids (TDS), conductivity (</w:t>
      </w:r>
      <w:r w:rsidRPr="001B2AE3">
        <w:rPr>
          <w:rFonts w:ascii="Symbol" w:hAnsi="Symbol" w:cstheme="minorHAnsi"/>
        </w:rPr>
        <w:t></w:t>
      </w:r>
      <w:r w:rsidRPr="001B2AE3">
        <w:rPr>
          <w:rFonts w:cstheme="minorHAnsi"/>
        </w:rPr>
        <w:t xml:space="preserve">S/cm), and salinity throughout the cell were linear up until 4.5 </w:t>
      </w:r>
      <w:proofErr w:type="gramStart"/>
      <w:r w:rsidRPr="001B2AE3">
        <w:rPr>
          <w:rFonts w:cstheme="minorHAnsi"/>
        </w:rPr>
        <w:t>days</w:t>
      </w:r>
      <w:proofErr w:type="gramEnd"/>
      <w:r w:rsidRPr="001B2AE3">
        <w:rPr>
          <w:rFonts w:cstheme="minorHAnsi"/>
        </w:rPr>
        <w:t xml:space="preserve"> retention time. After 4.5 days, the slope of the trend line approached zero via no appreciable change in conductivity and its derived measurements over the next three days of theoretical residence within cell 1. Dissolved oxygen (</w:t>
      </w:r>
      <w:proofErr w:type="spellStart"/>
      <w:r w:rsidRPr="001B2AE3">
        <w:rPr>
          <w:rFonts w:cstheme="minorHAnsi"/>
        </w:rPr>
        <w:t>DOsat</w:t>
      </w:r>
      <w:proofErr w:type="spellEnd"/>
      <w:r w:rsidRPr="001B2AE3">
        <w:rPr>
          <w:rFonts w:cstheme="minorHAnsi"/>
        </w:rPr>
        <w:t>%) increased with increasing HRT (3.2 %/day; R</w:t>
      </w:r>
      <w:r w:rsidRPr="001B2AE3">
        <w:rPr>
          <w:rFonts w:cstheme="minorHAnsi"/>
          <w:vertAlign w:val="superscript"/>
        </w:rPr>
        <w:t>2</w:t>
      </w:r>
      <w:r w:rsidRPr="001B2AE3">
        <w:rPr>
          <w:rFonts w:cstheme="minorHAnsi"/>
        </w:rPr>
        <w:t>= 0.8373) via surface-area based diffusion from the atmosphere. This corresponded to the oxidation reduction potential (ORP) also increasing with increasing residence time (8.2 mV/day; R</w:t>
      </w:r>
      <w:r w:rsidRPr="001B2AE3">
        <w:rPr>
          <w:rFonts w:cstheme="minorHAnsi"/>
          <w:vertAlign w:val="superscript"/>
        </w:rPr>
        <w:t>2</w:t>
      </w:r>
      <w:r w:rsidRPr="001B2AE3">
        <w:rPr>
          <w:rFonts w:cstheme="minorHAnsi"/>
        </w:rPr>
        <w:t xml:space="preserve"> = 0.7817). Alkalinity declined with increasing hydraulic retention time as it is consumed by the latent acidity generated via iron oxidation and hydrolysis (-4.0 mg/L CaCO</w:t>
      </w:r>
      <w:r w:rsidRPr="001B2AE3">
        <w:rPr>
          <w:rFonts w:cstheme="minorHAnsi"/>
          <w:vertAlign w:val="subscript"/>
        </w:rPr>
        <w:t>3</w:t>
      </w:r>
      <w:r w:rsidRPr="001B2AE3">
        <w:rPr>
          <w:rFonts w:cstheme="minorHAnsi"/>
        </w:rPr>
        <w:t xml:space="preserve"> eq./day; R</w:t>
      </w:r>
      <w:r w:rsidRPr="001B2AE3">
        <w:rPr>
          <w:rFonts w:cstheme="minorHAnsi"/>
          <w:vertAlign w:val="superscript"/>
        </w:rPr>
        <w:t>2</w:t>
      </w:r>
      <w:r w:rsidRPr="001B2AE3">
        <w:rPr>
          <w:rFonts w:cstheme="minorHAnsi"/>
        </w:rPr>
        <w:t xml:space="preserve"> = 0.7922). Turbidity also decreased with increasing hydraulic retention time through sedimentation of precipitated iron oxides as the primary source of turbidity for the treatment cell (-16.8 NTU/day; R</w:t>
      </w:r>
      <w:r w:rsidRPr="001B2AE3">
        <w:rPr>
          <w:rFonts w:cstheme="minorHAnsi"/>
          <w:vertAlign w:val="superscript"/>
        </w:rPr>
        <w:t>2</w:t>
      </w:r>
      <w:r w:rsidRPr="001B2AE3">
        <w:rPr>
          <w:rFonts w:cstheme="minorHAnsi"/>
        </w:rPr>
        <w:t xml:space="preserve"> = 0.8238). </w:t>
      </w:r>
    </w:p>
    <w:p w14:paraId="19421E27" w14:textId="70FE4444" w:rsidR="001B2AE3" w:rsidRPr="001B2AE3" w:rsidRDefault="001B2AE3" w:rsidP="001B2AE3">
      <w:pPr>
        <w:spacing w:line="480" w:lineRule="auto"/>
        <w:jc w:val="both"/>
        <w:rPr>
          <w:rFonts w:cstheme="minorHAnsi"/>
        </w:rPr>
      </w:pPr>
      <w:r w:rsidRPr="001B2AE3">
        <w:rPr>
          <w:rFonts w:cstheme="minorHAnsi"/>
        </w:rPr>
        <w:t xml:space="preserve">Plotting the concentration of iron versus the approximate hydraulic retention time derived from sample position for sections 2 and 3 specifically yields a linear relationship for the removal of total and dissolved iron from the water column (Figure 2.4).  Sections 2 and 3 of the preliminary oxidation cell contributed to overall iron removal efficiency with a removal rate of nearly 4 mg/L total iron per day of which nearly 2.4 mg/L/day is from ferrous iron removal. Other variables that can influence the rate of removal of iron from the water column beyond temperature, pH, and dissolved oxygen content </w:t>
      </w:r>
      <w:r>
        <w:rPr>
          <w:rFonts w:cstheme="minorHAnsi"/>
        </w:rPr>
        <w:t>is the saturation index of iron</w:t>
      </w:r>
      <w:r w:rsidRPr="001B2AE3">
        <w:rPr>
          <w:rFonts w:cstheme="minorHAnsi"/>
        </w:rPr>
        <w:t xml:space="preserve"> </w:t>
      </w:r>
      <w:r w:rsidRPr="001B2AE3">
        <w:rPr>
          <w:rFonts w:cstheme="minorHAnsi"/>
        </w:rPr>
        <w:fldChar w:fldCharType="begin" w:fldLock="1"/>
      </w:r>
      <w:r w:rsidRPr="001B2AE3">
        <w:rPr>
          <w:rFonts w:cstheme="minorHAnsi"/>
        </w:rPr>
        <w:instrText>ADDIN CSL_CITATION { "citationItems" : [ { "id" : "ITEM-1", "itemData" : { "DOI" : "10.1016/j.apgeochem.2007.10.003", "ISBN" : "0883-2927", "ISSN" : "08832927", "abstract" : "Water-quality data for discharges from 140 abandoned mines in the Anthracite and Bituminous Coalfields of Pennsylvania reveal complex relations among the pH and dissolved solute concentrations that can be explained with geochemical equilibrium models. Observed values of pH ranged from 2.7 to 7.3 in the coal-mine discharges (CMD). Generally, flow rates were smaller and solute concentrations were greater for low-pH CMD samples; pH typically increased with flow rate. Although the frequency distribution of pH was similar for the anthracite and bituminous discharges, the bituminous discharges had smaller median flow rates; greater concentrations of SO4, Fe, Al, As, Cd, Cu, Ni and Sr; comparable concentrations of Mn, Cd, Zn and Se; and smaller concentrations of Ba and Pb than anthracite discharges with the same pH values. The observed relations between the pH and constituent concentrations can be attributed to (1) dilution of acidic water by near-neutral or alkaline ground water; (2) solubility control of Al, Fe, Mn, Ba and Sr by hydroxide, sulfate, and/or carbonate minerals; and (3) aqueous SO4-complexation and surface-complexation (adsorption) reactions. The formation of AlSO4\n+ and AlHSO4\n2 + complexes adds to the total dissolved Al concentration at equilibrium with Al(OH)3 and/or Al hydroxysulfate phases and can account for 10-20 times greater concentrations of dissolved Al in SO4-laden bituminous discharges compared to anthracite discharges at pH of 5. Sulfate complexation can also account for 10-30 times greater concentrations of dissolved FeIII concentrations at equilibrium with Fe(OH)3 and/or schwertmannite (Fe8O8(OH)4.5(SO4)1.75) at pH of 3-5. In contrast, lower Ba concentrations in bituminous discharges indicate that elevated SO4 concentrations in these CMD sources could limit Ba concentrations by the precipitation of barite (BaSO4). Coprecipitation of Sr with barite could limit concentrations of this element. However, concentrations of dissolved Pb, Cu, Cd, Zn, and most other trace cations in CMD samples were orders of magnitude less than equilibrium with sulfate, carbonate, and/or hydroxide minerals. Surface complexation (adsorption) by hydrous ferric oxides (HFO) could account for the decreased concentrations of these divalent cations with increased pH. In contrast, increased concentrations of As and, to a lesser extent, Se with increased pH could result from the adsorption of these oxyanions by HFO at low pH and desorption at near-neutral pH. He\u2026", "author" : [ { "dropping-particle" : "", "family" : "Cravotta", "given" : "Charles A.", "non-dropping-particle" : "", "parse-names" : false, "suffix" : "" } ], "container-title" : "Applied Geochemistry", "id" : "ITEM-1", "issue" : "2", "issued" : { "date-parts" : [ [ "2008" ] ] }, "page" : "203-226", "publisher" : "Elsevier Ltd", "title" : "Dissolved metals and associated constituents in abandoned coal-mine discharges, Pennsylvania, USA. Part 2: Geochemical controls on constituent concentrations", "type" : "article-journal", "volume" : "23" }, "uris" : [ "http://www.mendeley.com/documents/?uuid=95cb6b94-2dfc-4c0d-86b7-3000daceb03f" ] } ], "mendeley" : { "formattedCitation" : "(Cravotta 2008)", "plainTextFormattedCitation" : "(Cravotta 2008)", "previouslyFormattedCitation" : "(Cravotta 2008)" }, "properties" : { "noteIndex" : 0 }, "schema" : "https://github.com/citation-style-language/schema/raw/master/csl-citation.json" }</w:instrText>
      </w:r>
      <w:r w:rsidRPr="001B2AE3">
        <w:rPr>
          <w:rFonts w:cstheme="minorHAnsi"/>
        </w:rPr>
        <w:fldChar w:fldCharType="separate"/>
      </w:r>
      <w:r w:rsidRPr="001B2AE3">
        <w:rPr>
          <w:rFonts w:cstheme="minorHAnsi"/>
          <w:noProof/>
        </w:rPr>
        <w:t>(Cravotta 2008)</w:t>
      </w:r>
      <w:r w:rsidRPr="001B2AE3">
        <w:rPr>
          <w:rFonts w:cstheme="minorHAnsi"/>
        </w:rPr>
        <w:fldChar w:fldCharType="end"/>
      </w:r>
      <w:r w:rsidRPr="001B2AE3">
        <w:rPr>
          <w:rFonts w:cstheme="minorHAnsi"/>
        </w:rPr>
        <w:t xml:space="preserve">. </w:t>
      </w:r>
    </w:p>
    <w:p w14:paraId="421FFDB8" w14:textId="77777777" w:rsidR="005E60C9" w:rsidRDefault="005E60C9" w:rsidP="004E2FF1">
      <w:pPr>
        <w:pStyle w:val="Heading3"/>
      </w:pPr>
      <w:r>
        <w:rPr>
          <w:noProof/>
        </w:rPr>
        <w:lastRenderedPageBreak/>
        <w:drawing>
          <wp:inline distT="0" distB="0" distL="0" distR="0" wp14:anchorId="0F208DA4" wp14:editId="6EE698C7">
            <wp:extent cx="5143500" cy="29718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t xml:space="preserve"> </w:t>
      </w:r>
    </w:p>
    <w:p w14:paraId="6E4D879D" w14:textId="77777777" w:rsidR="001B2AE3" w:rsidRDefault="005E60C9" w:rsidP="001B2AE3">
      <w:pPr>
        <w:spacing w:line="480" w:lineRule="auto"/>
        <w:jc w:val="both"/>
      </w:pPr>
      <w:r w:rsidRPr="00D00FBB">
        <w:t xml:space="preserve">Figure 2.4: Iron removal rates for residual total and dissolved iron species within sections 2 and 3 of Cell 1 of the MRTPS preliminary iron oxidation cell. </w:t>
      </w:r>
    </w:p>
    <w:p w14:paraId="60554905" w14:textId="04A47C84" w:rsidR="005E60C9" w:rsidRPr="001B2AE3" w:rsidRDefault="001B2AE3" w:rsidP="001B2AE3">
      <w:pPr>
        <w:spacing w:line="480" w:lineRule="auto"/>
        <w:jc w:val="both"/>
        <w:rPr>
          <w:rFonts w:cstheme="minorHAnsi"/>
        </w:rPr>
      </w:pPr>
      <w:r w:rsidRPr="00D60CDD">
        <w:rPr>
          <w:rFonts w:cstheme="minorHAnsi"/>
        </w:rPr>
        <w:t>Average iron removal water column profiles in Figures 2</w:t>
      </w:r>
      <w:r>
        <w:rPr>
          <w:rFonts w:cstheme="minorHAnsi"/>
        </w:rPr>
        <w:t>.5</w:t>
      </w:r>
      <w:r w:rsidRPr="00D60CDD">
        <w:rPr>
          <w:rFonts w:cstheme="minorHAnsi"/>
        </w:rPr>
        <w:t>-2.</w:t>
      </w:r>
      <w:r>
        <w:rPr>
          <w:rFonts w:cstheme="minorHAnsi"/>
        </w:rPr>
        <w:t>7</w:t>
      </w:r>
      <w:r w:rsidRPr="00D60CDD">
        <w:rPr>
          <w:rFonts w:cstheme="minorHAnsi"/>
        </w:rPr>
        <w:t xml:space="preserve"> </w:t>
      </w:r>
      <w:r>
        <w:rPr>
          <w:rFonts w:cstheme="minorHAnsi"/>
        </w:rPr>
        <w:t>indicate that iron concentrations increase</w:t>
      </w:r>
      <w:r w:rsidRPr="00D60CDD">
        <w:rPr>
          <w:rFonts w:cstheme="minorHAnsi"/>
        </w:rPr>
        <w:t xml:space="preserve"> with increasing depth of the oxidation pond </w:t>
      </w:r>
      <w:r>
        <w:rPr>
          <w:rFonts w:cstheme="minorHAnsi"/>
        </w:rPr>
        <w:t>within all three sections</w:t>
      </w:r>
      <w:r w:rsidRPr="00D60CDD">
        <w:rPr>
          <w:rFonts w:cstheme="minorHAnsi"/>
        </w:rPr>
        <w:t>.  This is consistent with the idea that as iron precipitate</w:t>
      </w:r>
      <w:r>
        <w:rPr>
          <w:rFonts w:cstheme="minorHAnsi"/>
        </w:rPr>
        <w:t>s</w:t>
      </w:r>
      <w:r w:rsidRPr="00D60CDD">
        <w:rPr>
          <w:rFonts w:cstheme="minorHAnsi"/>
        </w:rPr>
        <w:t xml:space="preserve"> </w:t>
      </w:r>
      <w:r>
        <w:rPr>
          <w:rFonts w:cstheme="minorHAnsi"/>
        </w:rPr>
        <w:t>from</w:t>
      </w:r>
      <w:r w:rsidRPr="00D60CDD">
        <w:rPr>
          <w:rFonts w:cstheme="minorHAnsi"/>
        </w:rPr>
        <w:t xml:space="preserve"> solution, </w:t>
      </w:r>
      <w:r>
        <w:rPr>
          <w:rFonts w:cstheme="minorHAnsi"/>
        </w:rPr>
        <w:t>it</w:t>
      </w:r>
      <w:r w:rsidRPr="00D60CDD">
        <w:rPr>
          <w:rFonts w:cstheme="minorHAnsi"/>
        </w:rPr>
        <w:t xml:space="preserve"> coagulate</w:t>
      </w:r>
      <w:r>
        <w:rPr>
          <w:rFonts w:cstheme="minorHAnsi"/>
        </w:rPr>
        <w:t>s</w:t>
      </w:r>
      <w:r w:rsidRPr="00D60CDD">
        <w:rPr>
          <w:rFonts w:cstheme="minorHAnsi"/>
        </w:rPr>
        <w:t xml:space="preserve"> into larger particles and </w:t>
      </w:r>
      <w:r>
        <w:rPr>
          <w:rFonts w:cstheme="minorHAnsi"/>
        </w:rPr>
        <w:t>settles</w:t>
      </w:r>
      <w:r w:rsidRPr="00D60CDD">
        <w:rPr>
          <w:rFonts w:cstheme="minorHAnsi"/>
        </w:rPr>
        <w:t xml:space="preserve"> to the bottom of the oxidation pond.  The lowest total iron concentrations were observed near the surface of the water</w:t>
      </w:r>
      <w:r>
        <w:rPr>
          <w:rFonts w:cstheme="minorHAnsi"/>
        </w:rPr>
        <w:t>,</w:t>
      </w:r>
      <w:r w:rsidRPr="00D60CDD">
        <w:rPr>
          <w:rFonts w:cstheme="minorHAnsi"/>
        </w:rPr>
        <w:t xml:space="preserve"> </w:t>
      </w:r>
      <w:r>
        <w:rPr>
          <w:rFonts w:cstheme="minorHAnsi"/>
        </w:rPr>
        <w:t>whereas</w:t>
      </w:r>
      <w:r w:rsidRPr="00D60CDD">
        <w:rPr>
          <w:rFonts w:cstheme="minorHAnsi"/>
        </w:rPr>
        <w:t xml:space="preserve"> sample</w:t>
      </w:r>
      <w:r>
        <w:rPr>
          <w:rFonts w:cstheme="minorHAnsi"/>
        </w:rPr>
        <w:t>s</w:t>
      </w:r>
      <w:r w:rsidRPr="00D60CDD">
        <w:rPr>
          <w:rFonts w:cstheme="minorHAnsi"/>
        </w:rPr>
        <w:t xml:space="preserve"> collected at 1.</w:t>
      </w:r>
      <w:r>
        <w:rPr>
          <w:rFonts w:cstheme="minorHAnsi"/>
        </w:rPr>
        <w:t>5</w:t>
      </w:r>
      <w:r w:rsidRPr="00D60CDD">
        <w:rPr>
          <w:rFonts w:cstheme="minorHAnsi"/>
        </w:rPr>
        <w:t xml:space="preserve"> meters </w:t>
      </w:r>
      <w:r>
        <w:rPr>
          <w:rFonts w:cstheme="minorHAnsi"/>
        </w:rPr>
        <w:t>may have disturbed the</w:t>
      </w:r>
      <w:r w:rsidRPr="00D60CDD">
        <w:rPr>
          <w:rFonts w:cstheme="minorHAnsi"/>
        </w:rPr>
        <w:t xml:space="preserve"> surface of the settled iron </w:t>
      </w:r>
      <w:proofErr w:type="spellStart"/>
      <w:r w:rsidRPr="00D60CDD">
        <w:rPr>
          <w:rFonts w:cstheme="minorHAnsi"/>
        </w:rPr>
        <w:t>oxyhydroxides</w:t>
      </w:r>
      <w:proofErr w:type="spellEnd"/>
      <w:r w:rsidRPr="00D60CDD">
        <w:rPr>
          <w:rFonts w:cstheme="minorHAnsi"/>
        </w:rPr>
        <w:t xml:space="preserve"> resulting in the excessively high concentrations of total iron </w:t>
      </w:r>
      <w:r>
        <w:rPr>
          <w:rFonts w:cstheme="minorHAnsi"/>
        </w:rPr>
        <w:t>via resuspension.</w:t>
      </w:r>
      <w:r w:rsidRPr="00D60CDD">
        <w:rPr>
          <w:rFonts w:cstheme="minorHAnsi"/>
        </w:rPr>
        <w:t xml:space="preserve"> This is </w:t>
      </w:r>
      <w:r>
        <w:rPr>
          <w:rFonts w:cstheme="minorHAnsi"/>
        </w:rPr>
        <w:t>important to note,</w:t>
      </w:r>
      <w:r w:rsidRPr="00D60CDD">
        <w:rPr>
          <w:rFonts w:cstheme="minorHAnsi"/>
        </w:rPr>
        <w:t xml:space="preserve"> as it demonstrates that the iron </w:t>
      </w:r>
      <w:proofErr w:type="spellStart"/>
      <w:r>
        <w:rPr>
          <w:rFonts w:cstheme="minorHAnsi"/>
        </w:rPr>
        <w:t>oxyhydroxide</w:t>
      </w:r>
      <w:proofErr w:type="spellEnd"/>
      <w:r>
        <w:rPr>
          <w:rFonts w:cstheme="minorHAnsi"/>
        </w:rPr>
        <w:t xml:space="preserve"> solids </w:t>
      </w:r>
      <w:r w:rsidRPr="00D60CDD">
        <w:rPr>
          <w:rFonts w:cstheme="minorHAnsi"/>
        </w:rPr>
        <w:t xml:space="preserve">are </w:t>
      </w:r>
      <w:r>
        <w:rPr>
          <w:rFonts w:cstheme="minorHAnsi"/>
        </w:rPr>
        <w:t>accumulating</w:t>
      </w:r>
      <w:r w:rsidRPr="00D60CDD">
        <w:rPr>
          <w:rFonts w:cstheme="minorHAnsi"/>
        </w:rPr>
        <w:t xml:space="preserve"> in all three sections of Cell 1, rather than just in Sections 1 </w:t>
      </w:r>
      <w:r>
        <w:rPr>
          <w:rFonts w:cstheme="minorHAnsi"/>
        </w:rPr>
        <w:t>as the water quality data indicate.</w:t>
      </w:r>
      <w:r w:rsidR="00821811">
        <w:br/>
      </w:r>
    </w:p>
    <w:p w14:paraId="42DF221A" w14:textId="77777777" w:rsidR="005E60C9" w:rsidRDefault="005E60C9" w:rsidP="005E60C9">
      <w:pPr>
        <w:spacing w:line="240" w:lineRule="auto"/>
        <w:jc w:val="both"/>
        <w:rPr>
          <w:rFonts w:cstheme="minorHAnsi"/>
        </w:rPr>
      </w:pPr>
      <w:r>
        <w:rPr>
          <w:noProof/>
        </w:rPr>
        <w:lastRenderedPageBreak/>
        <w:drawing>
          <wp:inline distT="0" distB="0" distL="0" distR="0" wp14:anchorId="4CB18C3A" wp14:editId="45B38DA1">
            <wp:extent cx="5139690" cy="3200400"/>
            <wp:effectExtent l="0" t="0" r="381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AC99B0A" w14:textId="77777777" w:rsidR="001B2AE3" w:rsidRDefault="005E60C9" w:rsidP="001B2AE3">
      <w:pPr>
        <w:spacing w:line="240" w:lineRule="auto"/>
        <w:jc w:val="both"/>
        <w:rPr>
          <w:rFonts w:cstheme="minorHAnsi"/>
          <w:sz w:val="20"/>
        </w:rPr>
      </w:pPr>
      <w:r w:rsidRPr="006A5D11">
        <w:rPr>
          <w:rFonts w:cstheme="minorHAnsi"/>
          <w:sz w:val="20"/>
        </w:rPr>
        <w:t>Figure 2.5: Average progressive iron removal profile with increasing depth from the surface of Section 1 of Cell 1 MRPTS (Cat1 sampling location; &lt;1.0 days of retention time)</w:t>
      </w:r>
    </w:p>
    <w:p w14:paraId="30AA7E36" w14:textId="36C2ED63" w:rsidR="005E60C9" w:rsidRPr="001B2AE3" w:rsidRDefault="005E60C9" w:rsidP="001B2AE3">
      <w:pPr>
        <w:spacing w:line="240" w:lineRule="auto"/>
        <w:jc w:val="both"/>
      </w:pPr>
      <w:r w:rsidRPr="00821811">
        <w:rPr>
          <w:noProof/>
        </w:rPr>
        <w:drawing>
          <wp:inline distT="0" distB="0" distL="0" distR="0" wp14:anchorId="0DA4D213" wp14:editId="394362BD">
            <wp:extent cx="5139690" cy="3143250"/>
            <wp:effectExtent l="0" t="0" r="381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1B2AE3">
        <w:rPr>
          <w:sz w:val="20"/>
        </w:rPr>
        <w:t>Figure 2.6: Average progressive iron removal profile with increasing depth from the surface of Section 2 of Cell 1 MRPTS (Cat2 sampling location; 4.5 days of retention time)</w:t>
      </w:r>
      <w:r w:rsidR="00821811" w:rsidRPr="001B2AE3">
        <w:rPr>
          <w:rFonts w:cstheme="minorHAnsi"/>
          <w:sz w:val="20"/>
        </w:rPr>
        <w:br/>
      </w:r>
    </w:p>
    <w:p w14:paraId="17B8A0D5" w14:textId="77777777" w:rsidR="005E60C9" w:rsidRDefault="005E60C9" w:rsidP="004E2FF1">
      <w:pPr>
        <w:pStyle w:val="Heading3"/>
        <w:rPr>
          <w:rFonts w:cstheme="minorHAnsi"/>
        </w:rPr>
      </w:pPr>
      <w:r>
        <w:rPr>
          <w:noProof/>
        </w:rPr>
        <w:lastRenderedPageBreak/>
        <w:drawing>
          <wp:inline distT="0" distB="0" distL="0" distR="0" wp14:anchorId="08A20ECA" wp14:editId="13F98275">
            <wp:extent cx="5139690" cy="2975610"/>
            <wp:effectExtent l="0" t="0" r="3810" b="152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0FEBC3C" w14:textId="77777777" w:rsidR="005E60C9" w:rsidRDefault="005E60C9" w:rsidP="004E2FF1">
      <w:pPr>
        <w:pStyle w:val="Heading3"/>
        <w:rPr>
          <w:rFonts w:cstheme="minorHAnsi"/>
        </w:rPr>
      </w:pPr>
      <w:r w:rsidRPr="006A5D11">
        <w:rPr>
          <w:rFonts w:cstheme="minorHAnsi"/>
        </w:rPr>
        <w:t>Figure 2.</w:t>
      </w:r>
      <w:r w:rsidR="00821811">
        <w:rPr>
          <w:rFonts w:cstheme="minorHAnsi"/>
        </w:rPr>
        <w:t>7</w:t>
      </w:r>
      <w:r w:rsidRPr="006A5D11">
        <w:rPr>
          <w:rFonts w:cstheme="minorHAnsi"/>
        </w:rPr>
        <w:t xml:space="preserve">: Average progressive iron removal profile with increasing depth from the surface of Section </w:t>
      </w:r>
      <w:r>
        <w:rPr>
          <w:rFonts w:cstheme="minorHAnsi"/>
        </w:rPr>
        <w:t>3</w:t>
      </w:r>
      <w:r w:rsidRPr="006A5D11">
        <w:rPr>
          <w:rFonts w:cstheme="minorHAnsi"/>
        </w:rPr>
        <w:t xml:space="preserve"> of Cell 1 MRPTS (Cat</w:t>
      </w:r>
      <w:r>
        <w:rPr>
          <w:rFonts w:cstheme="minorHAnsi"/>
        </w:rPr>
        <w:t>3</w:t>
      </w:r>
      <w:r w:rsidRPr="006A5D11">
        <w:rPr>
          <w:rFonts w:cstheme="minorHAnsi"/>
        </w:rPr>
        <w:t xml:space="preserve"> sampling location; </w:t>
      </w:r>
      <w:r>
        <w:rPr>
          <w:rFonts w:cstheme="minorHAnsi"/>
        </w:rPr>
        <w:t xml:space="preserve">6.5 </w:t>
      </w:r>
      <w:r w:rsidRPr="006A5D11">
        <w:rPr>
          <w:rFonts w:cstheme="minorHAnsi"/>
        </w:rPr>
        <w:t>days of retention time)</w:t>
      </w:r>
    </w:p>
    <w:p w14:paraId="67880DC1" w14:textId="77777777" w:rsidR="004E2FF1" w:rsidRDefault="004E2FF1" w:rsidP="005E60C9">
      <w:pPr>
        <w:spacing w:line="480" w:lineRule="auto"/>
        <w:jc w:val="both"/>
        <w:rPr>
          <w:rFonts w:cstheme="minorHAnsi"/>
        </w:rPr>
      </w:pPr>
    </w:p>
    <w:p w14:paraId="69849BA6" w14:textId="77777777" w:rsidR="005E60C9" w:rsidRDefault="005E60C9" w:rsidP="005E60C9">
      <w:pPr>
        <w:spacing w:line="480" w:lineRule="auto"/>
        <w:jc w:val="both"/>
        <w:rPr>
          <w:rFonts w:cstheme="minorHAnsi"/>
        </w:rPr>
      </w:pPr>
      <w:r w:rsidRPr="00D60CDD">
        <w:rPr>
          <w:rFonts w:cstheme="minorHAnsi"/>
        </w:rPr>
        <w:t>Average iron removal water column profiles in Figures 2.4-2.</w:t>
      </w:r>
      <w:r w:rsidR="00821811">
        <w:rPr>
          <w:rFonts w:cstheme="minorHAnsi"/>
        </w:rPr>
        <w:t>7</w:t>
      </w:r>
      <w:r w:rsidRPr="00D60CDD">
        <w:rPr>
          <w:rFonts w:cstheme="minorHAnsi"/>
        </w:rPr>
        <w:t xml:space="preserve"> </w:t>
      </w:r>
      <w:r>
        <w:rPr>
          <w:rFonts w:cstheme="minorHAnsi"/>
        </w:rPr>
        <w:t>indicate that iron concentrations increase</w:t>
      </w:r>
      <w:r w:rsidRPr="00D60CDD">
        <w:rPr>
          <w:rFonts w:cstheme="minorHAnsi"/>
        </w:rPr>
        <w:t xml:space="preserve"> with increasing depth of the oxidation pond </w:t>
      </w:r>
      <w:r>
        <w:rPr>
          <w:rFonts w:cstheme="minorHAnsi"/>
        </w:rPr>
        <w:t>within all three sections of the oxidation cell design</w:t>
      </w:r>
      <w:r w:rsidRPr="00D60CDD">
        <w:rPr>
          <w:rFonts w:cstheme="minorHAnsi"/>
        </w:rPr>
        <w:t>.  This is consistent with the idea that as iron precipitate</w:t>
      </w:r>
      <w:r>
        <w:rPr>
          <w:rFonts w:cstheme="minorHAnsi"/>
        </w:rPr>
        <w:t>s</w:t>
      </w:r>
      <w:r w:rsidRPr="00D60CDD">
        <w:rPr>
          <w:rFonts w:cstheme="minorHAnsi"/>
        </w:rPr>
        <w:t xml:space="preserve"> out of solution, </w:t>
      </w:r>
      <w:r>
        <w:rPr>
          <w:rFonts w:cstheme="minorHAnsi"/>
        </w:rPr>
        <w:t>it</w:t>
      </w:r>
      <w:r w:rsidRPr="00D60CDD">
        <w:rPr>
          <w:rFonts w:cstheme="minorHAnsi"/>
        </w:rPr>
        <w:t xml:space="preserve"> coagulate</w:t>
      </w:r>
      <w:r>
        <w:rPr>
          <w:rFonts w:cstheme="minorHAnsi"/>
        </w:rPr>
        <w:t>s</w:t>
      </w:r>
      <w:r w:rsidRPr="00D60CDD">
        <w:rPr>
          <w:rFonts w:cstheme="minorHAnsi"/>
        </w:rPr>
        <w:t xml:space="preserve"> into larger particles and </w:t>
      </w:r>
      <w:r>
        <w:rPr>
          <w:rFonts w:cstheme="minorHAnsi"/>
        </w:rPr>
        <w:t>settles</w:t>
      </w:r>
      <w:r w:rsidRPr="00D60CDD">
        <w:rPr>
          <w:rFonts w:cstheme="minorHAnsi"/>
        </w:rPr>
        <w:t xml:space="preserve"> to the bottom of the oxidation pond.  The lowest total iron concentrations were observed near the surface of the water </w:t>
      </w:r>
      <w:r>
        <w:rPr>
          <w:rFonts w:cstheme="minorHAnsi"/>
        </w:rPr>
        <w:t>whereas</w:t>
      </w:r>
      <w:r w:rsidRPr="00D60CDD">
        <w:rPr>
          <w:rFonts w:cstheme="minorHAnsi"/>
        </w:rPr>
        <w:t xml:space="preserve"> sample</w:t>
      </w:r>
      <w:r>
        <w:rPr>
          <w:rFonts w:cstheme="minorHAnsi"/>
        </w:rPr>
        <w:t>s</w:t>
      </w:r>
      <w:r w:rsidRPr="00D60CDD">
        <w:rPr>
          <w:rFonts w:cstheme="minorHAnsi"/>
        </w:rPr>
        <w:t xml:space="preserve"> collected at 1.</w:t>
      </w:r>
      <w:r>
        <w:rPr>
          <w:rFonts w:cstheme="minorHAnsi"/>
        </w:rPr>
        <w:t>5</w:t>
      </w:r>
      <w:r w:rsidRPr="00D60CDD">
        <w:rPr>
          <w:rFonts w:cstheme="minorHAnsi"/>
        </w:rPr>
        <w:t xml:space="preserve"> meters </w:t>
      </w:r>
      <w:r>
        <w:rPr>
          <w:rFonts w:cstheme="minorHAnsi"/>
        </w:rPr>
        <w:t>disturbed the</w:t>
      </w:r>
      <w:r w:rsidRPr="00D60CDD">
        <w:rPr>
          <w:rFonts w:cstheme="minorHAnsi"/>
        </w:rPr>
        <w:t xml:space="preserve"> surface of the settled iron </w:t>
      </w:r>
      <w:proofErr w:type="spellStart"/>
      <w:r w:rsidRPr="00D60CDD">
        <w:rPr>
          <w:rFonts w:cstheme="minorHAnsi"/>
        </w:rPr>
        <w:t>oxyhydroxides</w:t>
      </w:r>
      <w:proofErr w:type="spellEnd"/>
      <w:r w:rsidRPr="00D60CDD">
        <w:rPr>
          <w:rFonts w:cstheme="minorHAnsi"/>
        </w:rPr>
        <w:t xml:space="preserve"> resulting in the excessively high concentrations of total iron </w:t>
      </w:r>
      <w:r>
        <w:rPr>
          <w:rFonts w:cstheme="minorHAnsi"/>
        </w:rPr>
        <w:t>via resuspension.</w:t>
      </w:r>
      <w:r w:rsidRPr="00D60CDD">
        <w:rPr>
          <w:rFonts w:cstheme="minorHAnsi"/>
        </w:rPr>
        <w:t xml:space="preserve"> This is </w:t>
      </w:r>
      <w:r>
        <w:rPr>
          <w:rFonts w:cstheme="minorHAnsi"/>
        </w:rPr>
        <w:t>important to note,</w:t>
      </w:r>
      <w:r w:rsidRPr="00D60CDD">
        <w:rPr>
          <w:rFonts w:cstheme="minorHAnsi"/>
        </w:rPr>
        <w:t xml:space="preserve"> as it demonstrates that the iron </w:t>
      </w:r>
      <w:proofErr w:type="spellStart"/>
      <w:r>
        <w:rPr>
          <w:rFonts w:cstheme="minorHAnsi"/>
        </w:rPr>
        <w:t>oxyhydroxide</w:t>
      </w:r>
      <w:proofErr w:type="spellEnd"/>
      <w:r>
        <w:rPr>
          <w:rFonts w:cstheme="minorHAnsi"/>
        </w:rPr>
        <w:t xml:space="preserve"> solids </w:t>
      </w:r>
      <w:r w:rsidRPr="00D60CDD">
        <w:rPr>
          <w:rFonts w:cstheme="minorHAnsi"/>
        </w:rPr>
        <w:t xml:space="preserve">are </w:t>
      </w:r>
      <w:r>
        <w:rPr>
          <w:rFonts w:cstheme="minorHAnsi"/>
        </w:rPr>
        <w:t>accumulating</w:t>
      </w:r>
      <w:r w:rsidRPr="00D60CDD">
        <w:rPr>
          <w:rFonts w:cstheme="minorHAnsi"/>
        </w:rPr>
        <w:t xml:space="preserve"> in all three sections of Cell 1, rather than just in Sections 1 </w:t>
      </w:r>
      <w:r>
        <w:rPr>
          <w:rFonts w:cstheme="minorHAnsi"/>
        </w:rPr>
        <w:t>as the water quality data indicates.</w:t>
      </w:r>
    </w:p>
    <w:p w14:paraId="1F5416C8" w14:textId="77777777" w:rsidR="005E60C9" w:rsidRDefault="005E60C9" w:rsidP="004E2FF1">
      <w:pPr>
        <w:pStyle w:val="Heading4"/>
      </w:pPr>
      <w:r>
        <w:t>Seasonal Iron Removal Profiles:</w:t>
      </w:r>
    </w:p>
    <w:p w14:paraId="77FACA93" w14:textId="77777777" w:rsidR="004E2FF1" w:rsidRPr="004E2FF1" w:rsidRDefault="004E2FF1" w:rsidP="004E2FF1"/>
    <w:p w14:paraId="6B3A5406" w14:textId="77777777" w:rsidR="005E60C9" w:rsidRPr="00064B55" w:rsidRDefault="005E60C9" w:rsidP="005E60C9">
      <w:pPr>
        <w:spacing w:line="480" w:lineRule="auto"/>
        <w:jc w:val="both"/>
        <w:rPr>
          <w:rFonts w:cstheme="minorHAnsi"/>
        </w:rPr>
      </w:pPr>
      <w:r>
        <w:rPr>
          <w:rFonts w:cstheme="minorHAnsi"/>
        </w:rPr>
        <w:t>The progressive iron removal profiles collected seasonally (quarterly) were averaged over the three-year sample collection period and plotted in Figures 2.</w:t>
      </w:r>
      <w:r w:rsidR="00821811">
        <w:rPr>
          <w:rFonts w:cstheme="minorHAnsi"/>
        </w:rPr>
        <w:t>8</w:t>
      </w:r>
      <w:r>
        <w:rPr>
          <w:rFonts w:cstheme="minorHAnsi"/>
        </w:rPr>
        <w:t>-2.1</w:t>
      </w:r>
      <w:r w:rsidR="00821811">
        <w:rPr>
          <w:rFonts w:cstheme="minorHAnsi"/>
        </w:rPr>
        <w:t>1</w:t>
      </w:r>
      <w:r>
        <w:rPr>
          <w:rFonts w:cstheme="minorHAnsi"/>
        </w:rPr>
        <w:t xml:space="preserve">. </w:t>
      </w:r>
    </w:p>
    <w:p w14:paraId="37B6564D" w14:textId="77777777" w:rsidR="005E60C9" w:rsidRDefault="005E60C9" w:rsidP="00821811">
      <w:pPr>
        <w:pStyle w:val="Heading3"/>
        <w:rPr>
          <w:rFonts w:cstheme="minorHAnsi"/>
        </w:rPr>
      </w:pPr>
      <w:r>
        <w:rPr>
          <w:noProof/>
        </w:rPr>
        <w:lastRenderedPageBreak/>
        <w:drawing>
          <wp:inline distT="0" distB="0" distL="0" distR="0" wp14:anchorId="3A210917" wp14:editId="7FBB1E3F">
            <wp:extent cx="5139690" cy="3086100"/>
            <wp:effectExtent l="0" t="0" r="381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919A601" w14:textId="08CF20C8" w:rsidR="005E60C9" w:rsidRDefault="005E60C9" w:rsidP="00821811">
      <w:pPr>
        <w:pStyle w:val="Heading3"/>
        <w:rPr>
          <w:noProof/>
        </w:rPr>
      </w:pPr>
      <w:r w:rsidRPr="002C67FD">
        <w:rPr>
          <w:rFonts w:cstheme="minorHAnsi"/>
        </w:rPr>
        <w:t>Figure 2.</w:t>
      </w:r>
      <w:r w:rsidR="00821811">
        <w:rPr>
          <w:rFonts w:cstheme="minorHAnsi"/>
        </w:rPr>
        <w:t>8</w:t>
      </w:r>
      <w:r w:rsidRPr="002C67FD">
        <w:rPr>
          <w:rFonts w:cstheme="minorHAnsi"/>
        </w:rPr>
        <w:t>: Average Spring Iron Removal Profile (April 2010-2012; n=3)</w:t>
      </w:r>
      <w:r w:rsidRPr="002C67FD">
        <w:rPr>
          <w:noProof/>
        </w:rPr>
        <w:t xml:space="preserve"> with </w:t>
      </w:r>
      <w:r w:rsidRPr="002C67FD">
        <w:rPr>
          <w:rFonts w:cs="Calibri"/>
          <w:noProof/>
        </w:rPr>
        <w:t>±</w:t>
      </w:r>
      <w:r w:rsidR="004D3D5C">
        <w:rPr>
          <w:noProof/>
        </w:rPr>
        <w:t xml:space="preserve"> standard deviation error bar</w:t>
      </w:r>
      <w:r w:rsidRPr="002C67FD">
        <w:rPr>
          <w:noProof/>
        </w:rPr>
        <w:t>s for each measurement average.</w:t>
      </w:r>
    </w:p>
    <w:p w14:paraId="31025311" w14:textId="77777777" w:rsidR="005E60C9" w:rsidRPr="00974358" w:rsidRDefault="005E60C9" w:rsidP="00821811">
      <w:pPr>
        <w:pStyle w:val="Heading3"/>
        <w:rPr>
          <w:noProof/>
        </w:rPr>
      </w:pPr>
      <w:r>
        <w:rPr>
          <w:noProof/>
        </w:rPr>
        <w:drawing>
          <wp:inline distT="0" distB="0" distL="0" distR="0" wp14:anchorId="1B91E92E" wp14:editId="0DCD6554">
            <wp:extent cx="5139690" cy="3600450"/>
            <wp:effectExtent l="0" t="0" r="3810" b="0"/>
            <wp:docPr id="218" name="Chart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1397005" w14:textId="00F7A3F4" w:rsidR="00821811" w:rsidRPr="00821811" w:rsidRDefault="005E60C9" w:rsidP="00821811">
      <w:pPr>
        <w:pStyle w:val="Heading3"/>
        <w:rPr>
          <w:noProof/>
        </w:rPr>
      </w:pPr>
      <w:r w:rsidRPr="002C67FD">
        <w:rPr>
          <w:rFonts w:cstheme="minorHAnsi"/>
        </w:rPr>
        <w:t>Figure 2.</w:t>
      </w:r>
      <w:r w:rsidR="00821811">
        <w:rPr>
          <w:rFonts w:cstheme="minorHAnsi"/>
        </w:rPr>
        <w:t>9</w:t>
      </w:r>
      <w:r w:rsidRPr="002C67FD">
        <w:rPr>
          <w:rFonts w:cstheme="minorHAnsi"/>
        </w:rPr>
        <w:t xml:space="preserve">: Average </w:t>
      </w:r>
      <w:r>
        <w:rPr>
          <w:rFonts w:cstheme="minorHAnsi"/>
        </w:rPr>
        <w:t>Summer</w:t>
      </w:r>
      <w:r w:rsidRPr="002C67FD">
        <w:rPr>
          <w:rFonts w:cstheme="minorHAnsi"/>
        </w:rPr>
        <w:t xml:space="preserve"> Iron Removal Profile (</w:t>
      </w:r>
      <w:r>
        <w:rPr>
          <w:rFonts w:cstheme="minorHAnsi"/>
        </w:rPr>
        <w:t>July</w:t>
      </w:r>
      <w:r w:rsidRPr="002C67FD">
        <w:rPr>
          <w:rFonts w:cstheme="minorHAnsi"/>
        </w:rPr>
        <w:t xml:space="preserve"> 20</w:t>
      </w:r>
      <w:r>
        <w:rPr>
          <w:rFonts w:cstheme="minorHAnsi"/>
        </w:rPr>
        <w:t>09-2011</w:t>
      </w:r>
      <w:r w:rsidRPr="002C67FD">
        <w:rPr>
          <w:rFonts w:cstheme="minorHAnsi"/>
        </w:rPr>
        <w:t>; n=3)</w:t>
      </w:r>
      <w:r w:rsidRPr="002C67FD">
        <w:rPr>
          <w:noProof/>
        </w:rPr>
        <w:t xml:space="preserve"> with </w:t>
      </w:r>
      <w:r w:rsidRPr="002C67FD">
        <w:rPr>
          <w:rFonts w:cs="Calibri"/>
          <w:noProof/>
        </w:rPr>
        <w:t>±</w:t>
      </w:r>
      <w:r w:rsidR="004D3D5C">
        <w:rPr>
          <w:noProof/>
        </w:rPr>
        <w:t xml:space="preserve"> standard deviation error bar</w:t>
      </w:r>
      <w:r w:rsidRPr="002C67FD">
        <w:rPr>
          <w:noProof/>
        </w:rPr>
        <w:t>s for each measurement average.</w:t>
      </w:r>
      <w:r w:rsidR="00821811">
        <w:rPr>
          <w:noProof/>
        </w:rPr>
        <w:br/>
      </w:r>
    </w:p>
    <w:p w14:paraId="538B362C" w14:textId="77777777" w:rsidR="005E60C9" w:rsidRDefault="005E60C9" w:rsidP="00821811">
      <w:pPr>
        <w:pStyle w:val="Heading3"/>
        <w:rPr>
          <w:rFonts w:cstheme="minorHAnsi"/>
        </w:rPr>
      </w:pPr>
      <w:r>
        <w:rPr>
          <w:noProof/>
        </w:rPr>
        <w:lastRenderedPageBreak/>
        <w:drawing>
          <wp:inline distT="0" distB="0" distL="0" distR="0" wp14:anchorId="1322C066" wp14:editId="373BD69B">
            <wp:extent cx="5089525" cy="2993366"/>
            <wp:effectExtent l="0" t="0" r="15875" b="17145"/>
            <wp:docPr id="219" name="Chart 2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0402C8E" w14:textId="668AF997" w:rsidR="001B2AE3" w:rsidRPr="001B2AE3" w:rsidRDefault="005E60C9" w:rsidP="001B2AE3">
      <w:pPr>
        <w:pStyle w:val="Heading3"/>
        <w:rPr>
          <w:noProof/>
        </w:rPr>
      </w:pPr>
      <w:r w:rsidRPr="002C67FD">
        <w:rPr>
          <w:rFonts w:cstheme="minorHAnsi"/>
        </w:rPr>
        <w:t>Figure 2.</w:t>
      </w:r>
      <w:r w:rsidR="00821811">
        <w:rPr>
          <w:rFonts w:cstheme="minorHAnsi"/>
        </w:rPr>
        <w:t>10</w:t>
      </w:r>
      <w:r w:rsidRPr="002C67FD">
        <w:rPr>
          <w:rFonts w:cstheme="minorHAnsi"/>
        </w:rPr>
        <w:t xml:space="preserve">: Average </w:t>
      </w:r>
      <w:r>
        <w:rPr>
          <w:rFonts w:cstheme="minorHAnsi"/>
        </w:rPr>
        <w:t>Fall</w:t>
      </w:r>
      <w:r w:rsidRPr="002C67FD">
        <w:rPr>
          <w:rFonts w:cstheme="minorHAnsi"/>
        </w:rPr>
        <w:t xml:space="preserve"> Iron Removal Profile (</w:t>
      </w:r>
      <w:r>
        <w:rPr>
          <w:rFonts w:cstheme="minorHAnsi"/>
        </w:rPr>
        <w:t>October</w:t>
      </w:r>
      <w:r w:rsidRPr="002C67FD">
        <w:rPr>
          <w:rFonts w:cstheme="minorHAnsi"/>
        </w:rPr>
        <w:t xml:space="preserve"> 20</w:t>
      </w:r>
      <w:r>
        <w:rPr>
          <w:rFonts w:cstheme="minorHAnsi"/>
        </w:rPr>
        <w:t>09-2011</w:t>
      </w:r>
      <w:r w:rsidRPr="002C67FD">
        <w:rPr>
          <w:rFonts w:cstheme="minorHAnsi"/>
        </w:rPr>
        <w:t>; n=3)</w:t>
      </w:r>
      <w:r w:rsidRPr="002C67FD">
        <w:rPr>
          <w:noProof/>
        </w:rPr>
        <w:t xml:space="preserve"> with </w:t>
      </w:r>
      <w:r w:rsidRPr="002C67FD">
        <w:rPr>
          <w:rFonts w:cs="Calibri"/>
          <w:noProof/>
        </w:rPr>
        <w:t>±</w:t>
      </w:r>
      <w:r w:rsidR="004D3D5C">
        <w:rPr>
          <w:noProof/>
        </w:rPr>
        <w:t xml:space="preserve"> standard deviation error bar</w:t>
      </w:r>
      <w:r w:rsidRPr="002C67FD">
        <w:rPr>
          <w:noProof/>
        </w:rPr>
        <w:t>s for each measurement average.</w:t>
      </w:r>
    </w:p>
    <w:p w14:paraId="0066DE36" w14:textId="77777777" w:rsidR="005E60C9" w:rsidRDefault="005E60C9" w:rsidP="00821811">
      <w:pPr>
        <w:pStyle w:val="Heading3"/>
        <w:rPr>
          <w:rFonts w:cstheme="minorHAnsi"/>
        </w:rPr>
      </w:pPr>
      <w:r>
        <w:rPr>
          <w:noProof/>
        </w:rPr>
        <w:drawing>
          <wp:inline distT="0" distB="0" distL="0" distR="0" wp14:anchorId="557730D1" wp14:editId="4EF5B8B0">
            <wp:extent cx="5139690" cy="3676650"/>
            <wp:effectExtent l="0" t="0" r="3810" b="0"/>
            <wp:docPr id="220" name="Chart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67772B" w14:textId="5330CC28" w:rsidR="005E60C9" w:rsidRPr="00337265" w:rsidRDefault="005E60C9" w:rsidP="00821811">
      <w:pPr>
        <w:pStyle w:val="Heading3"/>
        <w:rPr>
          <w:noProof/>
        </w:rPr>
      </w:pPr>
      <w:r w:rsidRPr="002C67FD">
        <w:rPr>
          <w:rFonts w:cstheme="minorHAnsi"/>
        </w:rPr>
        <w:t xml:space="preserve">Figure </w:t>
      </w:r>
      <w:r>
        <w:rPr>
          <w:rFonts w:cstheme="minorHAnsi"/>
        </w:rPr>
        <w:t>2.1</w:t>
      </w:r>
      <w:r w:rsidR="00821811">
        <w:rPr>
          <w:rFonts w:cstheme="minorHAnsi"/>
        </w:rPr>
        <w:t>1</w:t>
      </w:r>
      <w:r w:rsidRPr="002C67FD">
        <w:rPr>
          <w:rFonts w:cstheme="minorHAnsi"/>
        </w:rPr>
        <w:t xml:space="preserve">: Average </w:t>
      </w:r>
      <w:r>
        <w:rPr>
          <w:rFonts w:cstheme="minorHAnsi"/>
        </w:rPr>
        <w:t>Winter</w:t>
      </w:r>
      <w:r w:rsidRPr="002C67FD">
        <w:rPr>
          <w:rFonts w:cstheme="minorHAnsi"/>
        </w:rPr>
        <w:t xml:space="preserve"> Iron Removal Profile (</w:t>
      </w:r>
      <w:r>
        <w:rPr>
          <w:rFonts w:cstheme="minorHAnsi"/>
        </w:rPr>
        <w:t xml:space="preserve">January </w:t>
      </w:r>
      <w:r w:rsidRPr="002C67FD">
        <w:rPr>
          <w:rFonts w:cstheme="minorHAnsi"/>
        </w:rPr>
        <w:t>2010-2012; n=3)</w:t>
      </w:r>
      <w:r w:rsidRPr="002C67FD">
        <w:rPr>
          <w:noProof/>
        </w:rPr>
        <w:t xml:space="preserve"> with </w:t>
      </w:r>
      <w:r w:rsidRPr="002C67FD">
        <w:rPr>
          <w:rFonts w:cs="Calibri"/>
          <w:noProof/>
        </w:rPr>
        <w:t>±</w:t>
      </w:r>
      <w:r w:rsidR="004D3D5C">
        <w:rPr>
          <w:noProof/>
        </w:rPr>
        <w:t xml:space="preserve"> standard deviation error bar</w:t>
      </w:r>
      <w:r w:rsidRPr="002C67FD">
        <w:rPr>
          <w:noProof/>
        </w:rPr>
        <w:t>s for each measurement average.</w:t>
      </w:r>
      <w:r w:rsidR="00821811">
        <w:rPr>
          <w:noProof/>
        </w:rPr>
        <w:br/>
      </w:r>
    </w:p>
    <w:p w14:paraId="6D534CEA" w14:textId="260D7CA6" w:rsidR="005E60C9" w:rsidRDefault="001B2AE3" w:rsidP="00821811">
      <w:pPr>
        <w:pStyle w:val="Heading3"/>
        <w:rPr>
          <w:rFonts w:cstheme="minorHAnsi"/>
        </w:rPr>
      </w:pPr>
      <w:r>
        <w:rPr>
          <w:noProof/>
        </w:rPr>
        <w:lastRenderedPageBreak/>
        <w:drawing>
          <wp:inline distT="0" distB="0" distL="0" distR="0" wp14:anchorId="51924823" wp14:editId="094A0DD4">
            <wp:extent cx="5139690" cy="2971800"/>
            <wp:effectExtent l="0" t="0" r="3810" b="0"/>
            <wp:docPr id="232" name="Chart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BAA03C" w14:textId="6ACA591B" w:rsidR="005E60C9" w:rsidRDefault="005E60C9" w:rsidP="00821811">
      <w:pPr>
        <w:pStyle w:val="Heading3"/>
        <w:rPr>
          <w:rFonts w:cstheme="minorHAnsi"/>
        </w:rPr>
      </w:pPr>
      <w:r w:rsidRPr="006C2914">
        <w:rPr>
          <w:rFonts w:cstheme="minorHAnsi"/>
        </w:rPr>
        <w:t>Figure 2.1</w:t>
      </w:r>
      <w:r w:rsidR="00821811">
        <w:rPr>
          <w:rFonts w:cstheme="minorHAnsi"/>
        </w:rPr>
        <w:t>2</w:t>
      </w:r>
      <w:r w:rsidRPr="006C2914">
        <w:rPr>
          <w:rFonts w:cstheme="minorHAnsi"/>
        </w:rPr>
        <w:t>: Comparison of total iron concentration (mg/L) for seasonal average progressive iron removal profiles. Note the consistenc</w:t>
      </w:r>
      <w:r>
        <w:rPr>
          <w:rFonts w:cstheme="minorHAnsi"/>
        </w:rPr>
        <w:t>y</w:t>
      </w:r>
      <w:r w:rsidRPr="006C2914">
        <w:rPr>
          <w:rFonts w:cstheme="minorHAnsi"/>
        </w:rPr>
        <w:t xml:space="preserve"> in performance for spring, summer, and fall profiles</w:t>
      </w:r>
      <w:r w:rsidR="00A62AB3">
        <w:rPr>
          <w:rFonts w:cstheme="minorHAnsi"/>
        </w:rPr>
        <w:t>, yet high variability was observed for winter measurements</w:t>
      </w:r>
      <w:r w:rsidRPr="006C2914">
        <w:rPr>
          <w:rFonts w:cstheme="minorHAnsi"/>
        </w:rPr>
        <w:t xml:space="preserve">. </w:t>
      </w:r>
    </w:p>
    <w:p w14:paraId="25A1EECC" w14:textId="77777777" w:rsidR="00821811" w:rsidRPr="00821811" w:rsidRDefault="00821811" w:rsidP="00821811"/>
    <w:p w14:paraId="38A48619" w14:textId="77777777" w:rsidR="00A62AB3" w:rsidRPr="00A62AB3" w:rsidRDefault="00A62AB3" w:rsidP="00A62AB3">
      <w:pPr>
        <w:spacing w:line="480" w:lineRule="auto"/>
        <w:jc w:val="both"/>
        <w:rPr>
          <w:rFonts w:cstheme="minorHAnsi"/>
        </w:rPr>
      </w:pPr>
      <w:r w:rsidRPr="00A62AB3">
        <w:rPr>
          <w:rFonts w:cstheme="minorHAnsi"/>
        </w:rPr>
        <w:t xml:space="preserve">Comparison of the seasonal average progressive iron removal profile (n = 3 years) reveals that spring (88%), summer (81%), and fall (90%) follow a consistent pattern in the decrease of total iron concentration within Section 1 of the treatment cell design. All three profiles mirror each other in form describing cell function, and have less variability on a year to year basis in their individual values (standard deviations between 10-30 mg/L) than the winter data set (standard deviations approaching 65 mg/L).  Figure 2.12 compares the total iron based on position-derived hydraulic retention time for the average of each season. Comparison of the removal profiles by season reveals a difference in profile morphology between winter and the rest of the sampled seasons. However, despite these differences, the influent water chemistry remains consistent for all of the seasons, and the removal profiles converge to similar total iron concentrations at the cell effluent discharge. This suggests that variables influencing the removal of iron within Cell 1 are delayed, resulting in the distribution of iron removal over all three sections of the cell 1 design.  However, Figure 2.13 does not support the idea of </w:t>
      </w:r>
      <w:r w:rsidRPr="00A62AB3">
        <w:rPr>
          <w:rFonts w:cstheme="minorHAnsi"/>
        </w:rPr>
        <w:lastRenderedPageBreak/>
        <w:t>temperature-dependence as the sole driving factor correlated to decreases in total iron concentrations. There is no apparent relationship between the effluent water temperature of Cell 1 and the decrease in the concentration of total iron. Temperatures between 6-23</w:t>
      </w:r>
      <w:r w:rsidRPr="00A62AB3">
        <w:rPr>
          <w:rFonts w:cstheme="minorHAnsi"/>
          <w:vertAlign w:val="superscript"/>
        </w:rPr>
        <w:t>o</w:t>
      </w:r>
      <w:r w:rsidRPr="00A62AB3">
        <w:rPr>
          <w:rFonts w:cstheme="minorHAnsi"/>
        </w:rPr>
        <w:t xml:space="preserve">C all yielded decreases in total iron concentrations between 145-165 mg/L with two outliers as exceptions.  </w:t>
      </w:r>
    </w:p>
    <w:p w14:paraId="1AB94739" w14:textId="5367F8B1" w:rsidR="00A62AB3" w:rsidRPr="00A62AB3" w:rsidRDefault="00A62AB3" w:rsidP="00A62AB3">
      <w:pPr>
        <w:spacing w:line="480" w:lineRule="auto"/>
        <w:jc w:val="both"/>
        <w:rPr>
          <w:rFonts w:cstheme="minorHAnsi"/>
        </w:rPr>
      </w:pPr>
      <w:r w:rsidRPr="00A62AB3">
        <w:rPr>
          <w:rFonts w:cstheme="minorHAnsi"/>
        </w:rPr>
        <w:t>January 2010 had a wat</w:t>
      </w:r>
      <w:r>
        <w:rPr>
          <w:rFonts w:cstheme="minorHAnsi"/>
        </w:rPr>
        <w:t xml:space="preserve">er temperature approaching six degrees </w:t>
      </w:r>
      <w:proofErr w:type="spellStart"/>
      <w:r>
        <w:rPr>
          <w:rFonts w:cstheme="minorHAnsi"/>
        </w:rPr>
        <w:t>Celcius</w:t>
      </w:r>
      <w:proofErr w:type="spellEnd"/>
      <w:r w:rsidRPr="00A62AB3">
        <w:rPr>
          <w:rFonts w:cstheme="minorHAnsi"/>
        </w:rPr>
        <w:t xml:space="preserve"> and correspondingly low total iron removal, yet comparison with the iron removal and temperature of the other profiles collected makes this point an outlier of the dataset. Similarly, October 2010 had an effluent water temperature of nearly 18 </w:t>
      </w:r>
      <w:r>
        <w:rPr>
          <w:rFonts w:cstheme="minorHAnsi"/>
        </w:rPr>
        <w:t xml:space="preserve">degrees </w:t>
      </w:r>
      <w:proofErr w:type="spellStart"/>
      <w:r>
        <w:rPr>
          <w:rFonts w:cstheme="minorHAnsi"/>
        </w:rPr>
        <w:t>Celcius</w:t>
      </w:r>
      <w:proofErr w:type="spellEnd"/>
      <w:r w:rsidRPr="00A62AB3">
        <w:rPr>
          <w:rFonts w:cstheme="minorHAnsi"/>
        </w:rPr>
        <w:t xml:space="preserve"> and had the highest total iron removal of the dataset despite other profiles collected in the summer at higher temperatures being included.  Calculation of the average dissolved to particulate ratio for the three-year iron removal profile average yields a composite score indicating the dominant form of iron within the water column (Figure 2.14). Values greater than 1.00 favor conditions supporting Fe</w:t>
      </w:r>
      <w:r w:rsidRPr="00A62AB3">
        <w:rPr>
          <w:rFonts w:cstheme="minorHAnsi"/>
          <w:vertAlign w:val="superscript"/>
        </w:rPr>
        <w:t>2+</w:t>
      </w:r>
      <w:r w:rsidRPr="00A62AB3">
        <w:rPr>
          <w:rFonts w:cstheme="minorHAnsi"/>
        </w:rPr>
        <w:t xml:space="preserve"> in the dissolved state versus values less than 1.00 favoring particulate iron as a suspended solid. Winter (</w:t>
      </w:r>
      <w:proofErr w:type="gramStart"/>
      <w:r w:rsidRPr="00A62AB3">
        <w:rPr>
          <w:rFonts w:cstheme="minorHAnsi"/>
        </w:rPr>
        <w:t>D:P</w:t>
      </w:r>
      <w:proofErr w:type="gramEnd"/>
      <w:r w:rsidRPr="00A62AB3">
        <w:rPr>
          <w:rFonts w:cstheme="minorHAnsi"/>
        </w:rPr>
        <w:t xml:space="preserve"> ratio = 2.65) indicates that conditions favor iron in the dissolved state (rate of oxidation impaired).</w:t>
      </w:r>
    </w:p>
    <w:p w14:paraId="55FA71DB" w14:textId="5D89DF3E" w:rsidR="005E60C9" w:rsidRDefault="005E60C9" w:rsidP="00821811">
      <w:pPr>
        <w:pStyle w:val="Heading3"/>
        <w:jc w:val="both"/>
      </w:pPr>
      <w:r>
        <w:rPr>
          <w:noProof/>
        </w:rPr>
        <w:lastRenderedPageBreak/>
        <w:drawing>
          <wp:inline distT="0" distB="0" distL="0" distR="0" wp14:anchorId="6653ADE0" wp14:editId="33425779">
            <wp:extent cx="5139309" cy="288480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8725" t="30201" r="36434" b="27283"/>
                    <a:stretch/>
                  </pic:blipFill>
                  <pic:spPr bwMode="auto">
                    <a:xfrm>
                      <a:off x="0" y="0"/>
                      <a:ext cx="5221897" cy="293116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437728">
        <w:t>Figure 2</w:t>
      </w:r>
      <w:r w:rsidR="00821811">
        <w:t>.13</w:t>
      </w:r>
      <w:r w:rsidRPr="00437728">
        <w:t xml:space="preserve">: Correlation between C1Out water temperature and the total iron concentration change due to iron removal within Cell 1 measured as the difference between the average seep influent concentration and C1Out concentration. The intersection of grey zones indicates the range of temperature values and their associated with the central tendency of the change in iron concentration for the dataset. </w:t>
      </w:r>
    </w:p>
    <w:p w14:paraId="03EECA3C" w14:textId="77777777" w:rsidR="00821811" w:rsidRPr="00821811" w:rsidRDefault="00821811" w:rsidP="00821811"/>
    <w:p w14:paraId="7AD113F2" w14:textId="77777777" w:rsidR="005E60C9" w:rsidRDefault="005E60C9" w:rsidP="005E60C9">
      <w:pPr>
        <w:spacing w:line="240" w:lineRule="auto"/>
        <w:jc w:val="both"/>
        <w:rPr>
          <w:rFonts w:cstheme="minorHAnsi"/>
        </w:rPr>
      </w:pPr>
      <w:r>
        <w:rPr>
          <w:noProof/>
        </w:rPr>
        <w:drawing>
          <wp:inline distT="0" distB="0" distL="0" distR="0" wp14:anchorId="110AB8CC" wp14:editId="7A0CF7EC">
            <wp:extent cx="5139055" cy="2635250"/>
            <wp:effectExtent l="0" t="0" r="4445" b="1270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1F714F0" w14:textId="77777777" w:rsidR="005E60C9" w:rsidRPr="009038AE" w:rsidRDefault="00821811" w:rsidP="005E60C9">
      <w:pPr>
        <w:spacing w:line="240" w:lineRule="auto"/>
        <w:jc w:val="both"/>
        <w:rPr>
          <w:rFonts w:cstheme="minorHAnsi"/>
          <w:sz w:val="20"/>
        </w:rPr>
      </w:pPr>
      <w:r>
        <w:rPr>
          <w:rFonts w:cstheme="minorHAnsi"/>
          <w:sz w:val="20"/>
        </w:rPr>
        <w:t>Figure 2.14</w:t>
      </w:r>
      <w:r w:rsidR="005E60C9" w:rsidRPr="009038AE">
        <w:rPr>
          <w:rFonts w:cstheme="minorHAnsi"/>
          <w:sz w:val="20"/>
        </w:rPr>
        <w:t>: Comparison of the average Dissolved: Particulate iron ratios based on seasonal iron removal profiles. Influent concentrations were not included in the reported average ratio as the majority of the iron entering the cell is in the dissolved state, and it skews the dataset systematically.</w:t>
      </w:r>
    </w:p>
    <w:p w14:paraId="3EEB15ED" w14:textId="77777777" w:rsidR="005E60C9" w:rsidRDefault="005E60C9" w:rsidP="005E60C9">
      <w:pPr>
        <w:spacing w:line="480" w:lineRule="auto"/>
        <w:jc w:val="both"/>
        <w:rPr>
          <w:rFonts w:cstheme="minorHAnsi"/>
        </w:rPr>
      </w:pPr>
      <w:r>
        <w:rPr>
          <w:rFonts w:cstheme="minorHAnsi"/>
        </w:rPr>
        <w:t>Figures 2.1</w:t>
      </w:r>
      <w:r w:rsidR="00821811">
        <w:rPr>
          <w:rFonts w:cstheme="minorHAnsi"/>
        </w:rPr>
        <w:t>5</w:t>
      </w:r>
      <w:r>
        <w:rPr>
          <w:rFonts w:cstheme="minorHAnsi"/>
        </w:rPr>
        <w:t>-2.1</w:t>
      </w:r>
      <w:r w:rsidR="00821811">
        <w:rPr>
          <w:rFonts w:cstheme="minorHAnsi"/>
        </w:rPr>
        <w:t>7</w:t>
      </w:r>
      <w:r>
        <w:rPr>
          <w:rFonts w:cstheme="minorHAnsi"/>
        </w:rPr>
        <w:t xml:space="preserve"> detail the average vertical winter removal profiles of total and dissolved iron for sections 1,2, and 3 of the Cell 1 design.  Each of these figures supports the result that it is </w:t>
      </w:r>
      <w:r>
        <w:rPr>
          <w:rFonts w:cstheme="minorHAnsi"/>
        </w:rPr>
        <w:lastRenderedPageBreak/>
        <w:t>oxidation of Fe</w:t>
      </w:r>
      <w:r w:rsidRPr="009038AE">
        <w:rPr>
          <w:rFonts w:cstheme="minorHAnsi"/>
          <w:vertAlign w:val="superscript"/>
        </w:rPr>
        <w:t>2+</w:t>
      </w:r>
      <w:r>
        <w:rPr>
          <w:rFonts w:cstheme="minorHAnsi"/>
        </w:rPr>
        <w:t xml:space="preserve"> and not particulate settling rates that are governing seasonal total iron removal. </w:t>
      </w:r>
    </w:p>
    <w:p w14:paraId="5BB4FDA9" w14:textId="77777777" w:rsidR="005E60C9" w:rsidRDefault="005E60C9" w:rsidP="00821811">
      <w:pPr>
        <w:pStyle w:val="Heading3"/>
        <w:rPr>
          <w:rFonts w:cstheme="minorHAnsi"/>
        </w:rPr>
      </w:pPr>
      <w:r>
        <w:rPr>
          <w:rFonts w:cstheme="minorHAnsi"/>
        </w:rPr>
        <w:t xml:space="preserve"> </w:t>
      </w:r>
      <w:r>
        <w:rPr>
          <w:noProof/>
        </w:rPr>
        <w:drawing>
          <wp:inline distT="0" distB="0" distL="0" distR="0" wp14:anchorId="1322826B" wp14:editId="79459949">
            <wp:extent cx="5111115" cy="2743200"/>
            <wp:effectExtent l="0" t="0" r="1333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974310F" w14:textId="77777777" w:rsidR="005E60C9" w:rsidRDefault="005E60C9" w:rsidP="00821811">
      <w:pPr>
        <w:pStyle w:val="Heading3"/>
        <w:rPr>
          <w:rFonts w:cstheme="minorHAnsi"/>
        </w:rPr>
      </w:pPr>
      <w:r w:rsidRPr="006A5D11">
        <w:rPr>
          <w:rFonts w:cstheme="minorHAnsi"/>
        </w:rPr>
        <w:t>Figure 2.</w:t>
      </w:r>
      <w:r w:rsidR="00DD7FF2">
        <w:rPr>
          <w:rFonts w:cstheme="minorHAnsi"/>
        </w:rPr>
        <w:t>15</w:t>
      </w:r>
      <w:r w:rsidRPr="006A5D11">
        <w:rPr>
          <w:rFonts w:cstheme="minorHAnsi"/>
        </w:rPr>
        <w:t xml:space="preserve">: Average progressive iron removal profile with increasing depth from the surface of Section </w:t>
      </w:r>
      <w:r>
        <w:rPr>
          <w:rFonts w:cstheme="minorHAnsi"/>
        </w:rPr>
        <w:t>1</w:t>
      </w:r>
      <w:r w:rsidRPr="006A5D11">
        <w:rPr>
          <w:rFonts w:cstheme="minorHAnsi"/>
        </w:rPr>
        <w:t xml:space="preserve"> of Cell 1 MRPTS (Cat</w:t>
      </w:r>
      <w:r>
        <w:rPr>
          <w:rFonts w:cstheme="minorHAnsi"/>
        </w:rPr>
        <w:t>1</w:t>
      </w:r>
      <w:r w:rsidRPr="006A5D11">
        <w:rPr>
          <w:rFonts w:cstheme="minorHAnsi"/>
        </w:rPr>
        <w:t xml:space="preserve"> sampling location; </w:t>
      </w:r>
      <w:r>
        <w:rPr>
          <w:rFonts w:cstheme="minorHAnsi"/>
        </w:rPr>
        <w:t xml:space="preserve">&lt;1.0 </w:t>
      </w:r>
      <w:r w:rsidRPr="006A5D11">
        <w:rPr>
          <w:rFonts w:cstheme="minorHAnsi"/>
        </w:rPr>
        <w:t>days of retention time)</w:t>
      </w:r>
      <w:r w:rsidR="00821811">
        <w:rPr>
          <w:rFonts w:cstheme="minorHAnsi"/>
        </w:rPr>
        <w:br/>
      </w:r>
    </w:p>
    <w:p w14:paraId="098ADF2C" w14:textId="77777777" w:rsidR="005E60C9" w:rsidRDefault="005E60C9" w:rsidP="005E60C9">
      <w:pPr>
        <w:spacing w:line="240" w:lineRule="auto"/>
        <w:jc w:val="both"/>
        <w:rPr>
          <w:rFonts w:cstheme="minorHAnsi"/>
          <w:sz w:val="20"/>
        </w:rPr>
      </w:pPr>
      <w:r>
        <w:rPr>
          <w:noProof/>
        </w:rPr>
        <w:drawing>
          <wp:inline distT="0" distB="0" distL="0" distR="0" wp14:anchorId="35781D8F" wp14:editId="5C12C8EB">
            <wp:extent cx="5139690" cy="2743200"/>
            <wp:effectExtent l="0" t="0" r="381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FA062D8" w14:textId="77777777" w:rsidR="005E60C9" w:rsidRDefault="005E60C9" w:rsidP="005E60C9">
      <w:pPr>
        <w:spacing w:line="240" w:lineRule="auto"/>
        <w:jc w:val="both"/>
        <w:rPr>
          <w:rFonts w:cstheme="minorHAnsi"/>
          <w:sz w:val="20"/>
        </w:rPr>
      </w:pPr>
      <w:r w:rsidRPr="006A5D11">
        <w:rPr>
          <w:rFonts w:cstheme="minorHAnsi"/>
          <w:sz w:val="20"/>
        </w:rPr>
        <w:t>Figure 2.</w:t>
      </w:r>
      <w:r>
        <w:rPr>
          <w:rFonts w:cstheme="minorHAnsi"/>
          <w:sz w:val="20"/>
        </w:rPr>
        <w:t>1</w:t>
      </w:r>
      <w:r w:rsidR="00DD7FF2">
        <w:rPr>
          <w:rFonts w:cstheme="minorHAnsi"/>
          <w:sz w:val="20"/>
        </w:rPr>
        <w:t>6</w:t>
      </w:r>
      <w:r w:rsidRPr="006A5D11">
        <w:rPr>
          <w:rFonts w:cstheme="minorHAnsi"/>
          <w:sz w:val="20"/>
        </w:rPr>
        <w:t xml:space="preserve">: Average progressive iron removal profile with increasing depth from the surface of Section </w:t>
      </w:r>
      <w:r>
        <w:rPr>
          <w:rFonts w:cstheme="minorHAnsi"/>
          <w:sz w:val="20"/>
        </w:rPr>
        <w:t>2</w:t>
      </w:r>
      <w:r w:rsidRPr="006A5D11">
        <w:rPr>
          <w:rFonts w:cstheme="minorHAnsi"/>
          <w:sz w:val="20"/>
        </w:rPr>
        <w:t xml:space="preserve"> of Cell 1 MRPTS (Cat</w:t>
      </w:r>
      <w:r>
        <w:rPr>
          <w:rFonts w:cstheme="minorHAnsi"/>
          <w:sz w:val="20"/>
        </w:rPr>
        <w:t>2</w:t>
      </w:r>
      <w:r w:rsidRPr="006A5D11">
        <w:rPr>
          <w:rFonts w:cstheme="minorHAnsi"/>
          <w:sz w:val="20"/>
        </w:rPr>
        <w:t xml:space="preserve"> sampling location; </w:t>
      </w:r>
      <w:r>
        <w:rPr>
          <w:rFonts w:cstheme="minorHAnsi"/>
          <w:sz w:val="20"/>
        </w:rPr>
        <w:t xml:space="preserve">4.5 </w:t>
      </w:r>
      <w:r w:rsidRPr="006A5D11">
        <w:rPr>
          <w:rFonts w:cstheme="minorHAnsi"/>
          <w:sz w:val="20"/>
        </w:rPr>
        <w:t>days of retention time)</w:t>
      </w:r>
    </w:p>
    <w:p w14:paraId="36FCB35D" w14:textId="77777777" w:rsidR="005E60C9" w:rsidRDefault="005E60C9" w:rsidP="005E60C9">
      <w:pPr>
        <w:spacing w:line="240" w:lineRule="auto"/>
        <w:jc w:val="both"/>
        <w:rPr>
          <w:rFonts w:cstheme="minorHAnsi"/>
          <w:sz w:val="20"/>
        </w:rPr>
      </w:pPr>
      <w:r>
        <w:rPr>
          <w:noProof/>
        </w:rPr>
        <w:lastRenderedPageBreak/>
        <w:drawing>
          <wp:inline distT="0" distB="0" distL="0" distR="0" wp14:anchorId="57B2D4A2" wp14:editId="02942EF6">
            <wp:extent cx="5139690" cy="2743200"/>
            <wp:effectExtent l="0" t="0" r="381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779C7C9" w14:textId="77777777" w:rsidR="005E60C9" w:rsidRDefault="005E60C9" w:rsidP="005E60C9">
      <w:pPr>
        <w:spacing w:line="240" w:lineRule="auto"/>
        <w:jc w:val="both"/>
        <w:rPr>
          <w:rFonts w:cstheme="minorHAnsi"/>
          <w:sz w:val="20"/>
        </w:rPr>
      </w:pPr>
      <w:r w:rsidRPr="006A5D11">
        <w:rPr>
          <w:rFonts w:cstheme="minorHAnsi"/>
          <w:sz w:val="20"/>
        </w:rPr>
        <w:t>Figure 2.</w:t>
      </w:r>
      <w:r>
        <w:rPr>
          <w:rFonts w:cstheme="minorHAnsi"/>
          <w:sz w:val="20"/>
        </w:rPr>
        <w:t>1</w:t>
      </w:r>
      <w:r w:rsidR="00DD7FF2">
        <w:rPr>
          <w:rFonts w:cstheme="minorHAnsi"/>
          <w:sz w:val="20"/>
        </w:rPr>
        <w:t>7</w:t>
      </w:r>
      <w:r w:rsidRPr="006A5D11">
        <w:rPr>
          <w:rFonts w:cstheme="minorHAnsi"/>
          <w:sz w:val="20"/>
        </w:rPr>
        <w:t xml:space="preserve">: Average progressive iron removal profile with increasing depth from the surface of Section </w:t>
      </w:r>
      <w:r>
        <w:rPr>
          <w:rFonts w:cstheme="minorHAnsi"/>
          <w:sz w:val="20"/>
        </w:rPr>
        <w:t>23</w:t>
      </w:r>
      <w:r w:rsidRPr="006A5D11">
        <w:rPr>
          <w:rFonts w:cstheme="minorHAnsi"/>
          <w:sz w:val="20"/>
        </w:rPr>
        <w:t xml:space="preserve"> of Cell 1 MRPTS (Cat</w:t>
      </w:r>
      <w:r>
        <w:rPr>
          <w:rFonts w:cstheme="minorHAnsi"/>
          <w:sz w:val="20"/>
        </w:rPr>
        <w:t>3</w:t>
      </w:r>
      <w:r w:rsidRPr="006A5D11">
        <w:rPr>
          <w:rFonts w:cstheme="minorHAnsi"/>
          <w:sz w:val="20"/>
        </w:rPr>
        <w:t xml:space="preserve"> sampling location; </w:t>
      </w:r>
      <w:r>
        <w:rPr>
          <w:rFonts w:cstheme="minorHAnsi"/>
          <w:sz w:val="20"/>
        </w:rPr>
        <w:t xml:space="preserve">6.5 </w:t>
      </w:r>
      <w:r w:rsidRPr="006A5D11">
        <w:rPr>
          <w:rFonts w:cstheme="minorHAnsi"/>
          <w:sz w:val="20"/>
        </w:rPr>
        <w:t>days of retention time)</w:t>
      </w:r>
    </w:p>
    <w:p w14:paraId="35F22B0F" w14:textId="77777777" w:rsidR="005E60C9" w:rsidRDefault="005E60C9" w:rsidP="005E60C9">
      <w:pPr>
        <w:spacing w:line="240" w:lineRule="auto"/>
        <w:jc w:val="both"/>
        <w:rPr>
          <w:rFonts w:cstheme="minorHAnsi"/>
          <w:sz w:val="20"/>
        </w:rPr>
      </w:pPr>
    </w:p>
    <w:p w14:paraId="266AAB67" w14:textId="77777777" w:rsidR="005E60C9" w:rsidRPr="000830FC" w:rsidRDefault="005E60C9" w:rsidP="00DD7FF2">
      <w:pPr>
        <w:pStyle w:val="Heading1"/>
      </w:pPr>
      <w:r w:rsidRPr="000830FC">
        <w:t xml:space="preserve">Conclusions </w:t>
      </w:r>
    </w:p>
    <w:p w14:paraId="71CFD9CB" w14:textId="169B995C" w:rsidR="00066C60" w:rsidRPr="00066C60" w:rsidRDefault="00066C60" w:rsidP="00051A48">
      <w:pPr>
        <w:spacing w:before="100" w:beforeAutospacing="1" w:after="100" w:afterAutospacing="1" w:line="480" w:lineRule="auto"/>
        <w:jc w:val="both"/>
        <w:rPr>
          <w:rFonts w:eastAsia="Times New Roman" w:cstheme="minorHAnsi"/>
        </w:rPr>
      </w:pPr>
      <w:r w:rsidRPr="00066C60">
        <w:rPr>
          <w:rFonts w:eastAsia="Times New Roman" w:cstheme="minorHAnsi"/>
        </w:rPr>
        <w:t>Iron oxidation, hydrolysis, and settling are key processes promoted in passive treatment system oxidation cells to decrease dissolved iron concentrations in influent mine drainage.  Although monitoring the influent and effluent water quality of a treatment cell is sufficient to determine overall performance, it is insufficient to determine the step-wise iron removal profile.  Sampling at key points throughout the U-shaped Cell 1 design at MRPTS determined that the majority of the iron removal achieved in the oxidation pond occurred in the first section of the pond (S1), rather than along a uniform gradient throughout all three sections (S1, S2, S3). Total iron concentrations increased with increasing depth of the oxidation cell as precipitated iron oxides underwent sedimentation.</w:t>
      </w:r>
    </w:p>
    <w:p w14:paraId="4DE3266C" w14:textId="77777777" w:rsidR="00066C60" w:rsidRPr="00066C60" w:rsidRDefault="00066C60" w:rsidP="00051A48">
      <w:pPr>
        <w:spacing w:before="100" w:beforeAutospacing="1" w:after="100" w:afterAutospacing="1" w:line="480" w:lineRule="auto"/>
        <w:jc w:val="both"/>
        <w:rPr>
          <w:rFonts w:eastAsia="Times New Roman" w:cstheme="minorHAnsi"/>
          <w:bCs/>
        </w:rPr>
      </w:pPr>
      <w:r w:rsidRPr="00066C60">
        <w:rPr>
          <w:rFonts w:eastAsia="Times New Roman" w:cstheme="minorHAnsi"/>
        </w:rPr>
        <w:t xml:space="preserve"> Seasonal impacts on removal efficiency were observed for winter iron removal profiles with iron being found in the dissolved Fe</w:t>
      </w:r>
      <w:r w:rsidRPr="00066C60">
        <w:rPr>
          <w:rFonts w:eastAsia="Times New Roman" w:cstheme="minorHAnsi"/>
          <w:vertAlign w:val="superscript"/>
        </w:rPr>
        <w:t>2+</w:t>
      </w:r>
      <w:r w:rsidRPr="00066C60">
        <w:rPr>
          <w:rFonts w:eastAsia="Times New Roman" w:cstheme="minorHAnsi"/>
        </w:rPr>
        <w:t xml:space="preserve"> form much later in the treatment cell than previously observed for the Spring, Summer, and Fall samples. There was not an explicit relationship </w:t>
      </w:r>
      <w:r w:rsidRPr="00066C60">
        <w:rPr>
          <w:rFonts w:eastAsia="Times New Roman" w:cstheme="minorHAnsi"/>
        </w:rPr>
        <w:lastRenderedPageBreak/>
        <w:t>observed between temperature and change of iron concentration.  Degassing of dissolved carbon dioxide is suspected to play a critical role synergistically with dissolved oxygen content of the water as well as pH to favor oxidation and hydrolysis reactions. The loss of large quantities of iron from solution in section 1 of cell one may have</w:t>
      </w:r>
      <w:r w:rsidRPr="00066C60">
        <w:rPr>
          <w:rFonts w:eastAsia="Times New Roman" w:cstheme="minorHAnsi"/>
          <w:bCs/>
        </w:rPr>
        <w:t xml:space="preserve"> implications on long-term precipitate deposition and storage within the system.  Additional work is required to determine if uneven deposition of the retained iron solids will affect the performance of the system (e.g., retention time, short circuiting, and sediment mineralization) over the life of the system.  </w:t>
      </w:r>
    </w:p>
    <w:p w14:paraId="1BF4C22C" w14:textId="1C5102E7" w:rsidR="005E60C9" w:rsidRDefault="00066C60" w:rsidP="00DD7FF2">
      <w:pPr>
        <w:pStyle w:val="Heading1"/>
      </w:pPr>
      <w:r>
        <w:t>Literature Cited</w:t>
      </w:r>
    </w:p>
    <w:p w14:paraId="4423FCBE" w14:textId="6FBC8024" w:rsidR="003C6BFE" w:rsidRDefault="003C6BFE" w:rsidP="003C6BFE"/>
    <w:p w14:paraId="54638DBF"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August EE, McKnight DM, Hrncir DC, Garhart KS. 2002. Seasonal variability of metals transport through a wetland impacted by mine drainage in the Rocky Mountains. Environ. Sci. Technol. 36:3779–3786.</w:t>
      </w:r>
    </w:p>
    <w:p w14:paraId="0A41AE2F"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Barnes A, Sapsford DJ, Dey M, Williams KP. 2009. Heterogeneous Fe(II) oxidation and zeta potential. J. Geochemical Explor. 100:192–198.</w:t>
      </w:r>
    </w:p>
    <w:p w14:paraId="14C3F3BB"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Blowes DW, Ptacek CJ, Jambor JL, Weisener CG, Paktunc D, Gould WD, Johnson DB. 2013. The Geochemistry of Acid Mine Drainage. Treatise Geochemistry Second Ed. 11:131–190.</w:t>
      </w:r>
    </w:p>
    <w:p w14:paraId="3C69F851"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Butler BA, Ranville JF, Ross PE. 2008. Observed and modeled seasonal trends in dissolved and particulate Cu, Fe, Mn, and Zn in a mining-impacted stream. Water Res. 42:3135–3145.</w:t>
      </w:r>
    </w:p>
    <w:p w14:paraId="48681BC9"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Casiot C, Lebrun S, Morin G, Bruneel O, Personné JC, Elbaz-Poulichet F. 2005. Sorption and redox processes controlling arsenic fate and transport in a stream impacted by acid mine drainage. Sci. Total Environ. 347:122–130.</w:t>
      </w:r>
    </w:p>
    <w:p w14:paraId="5CFEB81F"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Pr>
          <w:rFonts w:cs="Calibri"/>
          <w:noProof/>
        </w:rPr>
        <w:t>Chakraborti and</w:t>
      </w:r>
      <w:r w:rsidRPr="00D53E0B">
        <w:rPr>
          <w:rFonts w:cs="Calibri"/>
          <w:noProof/>
        </w:rPr>
        <w:t xml:space="preserve"> Kaur. 2014. Noninvasive Measurement of Particle-Settling Velocity and Comparison with Stokes’ Law. J. Environ. Eng. 140.</w:t>
      </w:r>
    </w:p>
    <w:p w14:paraId="32EA6FC1"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Cornell RM, Schwertmann U. 2004. Environmental Significance. Iron Oxides:541–551.</w:t>
      </w:r>
    </w:p>
    <w:p w14:paraId="66CE0791"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Cravotta CA. 2008. Dissolved metals and associated constituents in abandoned coal-mine discharges, Pennsylvania, USA. Part 2: Geochemical controls on constituent concentrations. Appl. Geochemistry 23:203–226.</w:t>
      </w:r>
    </w:p>
    <w:p w14:paraId="09053852"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Dempsey BA, Roscoe HC, Ames R, Hedin R, Jeon B-H. 2001. Ferrous oxidation chemistry in passive abiotic systems for the treatment of mine drainage. Geochemistry Explor. Environ. Anal. 1:81–88.</w:t>
      </w:r>
    </w:p>
    <w:p w14:paraId="284E51D2"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Eggleston CM, Ehrhardt J-J, Stumm W. 1996. Surface structural controls on pyrite oxidation kinetics: An XPS-UPS, STM, and modeling study. Am. Mineral. 81:1036–1056.</w:t>
      </w:r>
    </w:p>
    <w:p w14:paraId="5FA5A953"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 xml:space="preserve">Geroni JN, Sapsford DJ. 2011. Kinetics of iron (II) oxidation determined in the field. Appl. </w:t>
      </w:r>
      <w:r w:rsidRPr="00D53E0B">
        <w:rPr>
          <w:rFonts w:cs="Calibri"/>
          <w:noProof/>
        </w:rPr>
        <w:lastRenderedPageBreak/>
        <w:t>Geochemistry 26:1452–1457.</w:t>
      </w:r>
    </w:p>
    <w:p w14:paraId="715DAC4B"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 xml:space="preserve">Hedin R, Weaver T, Wolfe N, Watzlaf G. 2013. Effective Passive Treatment of Coal Mine Drainage 1. :1–13. </w:t>
      </w:r>
      <w:r w:rsidRPr="00D53E0B">
        <w:t>Presented at the 35th Annual National Association of Abandoned Mine Land Programs Conference.</w:t>
      </w:r>
    </w:p>
    <w:p w14:paraId="31A79C9A"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t>Hedin RS (2008) Iron removal by a passive system treating alkaline coal mine drainage. Mine Water Environ 27:200-209.</w:t>
      </w:r>
    </w:p>
    <w:p w14:paraId="062F9465" w14:textId="77777777" w:rsidR="00B90DD9" w:rsidRPr="00D53E0B" w:rsidRDefault="00B90DD9" w:rsidP="00D53E0B">
      <w:pPr>
        <w:widowControl w:val="0"/>
        <w:autoSpaceDE w:val="0"/>
        <w:autoSpaceDN w:val="0"/>
        <w:adjustRightInd w:val="0"/>
        <w:spacing w:line="240" w:lineRule="auto"/>
        <w:jc w:val="both"/>
        <w:rPr>
          <w:rFonts w:cs="Calibri"/>
          <w:noProof/>
        </w:rPr>
      </w:pPr>
      <w:r w:rsidRPr="00D53E0B">
        <w:rPr>
          <w:rFonts w:cs="Calibri"/>
          <w:noProof/>
        </w:rPr>
        <w:t xml:space="preserve">Hedin RS, Nairn RW. 1992. Designing and Sizing Passive Mine Drainage Treatment Systems. </w:t>
      </w:r>
      <w:r w:rsidRPr="00D53E0B">
        <w:t>U.S. Bureau of Mines, Pittsburgh Research Center</w:t>
      </w:r>
      <w:r w:rsidRPr="00D53E0B">
        <w:rPr>
          <w:rFonts w:cs="Calibri"/>
          <w:noProof/>
        </w:rPr>
        <w:t xml:space="preserve"> </w:t>
      </w:r>
    </w:p>
    <w:p w14:paraId="6A5C8F00"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Kadlec RH, Wallace SD. 2009. Treatment Wetlands, Second Edition.</w:t>
      </w:r>
    </w:p>
    <w:p w14:paraId="7BE6E88F"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Kirby CS, Dennis  a., Kahler  a. 2009. Aeration to degas CO2, increase pH, and increase iron oxidation rates for efficient treatment of net alkaline mine drainage. Appl. Geochemistry 24:1175–1184.</w:t>
      </w:r>
    </w:p>
    <w:p w14:paraId="6474B5ED"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Lenoble V, Bouras O, Deluchat V, Serpaud B, Bollinger J-C. 2002. Arsenic adsorption onto pillared clays and iron oxides. J. Colloid Interface Sci. 255:52–58.</w:t>
      </w:r>
    </w:p>
    <w:p w14:paraId="6C74283A"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Liang L, Morgan JJ. 1990. Chemical aspects of iron oxide coagulation in water: Laboratory studies and implications for natural systems. Aquat. Sci. 52:32–55.</w:t>
      </w:r>
    </w:p>
    <w:p w14:paraId="3F381ED3"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Manceau A, Charlet L, Boisset MC, Didier B, Spadini L. 1992. Sorption and speciation of heavy metals on hydrous Fe and Mn oxides. From microscopic to macroscopic. Appl. Clay Sci. 7:201–223.</w:t>
      </w:r>
    </w:p>
    <w:p w14:paraId="670351E7"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Manyin T, Williams FM, Stark LR. 1997. Effects of iron concentration and flow rate on treatment of coal mine drainage in wetland mesocosms: An experimental approach to sizing of constructed wetlands. Ecol. Eng. 9:171–185.</w:t>
      </w:r>
    </w:p>
    <w:p w14:paraId="0569EF2D"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 xml:space="preserve">Matthies R, Aplin AC, Jarvis AP. 2010. Performance of a passive treatment system for net-acidic coal mine drainage over five years of operation. Sci. Total Environ. 408:4877–85. </w:t>
      </w:r>
    </w:p>
    <w:p w14:paraId="4C09462C"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Nairn, RW. OSullivan, AD. Coffey, J. 2002. Iron oxidation in CO2 rich net alkaline mine waters. Poster Presented at the Amercian Society of Mining and Reclaimation, 1133-1136.</w:t>
      </w:r>
    </w:p>
    <w:p w14:paraId="1AD5E200"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Nordstrom DK. 2011. Hydrogeochemical processes governing the origin, transport and fate of major and trace elements from mine wastes and mineralized rock to surface waters. Appl. Geochemistry 26:1777–1791.</w:t>
      </w:r>
    </w:p>
    <w:p w14:paraId="1A4BCF94" w14:textId="77777777" w:rsidR="00B90DD9" w:rsidRDefault="00B90DD9" w:rsidP="00066C60">
      <w:pPr>
        <w:widowControl w:val="0"/>
        <w:autoSpaceDE w:val="0"/>
        <w:autoSpaceDN w:val="0"/>
        <w:adjustRightInd w:val="0"/>
        <w:spacing w:before="100" w:after="100" w:line="240" w:lineRule="auto"/>
        <w:jc w:val="both"/>
      </w:pPr>
      <w:proofErr w:type="spellStart"/>
      <w:r>
        <w:t>Schwertmann</w:t>
      </w:r>
      <w:proofErr w:type="spellEnd"/>
      <w:r>
        <w:t xml:space="preserve">, U., </w:t>
      </w:r>
      <w:proofErr w:type="spellStart"/>
      <w:r>
        <w:t>Cambier</w:t>
      </w:r>
      <w:proofErr w:type="spellEnd"/>
      <w:r>
        <w:t xml:space="preserve">, P. and </w:t>
      </w:r>
      <w:proofErr w:type="spellStart"/>
      <w:r>
        <w:t>iMurad</w:t>
      </w:r>
      <w:proofErr w:type="spellEnd"/>
      <w:r>
        <w:t xml:space="preserve">, E. (1985) Properties of </w:t>
      </w:r>
      <w:proofErr w:type="spellStart"/>
      <w:r>
        <w:t>goethites</w:t>
      </w:r>
      <w:proofErr w:type="spellEnd"/>
      <w:r>
        <w:t xml:space="preserve"> of varying crystallinity. Clays Clay Min. 33: 369-378. </w:t>
      </w:r>
    </w:p>
    <w:p w14:paraId="69670F5E" w14:textId="77777777" w:rsidR="00B90DD9"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Stumm W, Sulzberger B. 1992. The cycling of iron in natural environments: Considerations based on laboratory studies of heterogeneous redox processes. Geochim. Cosmochim. Acta 56:3233–3257.</w:t>
      </w:r>
    </w:p>
    <w:p w14:paraId="31C5889A"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Tarutis WJ, Stark LR, Williams FM. 1999. Sizing and performance estimation of coal mine drainage wetlands. Ecol. Eng. 12:353–372.</w:t>
      </w:r>
    </w:p>
    <w:p w14:paraId="021654AA"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 xml:space="preserve">US Environmental Protection Agency. 2016. USEPA: Site Information for Tar Creek (Ottawa Co). [accessed 2016 Sep 11]. </w:t>
      </w:r>
      <w:r>
        <w:rPr>
          <w:rFonts w:cs="Calibri"/>
          <w:noProof/>
        </w:rPr>
        <w:t>&lt;</w:t>
      </w:r>
      <w:r w:rsidRPr="00D53E0B">
        <w:rPr>
          <w:rFonts w:cs="Calibri"/>
          <w:noProof/>
        </w:rPr>
        <w:t>ht</w:t>
      </w:r>
      <w:r>
        <w:rPr>
          <w:rFonts w:cs="Calibri"/>
          <w:noProof/>
        </w:rPr>
        <w:t>tps://cumulis.epa.gov/supercpad&gt;</w:t>
      </w:r>
    </w:p>
    <w:p w14:paraId="2DBAB3A2"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Watzlaf GR, Schroeder KT, Kleinmann RLP, Kairies CL, Nairn RW, Street WB. 2004. The Passive Treatment of Coal Mine Drainage. :1–72.</w:t>
      </w:r>
      <w:r>
        <w:rPr>
          <w:rFonts w:cs="Calibri"/>
          <w:noProof/>
        </w:rPr>
        <w:t xml:space="preserve"> </w:t>
      </w:r>
      <w:r>
        <w:t>DOE/NETL-2004/1202</w:t>
      </w:r>
    </w:p>
    <w:p w14:paraId="6E8A1855"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 xml:space="preserve">Wieder, RK. 1993. Diel Changes in Iron(III)/Iron(II) in Effluent from Constructed Acid Drainage </w:t>
      </w:r>
      <w:r w:rsidRPr="00D53E0B">
        <w:rPr>
          <w:rFonts w:cs="Calibri"/>
          <w:noProof/>
        </w:rPr>
        <w:lastRenderedPageBreak/>
        <w:t xml:space="preserve">Treatment Wetlands. J. Environ. Qual. 23. </w:t>
      </w:r>
    </w:p>
    <w:p w14:paraId="42D4547D" w14:textId="77777777" w:rsidR="00B90DD9" w:rsidRPr="00D53E0B" w:rsidRDefault="00B90DD9" w:rsidP="00066C60">
      <w:pPr>
        <w:widowControl w:val="0"/>
        <w:autoSpaceDE w:val="0"/>
        <w:autoSpaceDN w:val="0"/>
        <w:adjustRightInd w:val="0"/>
        <w:spacing w:before="100" w:after="100" w:line="240" w:lineRule="auto"/>
        <w:jc w:val="both"/>
        <w:rPr>
          <w:rFonts w:cs="Arial"/>
          <w:shd w:val="clear" w:color="auto" w:fill="FFFFFF"/>
        </w:rPr>
      </w:pPr>
      <w:r w:rsidRPr="00D53E0B">
        <w:rPr>
          <w:rFonts w:cs="Calibri"/>
          <w:noProof/>
        </w:rPr>
        <w:t xml:space="preserve">Younger P. Banwart, S. Hedin R. 2002. Mine Water: Hydrology, Pollution, Remediation. Volume 5. </w:t>
      </w:r>
      <w:r w:rsidRPr="00D53E0B">
        <w:rPr>
          <w:rFonts w:cs="Arial"/>
          <w:shd w:val="clear" w:color="auto" w:fill="FFFFFF"/>
        </w:rPr>
        <w:t xml:space="preserve">Springer </w:t>
      </w:r>
      <w:proofErr w:type="spellStart"/>
      <w:r w:rsidRPr="00D53E0B">
        <w:rPr>
          <w:rFonts w:cs="Arial"/>
          <w:shd w:val="clear" w:color="auto" w:fill="FFFFFF"/>
        </w:rPr>
        <w:t>Science+Business</w:t>
      </w:r>
      <w:proofErr w:type="spellEnd"/>
      <w:r w:rsidRPr="00D53E0B">
        <w:rPr>
          <w:rFonts w:cs="Arial"/>
          <w:shd w:val="clear" w:color="auto" w:fill="FFFFFF"/>
        </w:rPr>
        <w:t xml:space="preserve"> Media Dordrecht. P 150-167</w:t>
      </w:r>
    </w:p>
    <w:p w14:paraId="66BA108E" w14:textId="77777777" w:rsidR="00B90DD9" w:rsidRPr="00D53E0B" w:rsidRDefault="00B90DD9" w:rsidP="00066C60">
      <w:pPr>
        <w:widowControl w:val="0"/>
        <w:autoSpaceDE w:val="0"/>
        <w:autoSpaceDN w:val="0"/>
        <w:adjustRightInd w:val="0"/>
        <w:spacing w:before="100" w:after="100" w:line="240" w:lineRule="auto"/>
        <w:jc w:val="both"/>
        <w:rPr>
          <w:rFonts w:cs="Calibri"/>
          <w:noProof/>
        </w:rPr>
      </w:pPr>
      <w:r w:rsidRPr="00D53E0B">
        <w:rPr>
          <w:rFonts w:cs="Calibri"/>
          <w:noProof/>
        </w:rPr>
        <w:t>Younger PL. 2000. Nature and practical implications of heterogeneities in the geochemistry of zinc-rich, alkaline mine waters in an underground F-Pb mine in the UK. Appl. Geochemistry 15:1383–1397.</w:t>
      </w:r>
    </w:p>
    <w:p w14:paraId="7E9F6E62" w14:textId="09E47E34" w:rsidR="005A757A" w:rsidRDefault="00B90DD9" w:rsidP="00B90DD9">
      <w:pPr>
        <w:widowControl w:val="0"/>
        <w:autoSpaceDE w:val="0"/>
        <w:autoSpaceDN w:val="0"/>
        <w:adjustRightInd w:val="0"/>
        <w:spacing w:before="100" w:after="100" w:line="240" w:lineRule="auto"/>
        <w:jc w:val="both"/>
        <w:rPr>
          <w:rFonts w:eastAsia="Times New Roman" w:cstheme="minorHAnsi"/>
          <w:bCs/>
        </w:rPr>
      </w:pPr>
      <w:r w:rsidRPr="00D53E0B">
        <w:rPr>
          <w:rFonts w:cs="Calibri"/>
          <w:noProof/>
        </w:rPr>
        <w:t>Ziemkiewicz P., J.G S, Simmons J. 2003. Long-term Performance of Passive Acid Mine Drainage Treatment Systems. J. Mine Water Environ. 22:118.129.</w:t>
      </w:r>
      <w:r w:rsidR="005A757A">
        <w:rPr>
          <w:rFonts w:cstheme="minorHAnsi"/>
          <w:bCs/>
        </w:rPr>
        <w:br w:type="page"/>
      </w:r>
    </w:p>
    <w:p w14:paraId="2F03AF38" w14:textId="77777777" w:rsidR="00A90E7E" w:rsidRPr="00A90E7E" w:rsidRDefault="00A90E7E" w:rsidP="00A90E7E">
      <w:pPr>
        <w:keepNext/>
        <w:keepLines/>
        <w:spacing w:before="240" w:after="0"/>
        <w:outlineLvl w:val="0"/>
        <w:rPr>
          <w:rFonts w:asciiTheme="majorHAnsi" w:eastAsiaTheme="majorEastAsia" w:hAnsiTheme="majorHAnsi" w:cstheme="majorBidi"/>
          <w:b/>
          <w:sz w:val="24"/>
          <w:szCs w:val="32"/>
        </w:rPr>
      </w:pPr>
      <w:r w:rsidRPr="00A90E7E">
        <w:rPr>
          <w:rFonts w:asciiTheme="majorHAnsi" w:eastAsiaTheme="majorEastAsia" w:hAnsiTheme="majorHAnsi" w:cstheme="majorBidi"/>
          <w:b/>
          <w:sz w:val="24"/>
          <w:szCs w:val="32"/>
        </w:rPr>
        <w:lastRenderedPageBreak/>
        <w:t>Chapter 3: Storm Event-Driven Metal Transport Dynamics Between Oxidative Treatment Cells</w:t>
      </w:r>
    </w:p>
    <w:p w14:paraId="3B65CEB6" w14:textId="77777777" w:rsidR="00A90E7E" w:rsidRPr="00A90E7E" w:rsidRDefault="00A90E7E" w:rsidP="00A90E7E"/>
    <w:p w14:paraId="4BB7EE03" w14:textId="52F3B07C" w:rsidR="00A90E7E" w:rsidRPr="00A90E7E" w:rsidRDefault="00A90E7E" w:rsidP="00A90E7E">
      <w:r w:rsidRPr="00A90E7E">
        <w:t xml:space="preserve">This chapter has been formatted in compliance with the journal of </w:t>
      </w:r>
      <w:r w:rsidRPr="00A90E7E">
        <w:rPr>
          <w:i/>
        </w:rPr>
        <w:t>Ecological Engineering</w:t>
      </w:r>
      <w:r w:rsidRPr="00A90E7E">
        <w:t xml:space="preserve"> for submission. </w:t>
      </w:r>
    </w:p>
    <w:p w14:paraId="6A32D762" w14:textId="77777777" w:rsidR="00A90E7E" w:rsidRPr="00A90E7E" w:rsidRDefault="00A90E7E" w:rsidP="00A90E7E"/>
    <w:p w14:paraId="3B7DB2D4" w14:textId="77777777" w:rsidR="00A90E7E" w:rsidRPr="00A90E7E" w:rsidRDefault="00A90E7E" w:rsidP="00A90E7E">
      <w:pPr>
        <w:keepNext/>
        <w:keepLines/>
        <w:spacing w:before="240" w:after="0"/>
        <w:outlineLvl w:val="0"/>
        <w:rPr>
          <w:rFonts w:asciiTheme="majorHAnsi" w:eastAsiaTheme="majorEastAsia" w:hAnsiTheme="majorHAnsi" w:cstheme="majorBidi"/>
          <w:b/>
          <w:sz w:val="24"/>
          <w:szCs w:val="32"/>
        </w:rPr>
      </w:pPr>
      <w:r w:rsidRPr="00A90E7E">
        <w:rPr>
          <w:rFonts w:asciiTheme="majorHAnsi" w:eastAsiaTheme="majorEastAsia" w:hAnsiTheme="majorHAnsi" w:cstheme="majorBidi"/>
          <w:b/>
          <w:sz w:val="24"/>
          <w:szCs w:val="32"/>
        </w:rPr>
        <w:t>Abstract</w:t>
      </w:r>
    </w:p>
    <w:p w14:paraId="60423BE4" w14:textId="77777777" w:rsidR="00A90E7E" w:rsidRPr="00A90E7E" w:rsidRDefault="00A90E7E" w:rsidP="00A90E7E">
      <w:pPr>
        <w:spacing w:before="100" w:beforeAutospacing="1" w:after="100" w:afterAutospacing="1" w:line="480" w:lineRule="auto"/>
        <w:ind w:right="43"/>
        <w:jc w:val="both"/>
        <w:rPr>
          <w:rFonts w:eastAsia="Times New Roman" w:cstheme="minorHAnsi"/>
        </w:rPr>
      </w:pPr>
      <w:r w:rsidRPr="00A90E7E">
        <w:rPr>
          <w:rFonts w:eastAsia="Times New Roman" w:cstheme="minorHAnsi"/>
        </w:rPr>
        <w:t>Iron oxidation, hydrolysis and settling are key processes promoted in passive treatment systems (PTS) to remove iron from influent acid mine drainage (AMD). Intense storm events have been qualitatively observed to transport iron and thus storms may impact routine sample collection and monitoring of oxidation cells within PTS. The purpose of this study was to investigate iron transport between the preliminary oxidative treatment cell and the surface flow wetland cells, iron export out of the oxidative unit, and iron loading via the PTS effluent discharge into a tributary of Tar Creek. Ottawa County, OK. Automatic samplers were installed at the effluent of the preliminary oxidation cell, secondary aerobic wetlands, and treatment system to collect total metals samples when rainfall intensity exceeded 0.25 cm/hour for 35 hours.  Laboratory determination of total metals produced a series of transport profiles for individual storm events and the total amount of iron transport was approximated with respect to a rainfall intensity classification system (low: 0.25-0.99 cm/</w:t>
      </w:r>
      <w:proofErr w:type="spellStart"/>
      <w:r w:rsidRPr="00A90E7E">
        <w:rPr>
          <w:rFonts w:eastAsia="Times New Roman" w:cstheme="minorHAnsi"/>
        </w:rPr>
        <w:t>hr</w:t>
      </w:r>
      <w:proofErr w:type="spellEnd"/>
      <w:r w:rsidRPr="00A90E7E">
        <w:rPr>
          <w:rFonts w:eastAsia="Times New Roman" w:cstheme="minorHAnsi"/>
        </w:rPr>
        <w:t>; moderate: 1.00-1.99 cm/</w:t>
      </w:r>
      <w:proofErr w:type="spellStart"/>
      <w:r w:rsidRPr="00A90E7E">
        <w:rPr>
          <w:rFonts w:eastAsia="Times New Roman" w:cstheme="minorHAnsi"/>
        </w:rPr>
        <w:t>hr</w:t>
      </w:r>
      <w:proofErr w:type="spellEnd"/>
      <w:r w:rsidRPr="00A90E7E">
        <w:rPr>
          <w:rFonts w:eastAsia="Times New Roman" w:cstheme="minorHAnsi"/>
        </w:rPr>
        <w:t>; high: 2.00-2.99 cm/</w:t>
      </w:r>
      <w:proofErr w:type="spellStart"/>
      <w:r w:rsidRPr="00A90E7E">
        <w:rPr>
          <w:rFonts w:eastAsia="Times New Roman" w:cstheme="minorHAnsi"/>
        </w:rPr>
        <w:t>hr</w:t>
      </w:r>
      <w:proofErr w:type="spellEnd"/>
      <w:r w:rsidRPr="00A90E7E">
        <w:rPr>
          <w:rFonts w:eastAsia="Times New Roman" w:cstheme="minorHAnsi"/>
        </w:rPr>
        <w:t>; extreme: &gt;3.00 cm/</w:t>
      </w:r>
      <w:proofErr w:type="spellStart"/>
      <w:r w:rsidRPr="00A90E7E">
        <w:rPr>
          <w:rFonts w:eastAsia="Times New Roman" w:cstheme="minorHAnsi"/>
        </w:rPr>
        <w:t>hr</w:t>
      </w:r>
      <w:proofErr w:type="spellEnd"/>
      <w:r w:rsidRPr="00A90E7E">
        <w:rPr>
          <w:rFonts w:eastAsia="Times New Roman" w:cstheme="minorHAnsi"/>
        </w:rPr>
        <w:t xml:space="preserve">). The mass of iron transported during individual storm events was significant when compared to baseline values for storms of all intensity classifications. The mass loading of storm-induced iron into the receiving stream was minimal as the majority of iron was removed in Cells 1 and 2N/2S rather than relying on Cell 6 for removal. The amount of iron transported did not correlate to rainfall intensity, so low intensity storms controlled storm-induced iron transport as they are more frequent than moderate, high, and extreme events. The independence of storm induced transport with </w:t>
      </w:r>
      <w:r w:rsidRPr="00A90E7E">
        <w:rPr>
          <w:rFonts w:eastAsia="Times New Roman" w:cstheme="minorHAnsi"/>
        </w:rPr>
        <w:lastRenderedPageBreak/>
        <w:t xml:space="preserve">respect to rainfall intensity suggests a transport mechanism based on settling disruption rather than solids resuspension. </w:t>
      </w:r>
    </w:p>
    <w:p w14:paraId="6800819A" w14:textId="77777777" w:rsidR="00A90E7E" w:rsidRPr="00A90E7E" w:rsidRDefault="00A90E7E" w:rsidP="00A90E7E">
      <w:pPr>
        <w:keepNext/>
        <w:keepLines/>
        <w:spacing w:before="240" w:after="0"/>
        <w:outlineLvl w:val="0"/>
        <w:rPr>
          <w:rFonts w:asciiTheme="majorHAnsi" w:eastAsiaTheme="majorEastAsia" w:hAnsiTheme="majorHAnsi" w:cstheme="majorBidi"/>
          <w:b/>
          <w:sz w:val="24"/>
          <w:szCs w:val="32"/>
        </w:rPr>
      </w:pPr>
      <w:r w:rsidRPr="00A90E7E">
        <w:rPr>
          <w:rFonts w:asciiTheme="majorHAnsi" w:eastAsiaTheme="majorEastAsia" w:hAnsiTheme="majorHAnsi" w:cstheme="majorBidi"/>
          <w:b/>
          <w:sz w:val="24"/>
          <w:szCs w:val="32"/>
        </w:rPr>
        <w:t>Introduction</w:t>
      </w:r>
    </w:p>
    <w:p w14:paraId="7678E0BC" w14:textId="77777777" w:rsidR="00A90E7E" w:rsidRPr="00A90E7E" w:rsidRDefault="00A90E7E" w:rsidP="00A90E7E"/>
    <w:p w14:paraId="16528CCD" w14:textId="77777777" w:rsidR="00A90E7E" w:rsidRPr="00A90E7E" w:rsidRDefault="00A90E7E" w:rsidP="00A90E7E">
      <w:pPr>
        <w:spacing w:line="480" w:lineRule="auto"/>
        <w:jc w:val="both"/>
        <w:rPr>
          <w:rFonts w:cs="Arial"/>
        </w:rPr>
      </w:pPr>
      <w:r w:rsidRPr="00A90E7E">
        <w:rPr>
          <w:rFonts w:cs="Arial"/>
        </w:rPr>
        <w:t xml:space="preserve">Passive treatment systems are designed to remediate acid mine drainage (AMD) using physical, chemical, and biological processes selected for optimized metals removal and alkalinity generation </w:t>
      </w:r>
      <w:r w:rsidRPr="00A90E7E">
        <w:rPr>
          <w:rFonts w:cs="Arial"/>
        </w:rPr>
        <w:fldChar w:fldCharType="begin" w:fldLock="1"/>
      </w:r>
      <w:r w:rsidRPr="00A90E7E">
        <w:rPr>
          <w:rFonts w:cs="Arial"/>
        </w:rPr>
        <w:instrText>ADDIN CSL_CITATION { "citationItems" : [ { "id" : "ITEM-1", "itemData" : { "DOI" : "10.2134/jeq1994.00472425002300060030x", "ISSN" : "0047-2425", "author" : [ { "dropping-particle" : "", "family" : "Hedin", "given" : "Robert S.", "non-dropping-particle" : "", "parse-names" : false, "suffix" : "" }, { "dropping-particle" : "", "family" : "Watzlaf", "given" : "George R.", "non-dropping-particle" : "", "parse-names" : false, "suffix" : "" }, { "dropping-particle" : "", "family" : "Nairn", "given" : "Robert W.", "non-dropping-particle" : "", "parse-names" : false, "suffix" : "" } ], "container-title" : "Journal of Environment Quality", "id" : "ITEM-1", "issued" : { "date-parts" : [ [ "1994" ] ] }, "page" : "1338", "title" : "Passive Treatment of Acid Mine Drainage with Limestone", "type" : "article-journal", "volume" : "23" }, "uris" : [ "http://www.mendeley.com/documents/?uuid=5fef71a1-84c8-4633-becc-970cb8dde40c" ] } ], "mendeley" : { "formattedCitation" : "(Hedin et al. 1994)", "plainTextFormattedCitation" : "(Hedin et al. 1994)", "previouslyFormattedCitation" : "(Hedin et al. 1994)" }, "properties" : { "noteIndex" : 0 }, "schema" : "https://github.com/citation-style-language/schema/raw/master/csl-citation.json" }</w:instrText>
      </w:r>
      <w:r w:rsidRPr="00A90E7E">
        <w:rPr>
          <w:rFonts w:cs="Arial"/>
        </w:rPr>
        <w:fldChar w:fldCharType="separate"/>
      </w:r>
      <w:r w:rsidRPr="00A90E7E">
        <w:rPr>
          <w:rFonts w:cs="Arial"/>
          <w:noProof/>
        </w:rPr>
        <w:t>(Hedin et al. 1994)</w:t>
      </w:r>
      <w:r w:rsidRPr="00A90E7E">
        <w:rPr>
          <w:rFonts w:cs="Arial"/>
        </w:rPr>
        <w:fldChar w:fldCharType="end"/>
      </w:r>
      <w:r w:rsidRPr="00A90E7E">
        <w:rPr>
          <w:rFonts w:cs="Arial"/>
        </w:rPr>
        <w:t xml:space="preserve">. Intensive study of influent water quality and quantity guide the selection and order of engineered treatment cells that alternate between the promotion of aerobic and anaerobic processes </w:t>
      </w:r>
      <w:r w:rsidRPr="00A90E7E">
        <w:rPr>
          <w:rFonts w:cs="Arial"/>
        </w:rPr>
        <w:fldChar w:fldCharType="begin" w:fldLock="1"/>
      </w:r>
      <w:r w:rsidRPr="00A90E7E">
        <w:rPr>
          <w:rFonts w:cs="Arial"/>
        </w:rPr>
        <w:instrText>ADDIN CSL_CITATION { "citationItems" : [ { "id" : "ITEM-1", "itemData" : { "author" : [ { "dropping-particle" : "", "family" : "Skousen, J. G., A. Sexstone", "given" : "P. F. Ziemkiewicz", "non-dropping-particle" : "", "parse-names" : false, "suffix" : "" } ], "container-title" : "Reclaimation of Drastically Disturbed Lands", "edition" : "1st", "editor" : [ { "dropping-particle" : "", "family" : "R. I. Barnhisel, R. G. Darmody", "given" : "W. L. Daniels", "non-dropping-particle" : "", "parse-names" : false, "suffix" : "" } ], "id" : "ITEM-1", "issued" : { "date-parts" : [ [ "2000" ] ] }, "page" : "131-168", "publisher" : "Agron. Monogr", "publisher-place" : "Madison, WI", "title" : "Acid Mine Drainage Control and Treatment", "type" : "chapter" }, "uris" : [ "http://www.mendeley.com/documents/?uuid=beabc861-2f62-457f-9aee-57ccda796fff" ] } ], "mendeley" : { "formattedCitation" : "(Skousen, J. G., A. Sexstone 2000)", "plainTextFormattedCitation" : "(Skousen, J. G., A. Sexstone 2000)", "previouslyFormattedCitation" : "(Skousen, J. G., A. Sexstone 2000)" }, "properties" : { "noteIndex" : 0 }, "schema" : "https://github.com/citation-style-language/schema/raw/master/csl-citation.json" }</w:instrText>
      </w:r>
      <w:r w:rsidRPr="00A90E7E">
        <w:rPr>
          <w:rFonts w:cs="Arial"/>
        </w:rPr>
        <w:fldChar w:fldCharType="separate"/>
      </w:r>
      <w:r w:rsidRPr="00A90E7E">
        <w:rPr>
          <w:rFonts w:cs="Arial"/>
          <w:noProof/>
        </w:rPr>
        <w:t>(Skousen and Sexstone 2000)</w:t>
      </w:r>
      <w:r w:rsidRPr="00A90E7E">
        <w:rPr>
          <w:rFonts w:cs="Arial"/>
        </w:rPr>
        <w:fldChar w:fldCharType="end"/>
      </w:r>
      <w:r w:rsidRPr="00A90E7E">
        <w:rPr>
          <w:rFonts w:cs="Arial"/>
        </w:rPr>
        <w:t>.  Oxidative treatment cells emphasize conditions that favor the removal of iron specifically, as iron is converted from the dissolved state (typically Fe</w:t>
      </w:r>
      <w:r w:rsidRPr="00A90E7E">
        <w:rPr>
          <w:rFonts w:cs="Arial"/>
          <w:vertAlign w:val="superscript"/>
        </w:rPr>
        <w:t>2+</w:t>
      </w:r>
      <w:r w:rsidRPr="00A90E7E">
        <w:rPr>
          <w:rFonts w:cs="Arial"/>
        </w:rPr>
        <w:t xml:space="preserve"> at </w:t>
      </w:r>
      <w:proofErr w:type="spellStart"/>
      <w:r w:rsidRPr="00A90E7E">
        <w:rPr>
          <w:rFonts w:cs="Arial"/>
        </w:rPr>
        <w:t>circumneutral</w:t>
      </w:r>
      <w:proofErr w:type="spellEnd"/>
      <w:r w:rsidRPr="00A90E7E">
        <w:rPr>
          <w:rFonts w:cs="Arial"/>
        </w:rPr>
        <w:t xml:space="preserve"> pH) to the solid state (</w:t>
      </w:r>
      <w:proofErr w:type="spellStart"/>
      <w:r w:rsidRPr="00A90E7E">
        <w:rPr>
          <w:rFonts w:cs="Arial"/>
        </w:rPr>
        <w:t>FeOOH</w:t>
      </w:r>
      <w:proofErr w:type="spellEnd"/>
      <w:r w:rsidRPr="00A90E7E">
        <w:rPr>
          <w:rFonts w:cs="Arial"/>
          <w:vertAlign w:val="subscript"/>
        </w:rPr>
        <w:t xml:space="preserve">(s) </w:t>
      </w:r>
      <w:r w:rsidRPr="00A90E7E">
        <w:rPr>
          <w:rFonts w:cs="Arial"/>
        </w:rPr>
        <w:t xml:space="preserve">particulates) via oxidation and hydrolysis reactions (Hedin et al. 1994; Equations 3.1, 3.2 and 3.3).  </w:t>
      </w:r>
    </w:p>
    <w:p w14:paraId="77F05BBA" w14:textId="77777777" w:rsidR="00A90E7E" w:rsidRPr="00A90E7E" w:rsidRDefault="00A90E7E" w:rsidP="00A90E7E">
      <w:pPr>
        <w:spacing w:line="480" w:lineRule="auto"/>
        <w:ind w:firstLine="720"/>
        <w:jc w:val="both"/>
      </w:pPr>
      <w:r w:rsidRPr="00A90E7E">
        <w:t>4Fe</w:t>
      </w:r>
      <w:r w:rsidRPr="00A90E7E">
        <w:rPr>
          <w:vertAlign w:val="superscript"/>
        </w:rPr>
        <w:t>2+</w:t>
      </w:r>
      <w:r w:rsidRPr="00A90E7E">
        <w:t xml:space="preserve"> + O</w:t>
      </w:r>
      <w:r w:rsidRPr="00A90E7E">
        <w:rPr>
          <w:vertAlign w:val="subscript"/>
        </w:rPr>
        <w:t>2</w:t>
      </w:r>
      <w:r w:rsidRPr="00A90E7E">
        <w:t xml:space="preserve"> + 4H</w:t>
      </w:r>
      <w:r w:rsidRPr="00A90E7E">
        <w:rPr>
          <w:vertAlign w:val="superscript"/>
        </w:rPr>
        <w:t>+</w:t>
      </w:r>
      <w:r w:rsidRPr="00A90E7E">
        <w:t xml:space="preserve"> </w:t>
      </w:r>
      <w:r w:rsidRPr="00A90E7E">
        <w:sym w:font="Wingdings" w:char="F0E0"/>
      </w:r>
      <w:r w:rsidRPr="00A90E7E">
        <w:t xml:space="preserve"> 4Fe</w:t>
      </w:r>
      <w:r w:rsidRPr="00A90E7E">
        <w:rPr>
          <w:vertAlign w:val="superscript"/>
        </w:rPr>
        <w:t>3+</w:t>
      </w:r>
      <w:r w:rsidRPr="00A90E7E">
        <w:t xml:space="preserve"> + 2H</w:t>
      </w:r>
      <w:r w:rsidRPr="00A90E7E">
        <w:rPr>
          <w:vertAlign w:val="subscript"/>
        </w:rPr>
        <w:t>2</w:t>
      </w:r>
      <w:r w:rsidRPr="00A90E7E">
        <w:t xml:space="preserve">O                                                                         </w:t>
      </w:r>
      <w:r w:rsidRPr="00A90E7E">
        <w:rPr>
          <w:sz w:val="20"/>
        </w:rPr>
        <w:t xml:space="preserve"> (Equation 3.1) </w:t>
      </w:r>
    </w:p>
    <w:p w14:paraId="5AFBE4CE" w14:textId="77777777" w:rsidR="00A90E7E" w:rsidRPr="00A90E7E" w:rsidRDefault="00A90E7E" w:rsidP="00A90E7E">
      <w:pPr>
        <w:spacing w:line="480" w:lineRule="auto"/>
        <w:ind w:firstLine="720"/>
        <w:jc w:val="both"/>
      </w:pPr>
      <w:r w:rsidRPr="00A90E7E">
        <w:t>Fe</w:t>
      </w:r>
      <w:r w:rsidRPr="00A90E7E">
        <w:rPr>
          <w:vertAlign w:val="superscript"/>
        </w:rPr>
        <w:t>3+</w:t>
      </w:r>
      <w:r w:rsidRPr="00A90E7E">
        <w:t xml:space="preserve"> + 2H</w:t>
      </w:r>
      <w:r w:rsidRPr="00A90E7E">
        <w:rPr>
          <w:vertAlign w:val="subscript"/>
        </w:rPr>
        <w:t>2</w:t>
      </w:r>
      <w:r w:rsidRPr="00A90E7E">
        <w:t xml:space="preserve">O  </w:t>
      </w:r>
      <w:r w:rsidRPr="00A90E7E">
        <w:sym w:font="Wingdings" w:char="F0E0"/>
      </w:r>
      <w:r w:rsidRPr="00A90E7E">
        <w:t xml:space="preserve"> </w:t>
      </w:r>
      <w:proofErr w:type="spellStart"/>
      <w:r w:rsidRPr="00A90E7E">
        <w:t>FeOOH</w:t>
      </w:r>
      <w:proofErr w:type="spellEnd"/>
      <w:r w:rsidRPr="00A90E7E">
        <w:t>(s) + 3H</w:t>
      </w:r>
      <w:r w:rsidRPr="00A90E7E">
        <w:rPr>
          <w:vertAlign w:val="superscript"/>
        </w:rPr>
        <w:t xml:space="preserve">+ </w:t>
      </w:r>
      <w:r w:rsidRPr="00A90E7E">
        <w:t xml:space="preserve">                                                                          </w:t>
      </w:r>
      <w:r w:rsidRPr="00A90E7E">
        <w:rPr>
          <w:sz w:val="20"/>
        </w:rPr>
        <w:t xml:space="preserve">(Equation 3.2) </w:t>
      </w:r>
    </w:p>
    <w:p w14:paraId="0C85A4F5" w14:textId="77777777" w:rsidR="00A90E7E" w:rsidRPr="00A90E7E" w:rsidRDefault="00A90E7E" w:rsidP="00A90E7E">
      <w:pPr>
        <w:spacing w:line="480" w:lineRule="auto"/>
        <w:ind w:firstLine="720"/>
        <w:jc w:val="both"/>
        <w:rPr>
          <w:rFonts w:cs="Arial"/>
        </w:rPr>
      </w:pPr>
      <w:proofErr w:type="spellStart"/>
      <w:r w:rsidRPr="00A90E7E">
        <w:t>FeOOH</w:t>
      </w:r>
      <w:proofErr w:type="spellEnd"/>
      <w:r w:rsidRPr="00A90E7E">
        <w:t xml:space="preserve"> (suspended solid)  </w:t>
      </w:r>
      <w:r w:rsidRPr="00A90E7E">
        <w:sym w:font="Wingdings" w:char="F0E0"/>
      </w:r>
      <w:r w:rsidRPr="00A90E7E">
        <w:t xml:space="preserve">  </w:t>
      </w:r>
      <w:proofErr w:type="spellStart"/>
      <w:r w:rsidRPr="00A90E7E">
        <w:t>FeOOH</w:t>
      </w:r>
      <w:proofErr w:type="spellEnd"/>
      <w:r w:rsidRPr="00A90E7E">
        <w:t xml:space="preserve"> (settled solid)                                      </w:t>
      </w:r>
      <w:r w:rsidRPr="00A90E7E">
        <w:rPr>
          <w:sz w:val="20"/>
        </w:rPr>
        <w:t xml:space="preserve"> (Equation 3.3)</w:t>
      </w:r>
    </w:p>
    <w:p w14:paraId="7E15F09D" w14:textId="77777777" w:rsidR="00A90E7E" w:rsidRPr="00A90E7E" w:rsidRDefault="00A90E7E" w:rsidP="00A90E7E">
      <w:pPr>
        <w:spacing w:line="480" w:lineRule="auto"/>
        <w:jc w:val="both"/>
        <w:rPr>
          <w:rFonts w:cs="Arial"/>
        </w:rPr>
      </w:pPr>
      <w:r w:rsidRPr="00A90E7E">
        <w:rPr>
          <w:rFonts w:cs="Arial"/>
        </w:rPr>
        <w:t xml:space="preserve">The hydraulic flow rate though the passive treatment system governs the amount of time that water will remain in each treatment cell (hydraulic retention time or HRT) and is important to sedimentation basin sizing during the design phase of a project, as well as efficiency assessments during system operation </w:t>
      </w:r>
      <w:r w:rsidRPr="00A90E7E">
        <w:rPr>
          <w:rFonts w:cs="Arial"/>
        </w:rPr>
        <w:fldChar w:fldCharType="begin" w:fldLock="1"/>
      </w:r>
      <w:r w:rsidRPr="00A90E7E">
        <w:rPr>
          <w:rFonts w:cs="Arial"/>
        </w:rPr>
        <w:instrText>ADDIN CSL_CITATION { "citationItems" : [ { "id" : "ITEM-1", "itemData" : { "author" : [ { "dropping-particle" : "", "family" : "Rajat Kanti Chakraborti and Jagjit Kaur", "given" : "", "non-dropping-particle" : "", "parse-names" : false, "suffix" : "" } ], "container-title" : "Journal of Environmental Engineering", "id" : "ITEM-1", "issue" : "2", "issued" : { "date-parts" : [ [ "2014" ] ] }, "title" : "Noninvasive Measurement of Particle-Settling Velocity and Comparison with Stokes\u2019 Law", "type" : "article-journal", "volume" : "140" }, "uris" : [ "http://www.mendeley.com/documents/?uuid=0b5779d2-47b5-43bb-baca-14144762cb09" ] } ], "mendeley" : { "formattedCitation" : "(Rajat Kanti Chakraborti and Jagjit Kaur 2014)", "manualFormatting" : "( Chakraborti and Kaur 2014)", "plainTextFormattedCitation" : "(Rajat Kanti Chakraborti and Jagjit Kaur 2014)", "previouslyFormattedCitation" : "(Rajat Kanti Chakraborti and Jagjit Kaur 2014)" }, "properties" : { "noteIndex" : 0 }, "schema" : "https://github.com/citation-style-language/schema/raw/master/csl-citation.json" }</w:instrText>
      </w:r>
      <w:r w:rsidRPr="00A90E7E">
        <w:rPr>
          <w:rFonts w:cs="Arial"/>
        </w:rPr>
        <w:fldChar w:fldCharType="separate"/>
      </w:r>
      <w:r w:rsidRPr="00A90E7E">
        <w:rPr>
          <w:rFonts w:cs="Arial"/>
          <w:noProof/>
        </w:rPr>
        <w:t>( Chakraborti and Kaur 2014)</w:t>
      </w:r>
      <w:r w:rsidRPr="00A90E7E">
        <w:rPr>
          <w:rFonts w:cs="Arial"/>
        </w:rPr>
        <w:fldChar w:fldCharType="end"/>
      </w:r>
      <w:r w:rsidRPr="00A90E7E">
        <w:rPr>
          <w:rFonts w:cs="Arial"/>
        </w:rPr>
        <w:t xml:space="preserve">. </w:t>
      </w:r>
    </w:p>
    <w:p w14:paraId="2ABCBE48" w14:textId="77777777" w:rsidR="00A90E7E" w:rsidRPr="00A90E7E" w:rsidRDefault="00A90E7E" w:rsidP="00A90E7E">
      <w:pPr>
        <w:spacing w:line="480" w:lineRule="auto"/>
        <w:jc w:val="both"/>
        <w:rPr>
          <w:rFonts w:cs="Arial"/>
        </w:rPr>
      </w:pPr>
      <w:r w:rsidRPr="00A90E7E">
        <w:rPr>
          <w:rFonts w:cs="Arial"/>
        </w:rPr>
        <w:t xml:space="preserve">Solids retention in oxidative treatment cells is dependent on the rate of sedimentation for precipitates in addition to environmentally-influenced rates of iron oxidation, hydrolysis, and sedimentation (Equations 3.1-3.3). Stokes’ Law is applied to suspended solids fate and </w:t>
      </w:r>
      <w:r w:rsidRPr="00A90E7E">
        <w:rPr>
          <w:rFonts w:cs="Arial"/>
        </w:rPr>
        <w:lastRenderedPageBreak/>
        <w:t xml:space="preserve">transport where laminar flow conditions are met (Reynold’s number &lt;0.1, viscous forces dominant) with an emphasis on smooth, continuous flow for transport </w:t>
      </w:r>
      <w:r w:rsidRPr="00A90E7E">
        <w:rPr>
          <w:rFonts w:cs="Arial"/>
        </w:rPr>
        <w:fldChar w:fldCharType="begin" w:fldLock="1"/>
      </w:r>
      <w:r w:rsidRPr="00A90E7E">
        <w:rPr>
          <w:rFonts w:cs="Arial"/>
        </w:rPr>
        <w:instrText>ADDIN CSL_CITATION { "citationItems" : [ { "id" : "ITEM-1", "itemData" : { "DOI" : "10.1061/(ASCE)0733-9372(2003)129:3(222)", "ISBN" : "0733-9372", "ISSN" : "0733-9372", "abstract" : "Sphere drag data from throughout the twentieth century are available in tabular form. However, much of the data arose from experiments in small diameter cylindrical vessels, where the results might have been influenced by the wall effect. Wall effect corrections developed by others were applied to 178 of the 480 data points collected. This corrected data set is believed to be free of the influence of wall effects. Existing drag and settling velocity correlations were compared to this data set. In addition, new correlations of the same forms were developed using the corrected data. Two new correlations of sphere terminal velocity are proposed, one applicable for all Reynolds numbers less than 2 X 10(5), and the other designed to predict settling velocities with exceptional accuracy for terminal Reynolds numbers less than 4,000, a region that contains almost all applications of interest in environmental engineering. The trial and error solution for settling velocity using the Fair and Geyer equation for drag should be retired in favor of the direct calculation available from these new correlations.", "author" : [ { "dropping-particle" : "", "family" : "Brown", "given" : "Phillip P.", "non-dropping-particle" : "", "parse-names" : false, "suffix" : "" }, { "dropping-particle" : "", "family" : "Lawler", "given" : "Desmond F.", "non-dropping-particle" : "", "parse-names" : false, "suffix" : "" } ], "container-title" : "Journal of Environmental Engineering", "id" : "ITEM-1", "issue" : "3", "issued" : { "date-parts" : [ [ "2003" ] ] }, "page" : "222-231", "title" : "Sphere Drag and Settling Velocity Revisited", "type" : "article-journal", "volume" : "129" }, "uris" : [ "http://www.mendeley.com/documents/?uuid=3c4567c3-1ff0-4882-b7f6-e38f28edb18c" ] } ], "mendeley" : { "formattedCitation" : "(Brown and Lawler 2003)", "plainTextFormattedCitation" : "(Brown and Lawler 2003)", "previouslyFormattedCitation" : "(Brown and Lawler 2003)" }, "properties" : { "noteIndex" : 0 }, "schema" : "https://github.com/citation-style-language/schema/raw/master/csl-citation.json" }</w:instrText>
      </w:r>
      <w:r w:rsidRPr="00A90E7E">
        <w:rPr>
          <w:rFonts w:cs="Arial"/>
        </w:rPr>
        <w:fldChar w:fldCharType="separate"/>
      </w:r>
      <w:r w:rsidRPr="00A90E7E">
        <w:rPr>
          <w:rFonts w:cs="Arial"/>
          <w:noProof/>
        </w:rPr>
        <w:t>(Brown and Lawler 2003)</w:t>
      </w:r>
      <w:r w:rsidRPr="00A90E7E">
        <w:rPr>
          <w:rFonts w:cs="Arial"/>
        </w:rPr>
        <w:fldChar w:fldCharType="end"/>
      </w:r>
      <w:r w:rsidRPr="00A90E7E">
        <w:rPr>
          <w:rFonts w:cs="Arial"/>
        </w:rPr>
        <w:t>. Settling velocity of iron floc precipitates (V</w:t>
      </w:r>
      <w:r w:rsidRPr="00A90E7E">
        <w:rPr>
          <w:rFonts w:cs="Arial"/>
          <w:vertAlign w:val="subscript"/>
        </w:rPr>
        <w:t>s</w:t>
      </w:r>
      <w:r w:rsidRPr="00A90E7E">
        <w:rPr>
          <w:rFonts w:cs="Arial"/>
        </w:rPr>
        <w:t>, Equation 3.4) are dependent on particle diameter (d), density of the particle (</w:t>
      </w:r>
      <w:proofErr w:type="spellStart"/>
      <w:r w:rsidRPr="00A90E7E">
        <w:rPr>
          <w:rFonts w:cstheme="minorHAnsi"/>
        </w:rPr>
        <w:t>ρ</w:t>
      </w:r>
      <w:r w:rsidRPr="00A90E7E">
        <w:rPr>
          <w:rFonts w:cs="Arial"/>
          <w:vertAlign w:val="subscript"/>
        </w:rPr>
        <w:t>p</w:t>
      </w:r>
      <w:proofErr w:type="spellEnd"/>
      <w:r w:rsidRPr="00A90E7E">
        <w:rPr>
          <w:rFonts w:cs="Arial"/>
        </w:rPr>
        <w:t>), acceleration due to gravity (g), viscosity of the medium (</w:t>
      </w:r>
      <w:r w:rsidRPr="00A90E7E">
        <w:rPr>
          <w:rFonts w:cstheme="minorHAnsi"/>
        </w:rPr>
        <w:t>µ</w:t>
      </w:r>
      <w:r w:rsidRPr="00A90E7E">
        <w:rPr>
          <w:rFonts w:cs="Arial"/>
        </w:rPr>
        <w:t>) and density of the aqueous medium (</w:t>
      </w:r>
      <w:proofErr w:type="spellStart"/>
      <w:r w:rsidRPr="00A90E7E">
        <w:rPr>
          <w:rFonts w:cstheme="minorHAnsi"/>
        </w:rPr>
        <w:t>ρ</w:t>
      </w:r>
      <w:r w:rsidRPr="00A90E7E">
        <w:rPr>
          <w:rFonts w:cs="Arial"/>
          <w:vertAlign w:val="subscript"/>
        </w:rPr>
        <w:t>w</w:t>
      </w:r>
      <w:proofErr w:type="spellEnd"/>
      <w:r w:rsidRPr="00A90E7E">
        <w:rPr>
          <w:rFonts w:cs="Arial"/>
        </w:rPr>
        <w:t xml:space="preserve">) described by Stokes’ Law </w:t>
      </w:r>
      <w:r w:rsidRPr="00A90E7E">
        <w:rPr>
          <w:rFonts w:cs="Arial"/>
        </w:rPr>
        <w:fldChar w:fldCharType="begin" w:fldLock="1"/>
      </w:r>
      <w:r w:rsidRPr="00A90E7E">
        <w:rPr>
          <w:rFonts w:cs="Arial"/>
        </w:rPr>
        <w:instrText>ADDIN CSL_CITATION { "citationItems" : [ { "id" : "ITEM-1", "itemData" : { "DOI" : "10.1061/(ASCE)0733-9372(2007)133:8(800)", "ISSN" : "07339372", "abstract" : "Characterization of the particle population for a location in a water supply reservoir, Kensico Reservoir, N.Y., is documented for a high turbidity event, from its onset, through alum treatment and its waning. Supporting in situ measurements included the beam attenuation coefficient at 670 nm(c&lt;sub&gt;670&lt;/sub&gt;) and 660 nm(c&lt;sub&gt;660&lt;/sub&gt;) [surrogates of turbidity (T&lt;sub&gt;n&lt;/sub&gt;)], particle concentrations (N) and size distributions (PSDs), and size class specific settling velocities (SVs). Laboratory measurements included chemical and morphometric analyses of individual particles, and routine measurements of T&lt;sub&gt;n&lt;/sub&gt;. The turbidity is shown to be primarily derived from clay minerals, mostly in the size range of 1.5\u20136 \u03bcm. An initial high c&lt;sub&gt;670&lt;/sub&gt; level (40 m&lt;sup&gt;-1&lt;/sup&gt;;T&lt;sub&gt;n&lt;/sub&gt;\u223c100 NTU) decreased sevenfold in less than 1 week in response to alum treatment that largely eliminated the particle size classes responsible for the elevated turbidity. Successful SV experiments, made using a laser in situ scattering and transmissometry (LISST) instrument, for seven particle size classes in the range of 1.25\u2013129 \u03bcm yielded SV values of 0.17\u201369.4 m day&lt;sup&gt;-1&lt;/sup&gt;. Size classes larger than \u223c5 \u03bcm settled much slower than Stokes law predictions, before alum treatment, indicating that these classes existed as porous flocs or aggregates. Decreases in SVs following treatment suggest changes in floc character consistent with increased porosity. In situ measurements of c&lt;sub&gt;670&lt;/sub&gt;, N, PSDs, and SVs can contribute to the development and testing of a multiple particle size class model to simulate fate, transport, and impacts of suspended particles. [ABSTRACT FROM AUTHOR]\\nCopyright of Journal of Environmental Engineering is the property of American Society of Civil Engineers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"author" : [ { "dropping-particle" : "", "family" : "Perkins", "given" : "MaryGail", "non-dropping-particle" : "", "parse-names" : false, "suffix" : "" }, { "dropping-particle" : "", "family" : "Effler", "given" : "Steven W.", "non-dropping-particle" : "", "parse-names" : false, "suffix" : "" }, { "dropping-particle" : "", "family" : "Peng", "given" : "Feng", "non-dropping-particle" : "", "parse-names" : false, "suffix" : "" }, { "dropping-particle" : "", "family" : "Pierson", "given" : "Donald", "non-dropping-particle" : "", "parse-names" : false, "suffix" : "" }, { "dropping-particle" : "", "family" : "Smith", "given" : "David G.", "non-dropping-particle" : "", "parse-names" : false, "suffix" : "" }, { "dropping-particle" : "", "family" : "Agrawal", "given" : "Yogesh C.", "non-dropping-particle" : "", "parse-names" : false, "suffix" : "" } ], "container-title" : "Journal of Environmental Engineering", "id" : "ITEM-1", "issue" : "8", "issued" : { "date-parts" : [ [ "2007" ] ] }, "page" : "800-808", "title" : "Particle Characterization and Settling Velocities for a Water Supply Reservoir during a Turbidity Event.", "type" : "article-journal", "volume" : "133" }, "uris" : [ "http://www.mendeley.com/documents/?uuid=eec3e35e-e215-4af9-84d0-3dc2b5db4d1b" ] } ], "mendeley" : { "formattedCitation" : "(Perkins et al. 2007)", "plainTextFormattedCitation" : "(Perkins et al. 2007)", "previouslyFormattedCitation" : "(Perkins et al. 2007)" }, "properties" : { "noteIndex" : 0 }, "schema" : "https://github.com/citation-style-language/schema/raw/master/csl-citation.json" }</w:instrText>
      </w:r>
      <w:r w:rsidRPr="00A90E7E">
        <w:rPr>
          <w:rFonts w:cs="Arial"/>
        </w:rPr>
        <w:fldChar w:fldCharType="separate"/>
      </w:r>
      <w:r w:rsidRPr="00A90E7E">
        <w:rPr>
          <w:rFonts w:cs="Arial"/>
          <w:noProof/>
        </w:rPr>
        <w:t>(Perkins et al. 2007)</w:t>
      </w:r>
      <w:r w:rsidRPr="00A90E7E">
        <w:rPr>
          <w:rFonts w:cs="Arial"/>
        </w:rPr>
        <w:fldChar w:fldCharType="end"/>
      </w:r>
      <w:r w:rsidRPr="00A90E7E">
        <w:rPr>
          <w:rFonts w:cs="Arial"/>
        </w:rPr>
        <w:t xml:space="preserve">. Setting rates can also be empirically measured </w:t>
      </w:r>
      <w:r w:rsidRPr="00A90E7E">
        <w:rPr>
          <w:rFonts w:cs="Arial"/>
          <w:i/>
        </w:rPr>
        <w:t>in situ</w:t>
      </w:r>
      <w:r w:rsidRPr="00A90E7E">
        <w:rPr>
          <w:rFonts w:cs="Arial"/>
        </w:rPr>
        <w:t xml:space="preserve"> or from grab samples </w:t>
      </w:r>
      <w:r w:rsidRPr="00A90E7E">
        <w:rPr>
          <w:rFonts w:cs="Arial"/>
        </w:rPr>
        <w:fldChar w:fldCharType="begin" w:fldLock="1"/>
      </w:r>
      <w:r w:rsidRPr="00A90E7E">
        <w:rPr>
          <w:rFonts w:cs="Arial"/>
        </w:rPr>
        <w:instrText>ADDIN CSL_CITATION { "citationItems" : [ { "id" : "ITEM-1", "itemData" : { "author" : [ { "dropping-particle" : "", "family" : "Rajat Kanti Chakraborti and Jagjit Kaur", "given" : "", "non-dropping-particle" : "", "parse-names" : false, "suffix" : "" } ], "container-title" : "Journal of Environmental Engineering", "id" : "ITEM-1", "issue" : "2", "issued" : { "date-parts" : [ [ "2014" ] ] }, "title" : "Noninvasive Measurement of Particle-Settling Velocity and Comparison with Stokes\u2019 Law", "type" : "article-journal", "volume" : "140" }, "uris" : [ "http://www.mendeley.com/documents/?uuid=0b5779d2-47b5-43bb-baca-14144762cb09" ] } ], "mendeley" : { "formattedCitation" : "(Rajat Kanti Chakraborti and Jagjit Kaur 2014)", "manualFormatting" : "(Chakraborti and Kaur 2014)", "plainTextFormattedCitation" : "(Rajat Kanti Chakraborti and Jagjit Kaur 2014)", "previouslyFormattedCitation" : "(Rajat Kanti Chakraborti and Jagjit Kaur 2014)" }, "properties" : { "noteIndex" : 0 }, "schema" : "https://github.com/citation-style-language/schema/raw/master/csl-citation.json" }</w:instrText>
      </w:r>
      <w:r w:rsidRPr="00A90E7E">
        <w:rPr>
          <w:rFonts w:cs="Arial"/>
        </w:rPr>
        <w:fldChar w:fldCharType="separate"/>
      </w:r>
      <w:r w:rsidRPr="00A90E7E">
        <w:rPr>
          <w:rFonts w:cs="Arial"/>
          <w:noProof/>
        </w:rPr>
        <w:t>(Chakraborti and Kaur 2014)</w:t>
      </w:r>
      <w:r w:rsidRPr="00A90E7E">
        <w:rPr>
          <w:rFonts w:cs="Arial"/>
        </w:rPr>
        <w:fldChar w:fldCharType="end"/>
      </w:r>
      <w:r w:rsidRPr="00A90E7E">
        <w:rPr>
          <w:rFonts w:cs="Arial"/>
        </w:rPr>
        <w:t xml:space="preserve">; </w:t>
      </w:r>
      <w:r w:rsidRPr="00A90E7E">
        <w:rPr>
          <w:rFonts w:cs="Arial"/>
        </w:rPr>
        <w:fldChar w:fldCharType="begin" w:fldLock="1"/>
      </w:r>
      <w:r w:rsidRPr="00A90E7E">
        <w:rPr>
          <w:rFonts w:cs="Arial"/>
        </w:rPr>
        <w:instrText>ADDIN CSL_CITATION { "citationItems" : [ { "id" : "ITEM-1", "itemData" : { "DOI" : "10.1016/S0278-4343(00)00034-0", "ISBN" : "02784343 (ISSN)", "ISSN" : "02784343", "abstract" : "Temporal changes in floc size and settling velocity were measured in the Dollard estuary with an under water video camera. The results show that the flocs in the Dollard are very heterogeneous and that larger flocs have much lower effective densities than smaller flocs. Due to this density decrease, floc settling velocities show only a minor increase with increasing floc size. Floc sizes and settling velocities correlate with the suspended sediment concentration (SSC) on a tidal time scale, but not on a seasonal time scale. On a seasonal time scale floc sizes depend on the binding properties of the sediment, while floc settling velocities show hardly any variation, as an increase in floc size is mainly counterbalanced by a decrease in floc density. Tidal variations in settling velocity occur but cannot be modeled solely as a function of SSC, as the relation between floc size/settling velocity and SSC constantly changes in time and space. Settling velocity variations throughout the tide can however be expressed as a function of tidal phase. (C) 2000 Elsevier Science Ltd.", "author" : [ { "dropping-particle" : "", "family" : "Lee", "given" : "W. T B", "non-dropping-particle" : "Van der", "parse-names" : false, "suffix" : "" } ], "container-title" : "Continental Shelf Research", "id" : "ITEM-1", "issue" : "12-13", "issued" : { "date-parts" : [ [ "2000" ] ] }, "page" : "1495-1511", "title" : "Temporal variation of floc size and settling velocity in the Dollard estuary", "type" : "article-journal", "volume" : "20" }, "uris" : [ "http://www.mendeley.com/documents/?uuid=4cc14536-979a-4f43-bfd8-735ee9646733" ] } ], "mendeley" : { "formattedCitation" : "(Van der Lee 2000)", "manualFormatting" : "Van der Lee 2000)", "plainTextFormattedCitation" : "(Van der Lee 2000)", "previouslyFormattedCitation" : "(Van der Lee 2000)" }, "properties" : { "noteIndex" : 0 }, "schema" : "https://github.com/citation-style-language/schema/raw/master/csl-citation.json" }</w:instrText>
      </w:r>
      <w:r w:rsidRPr="00A90E7E">
        <w:rPr>
          <w:rFonts w:cs="Arial"/>
        </w:rPr>
        <w:fldChar w:fldCharType="separate"/>
      </w:r>
      <w:r w:rsidRPr="00A90E7E">
        <w:rPr>
          <w:rFonts w:cs="Arial"/>
          <w:noProof/>
        </w:rPr>
        <w:t>Van der Lee 2000)</w:t>
      </w:r>
      <w:r w:rsidRPr="00A90E7E">
        <w:rPr>
          <w:rFonts w:cs="Arial"/>
        </w:rPr>
        <w:fldChar w:fldCharType="end"/>
      </w:r>
      <w:r w:rsidRPr="00A90E7E">
        <w:rPr>
          <w:rFonts w:cs="Arial"/>
        </w:rPr>
        <w:t xml:space="preserve">. </w:t>
      </w:r>
    </w:p>
    <w:p w14:paraId="25DCA4C1" w14:textId="77777777" w:rsidR="00A90E7E" w:rsidRPr="00A90E7E" w:rsidRDefault="00147A98" w:rsidP="00A90E7E">
      <w:pPr>
        <w:spacing w:line="480" w:lineRule="auto"/>
        <w:jc w:val="both"/>
        <w:rPr>
          <w:rFonts w:cs="Arial"/>
        </w:rPr>
      </w:pPr>
      <m:oMath>
        <m:sSub>
          <m:sSubPr>
            <m:ctrlPr>
              <w:rPr>
                <w:rFonts w:ascii="Cambria Math" w:hAnsi="Cambria Math" w:cs="Arial"/>
                <w:i/>
              </w:rPr>
            </m:ctrlPr>
          </m:sSubPr>
          <m:e>
            <m:r>
              <w:rPr>
                <w:rFonts w:ascii="Cambria Math" w:hAnsi="Cambria Math" w:cs="Arial"/>
              </w:rPr>
              <m:t>V</m:t>
            </m:r>
          </m:e>
          <m:sub>
            <m:r>
              <w:rPr>
                <w:rFonts w:ascii="Cambria Math" w:hAnsi="Cambria Math" w:cs="Arial"/>
              </w:rPr>
              <m:t>s</m:t>
            </m:r>
          </m:sub>
        </m:sSub>
        <m:r>
          <w:rPr>
            <w:rFonts w:ascii="Cambria Math" w:hAnsi="Cambria Math" w:cs="Arial"/>
          </w:rPr>
          <m:t xml:space="preserve">= </m:t>
        </m:r>
        <m:f>
          <m:fPr>
            <m:ctrlPr>
              <w:rPr>
                <w:rFonts w:ascii="Cambria Math" w:hAnsi="Cambria Math" w:cs="Arial"/>
                <w:i/>
              </w:rPr>
            </m:ctrlPr>
          </m:fPr>
          <m:num>
            <m:r>
              <w:rPr>
                <w:rFonts w:ascii="Cambria Math" w:hAnsi="Cambria Math" w:cs="Arial"/>
              </w:rPr>
              <m:t>g</m:t>
            </m:r>
          </m:num>
          <m:den>
            <m:r>
              <w:rPr>
                <w:rFonts w:ascii="Cambria Math" w:hAnsi="Cambria Math" w:cs="Arial"/>
              </w:rPr>
              <m:t>18</m:t>
            </m:r>
          </m:den>
        </m:f>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ρ</m:t>
                    </m:r>
                  </m:e>
                  <m:sub>
                    <m:r>
                      <w:rPr>
                        <w:rFonts w:ascii="Cambria Math" w:hAnsi="Cambria Math" w:cs="Arial"/>
                      </w:rPr>
                      <m:t>s</m:t>
                    </m:r>
                  </m:sub>
                </m:sSub>
                <m:r>
                  <w:rPr>
                    <w:rFonts w:ascii="Cambria Math" w:hAnsi="Cambria Math" w:cs="Arial"/>
                  </w:rPr>
                  <m:t>-</m:t>
                </m:r>
                <m:sSub>
                  <m:sSubPr>
                    <m:ctrlPr>
                      <w:rPr>
                        <w:rFonts w:ascii="Cambria Math" w:hAnsi="Cambria Math" w:cs="Arial"/>
                        <w:i/>
                      </w:rPr>
                    </m:ctrlPr>
                  </m:sSubPr>
                  <m:e>
                    <m:r>
                      <w:rPr>
                        <w:rFonts w:ascii="Cambria Math" w:hAnsi="Cambria Math" w:cs="Arial"/>
                      </w:rPr>
                      <m:t>ρ</m:t>
                    </m:r>
                  </m:e>
                  <m:sub>
                    <m:r>
                      <w:rPr>
                        <w:rFonts w:ascii="Cambria Math" w:hAnsi="Cambria Math" w:cs="Arial"/>
                      </w:rPr>
                      <m:t>w</m:t>
                    </m:r>
                  </m:sub>
                </m:sSub>
              </m:num>
              <m:den>
                <m:r>
                  <w:rPr>
                    <w:rFonts w:ascii="Cambria Math" w:hAnsi="Cambria Math" w:cs="Arial"/>
                  </w:rPr>
                  <m:t>μ</m:t>
                </m:r>
              </m:den>
            </m:f>
          </m:e>
        </m:d>
        <m:sSup>
          <m:sSupPr>
            <m:ctrlPr>
              <w:rPr>
                <w:rFonts w:ascii="Cambria Math" w:hAnsi="Cambria Math" w:cs="Arial"/>
                <w:i/>
              </w:rPr>
            </m:ctrlPr>
          </m:sSupPr>
          <m:e>
            <m:r>
              <w:rPr>
                <w:rFonts w:ascii="Cambria Math" w:hAnsi="Cambria Math" w:cs="Arial"/>
              </w:rPr>
              <m:t>d</m:t>
            </m:r>
          </m:e>
          <m:sup>
            <m:r>
              <w:rPr>
                <w:rFonts w:ascii="Cambria Math" w:hAnsi="Cambria Math" w:cs="Arial"/>
              </w:rPr>
              <m:t>2</m:t>
            </m:r>
          </m:sup>
        </m:sSup>
      </m:oMath>
      <w:r w:rsidR="00A90E7E" w:rsidRPr="00A90E7E">
        <w:rPr>
          <w:rFonts w:eastAsiaTheme="minorEastAsia" w:cs="Arial"/>
        </w:rPr>
        <w:t xml:space="preserve">                                                                                                             </w:t>
      </w:r>
      <w:r w:rsidR="00A90E7E" w:rsidRPr="00A90E7E">
        <w:rPr>
          <w:rFonts w:eastAsiaTheme="minorEastAsia" w:cs="Arial"/>
          <w:sz w:val="20"/>
        </w:rPr>
        <w:t>(Equation 3.4)</w:t>
      </w:r>
    </w:p>
    <w:p w14:paraId="1CA9365D" w14:textId="77777777" w:rsidR="00A90E7E" w:rsidRPr="00A90E7E" w:rsidRDefault="00A90E7E" w:rsidP="00A90E7E">
      <w:pPr>
        <w:spacing w:line="480" w:lineRule="auto"/>
        <w:jc w:val="both"/>
        <w:rPr>
          <w:rFonts w:cs="Arial"/>
        </w:rPr>
      </w:pPr>
      <w:r w:rsidRPr="00A90E7E">
        <w:rPr>
          <w:rFonts w:cs="Arial"/>
        </w:rPr>
        <w:t xml:space="preserve">Oxidation ponds are designed to promote sedimentation of suspended iron flocs prior to reaching the point of discharge into the next treatment cell. Storage volume for accumulated solids is included into the design of the cell to ensure that the deposition and subsequent volume displacement by solids will not impair performance over time </w:t>
      </w:r>
      <w:r w:rsidRPr="00A90E7E">
        <w:rPr>
          <w:rFonts w:cs="Arial"/>
        </w:rPr>
        <w:fldChar w:fldCharType="begin" w:fldLock="1"/>
      </w:r>
      <w:r w:rsidRPr="00A90E7E">
        <w:rPr>
          <w:rFonts w:cs="Arial"/>
        </w:rPr>
        <w:instrText>ADDIN CSL_CITATION { "citationItems" : [ { "id" : "ITEM-1", "itemData" : { "abstract" : "The passive treatment of contaminated coal mine drainage is a rapidly growing and evolving technology. Passive systems typically require less operation and maintenance efforts and are less expensive than conventional treatment systems. Three principal types of passive technologies currently exist for the treatment of coal mine drainage: the aerobic system, the compost wetland, and the anoxic limestone drain.", "author" : [ { "dropping-particle" : "", "family" : "Hedin", "given" : "Robert S.", "non-dropping-particle" : "", "parse-names" : false, "suffix" : "" }, { "dropping-particle" : "", "family" : "Nairn", "given" : "Robert W.", "non-dropping-particle" : "", "parse-names" : false, "suffix" : "" } ], "id" : "ITEM-1", "issued" : { "date-parts" : [ [ "1992" ] ] }, "page" : "Online", "title" : "Designing and Sizing Passive Mine Drainage Treatment Systems", "type" : "article-journal" }, "uris" : [ "http://www.mendeley.com/documents/?uuid=255110f5-67f2-4158-8bef-f096ac8c30f4" ] }, { "id" : "ITEM-2", "itemData" : { "DOI" : "10.1007/s10230-009-0068-6", "ISBN" : "1025-9112", "ISSN" : "10259112", "abstract" : "In the UK, the Coal Authority has more than 40 mine water treatment\\nsystems, most of which are wetland systems with settlement lagoon\\npretreatment. The purpose of treatment in wetlands is the oxidation of\\nferrous to ferric iron and the subsequent hydrolysis and precipitation\\nof ferric hydroxide within the wetland. It is generally accepted (Hedin\\net al., Passive treatment of coal mine drainage, 1994, p 35; Skousen and\\nZiemkiewicz, Acid mine drainage control and treatment, 1996, p 362;\\nYounger et al., Mine water: hydrology, pollution, remediation, 2002, p\\n442) that this process proceeds by a first-order rate law, although most\\nsystems are designed based on an areal removal rate (10 g/m(2)/day)\\ndeveloped by the U.S. Bureau of Mines (Hedin et al., Passive treatment\\nof coal mine drainage, 1994, p 35); this design guideline inherently\\nassumes a constant removal rate. Given the actual kinetics of iron\\nremoval in wetlands, it follows that residence time will control iron\\nremoval; given the wide range of system geometries and aspects, it is\\nlogical to ascertain the actual hydraulic residence time of wetlands and\\nsettlement lagoons and determine the effect this has on iron removal. To\\nmake a preliminary assessment of this link, hydraulic residence time of\\ntwo Coal Authority wetlands (Lambley and Whittle) and two Coal Authority\\nsettlement lagoons (Acomb East, Acomb West and Whittle) were measured\\nusing bromide tracer tests. Water samples for iron analysis and flow\\nmeasurements were taken during each tracer test. The Lambley wetland\\nperforms well in terms of residence time, and, as reeds become\\nestablished and adsorptive processes increase, its iron removal\\nperformance (currently 58% removal) may improve, but the low influent\\niron concentration appears to be a significant impediment to meeting the\\noriginal performance target. In contrast, the hydraulic performance of\\nthe Whittle wetland system is poor, which appears to be due to\\naccumulation of dead plant material coupled with a high length to width\\nratio. However, performance in terms of iron removal is good (92%\\nremoval), which appears to be due to the higher influent iron\\nconcentration, and especially the fact that the iron enters the wetland\\nlargely in particulate form. The longer residence time of water within\\nthe Acomb lagoons (approximate to 12 h) resulted in far more effective\\niron removal (72% in the east lagoon and 85% in the west lagoon) than\\nthe shorter residence time \u2026", "author" : [ { "dropping-particle" : "", "family" : "Kruse", "given" : "N. A S", "non-dropping-particle" : "", "parse-names" : false, "suffix" : "" }, { "dropping-particle" : "", "family" : "Gozzard", "given" : "E.", "non-dropping-particle" : "", "parse-names" : false, "suffix" : "" }, { "dropping-particle" : "", "family" : "Jarvis", "given" : "a. P.", "non-dropping-particle" : "", "parse-names" : false, "suffix" : "" } ], "container-title" : "Mine Water and the Environment", "id" : "ITEM-2", "issue" : "2", "issued" : { "date-parts" : [ [ "2009" ] ] }, "page" : "115-123", "title" : "Determination of hydraulic residence times in several UK Mine water treatment systems and their relationship to iron removal", "type" : "article-journal", "volume" : "28" }, "uris" : [ "http://www.mendeley.com/documents/?uuid=fa552063-1e43-4297-9c4e-7c463c3b2207" ] } ], "mendeley" : { "formattedCitation" : "(Hedin and Nairn 1992; Kruse et al. 2009)", "plainTextFormattedCitation" : "(Hedin and Nairn 1992; Kruse et al. 2009)", "previouslyFormattedCitation" : "(Hedin and Nairn 1992; Kruse et al. 2009)" }, "properties" : { "noteIndex" : 0 }, "schema" : "https://github.com/citation-style-language/schema/raw/master/csl-citation.json" }</w:instrText>
      </w:r>
      <w:r w:rsidRPr="00A90E7E">
        <w:rPr>
          <w:rFonts w:cs="Arial"/>
        </w:rPr>
        <w:fldChar w:fldCharType="separate"/>
      </w:r>
      <w:r w:rsidRPr="00A90E7E">
        <w:rPr>
          <w:rFonts w:cs="Arial"/>
          <w:noProof/>
        </w:rPr>
        <w:t>(Hedin and Nairn 1992; Kruse et al. 2009)</w:t>
      </w:r>
      <w:r w:rsidRPr="00A90E7E">
        <w:rPr>
          <w:rFonts w:cs="Arial"/>
        </w:rPr>
        <w:fldChar w:fldCharType="end"/>
      </w:r>
      <w:r w:rsidRPr="00A90E7E">
        <w:rPr>
          <w:rFonts w:cs="Arial"/>
        </w:rPr>
        <w:t>. The iron that is not removed and sequestered by the oxidative cell is transported to the next unit in the treatment series where it can have negative impacts on function. Transport occurs for both dissolved (Fe</w:t>
      </w:r>
      <w:r w:rsidRPr="00A90E7E">
        <w:rPr>
          <w:rFonts w:cs="Arial"/>
          <w:vertAlign w:val="superscript"/>
        </w:rPr>
        <w:t>2+</w:t>
      </w:r>
      <w:r w:rsidRPr="00A90E7E">
        <w:rPr>
          <w:rFonts w:cs="Arial"/>
        </w:rPr>
        <w:t>) and particulate iron (</w:t>
      </w:r>
      <w:proofErr w:type="spellStart"/>
      <w:r w:rsidRPr="00A90E7E">
        <w:rPr>
          <w:rFonts w:cs="Arial"/>
        </w:rPr>
        <w:t>FeOOH</w:t>
      </w:r>
      <w:proofErr w:type="spellEnd"/>
      <w:r w:rsidRPr="00A90E7E">
        <w:rPr>
          <w:rFonts w:cs="Arial"/>
          <w:i/>
          <w:vertAlign w:val="subscript"/>
        </w:rPr>
        <w:t>(s)</w:t>
      </w:r>
      <w:r w:rsidRPr="00A90E7E">
        <w:rPr>
          <w:rFonts w:cs="Arial"/>
        </w:rPr>
        <w:t xml:space="preserve">) with the ratio of dissolved to particulate iron being critical to removal efficiency in performance assessment </w:t>
      </w:r>
      <w:r w:rsidRPr="00A90E7E">
        <w:rPr>
          <w:rFonts w:cs="Arial"/>
        </w:rPr>
        <w:fldChar w:fldCharType="begin" w:fldLock="1"/>
      </w:r>
      <w:r w:rsidRPr="00A90E7E">
        <w:rPr>
          <w:rFonts w:cs="Arial"/>
        </w:rPr>
        <w:instrText>ADDIN CSL_CITATION { "citationItems" : [ { "id" : "ITEM-1", "itemData" : { "DOI" : "10.1016/j.ecoleng.2010.12.010", "ISSN" : "09258574", "abstract" : "The aim of this paper is the development of a methodology for assessing the iron removal efficiency of passive mine water treatment settling lagoons and reed beds. Previous work in the design and sizing of coal mine drainage lagoons and wetlands has focussed on the use of standard hydraulic residence times or using the 10gm\u22122d\u22121 metric, these criteria have been applied without regard to the fundamental physical and chemical processes controlling iron removal in the system, namely the pH dependent rates of Fe(II) oxidation and physical settling of the particulate Fe(III). In this study field water quality data have been collected from lagoons and reed beds. These data are examined alongside data from the UK Coal Authority database and combined with simple mathematical formulations to provide a framework through which to understand passive treatment schemes from a process-orientated perspective. It is demonstrated that for the sites studied reed beds are more efficient for iron removal. This paper recommends that judgements of iron removal performance should be based on a derived treatment efficiency index (\u025b) and that the modelling approach espoused in this paper should be used when designing passive mine water treatment schemes.", "author" : [ { "dropping-particle" : "", "family" : "Sapsford", "given" : "D.J.", "non-dropping-particle" : "", "parse-names" : false, "suffix" : "" }, { "dropping-particle" : "", "family" : "Watson", "given" : "I.", "non-dropping-particle" : "", "parse-names" : false, "suffix" : "" } ], "container-title" : "Ecological Engineering", "id" : "ITEM-1", "issue" : "6", "issued" : { "date-parts" : [ [ "2011", "6" ] ] }, "page" : "970-975", "title" : "A process-orientated design and performance assessment methodology for passive mine water treatment systems", "type" : "article-journal", "volume" : "37" }, "uris" : [ "http://www.mendeley.com/documents/?uuid=da842d01-0c47-40b3-aa74-f71be724e858" ] } ], "mendeley" : { "formattedCitation" : "(Sapsford and Watson 2011)", "plainTextFormattedCitation" : "(Sapsford and Watson 2011)", "previouslyFormattedCitation" : "(Sapsford and Watson 2011)" }, "properties" : { "noteIndex" : 0 }, "schema" : "https://github.com/citation-style-language/schema/raw/master/csl-citation.json" }</w:instrText>
      </w:r>
      <w:r w:rsidRPr="00A90E7E">
        <w:rPr>
          <w:rFonts w:cs="Arial"/>
        </w:rPr>
        <w:fldChar w:fldCharType="separate"/>
      </w:r>
      <w:r w:rsidRPr="00A90E7E">
        <w:rPr>
          <w:rFonts w:cs="Arial"/>
          <w:noProof/>
        </w:rPr>
        <w:t>(Sapsford and Watson 2011)</w:t>
      </w:r>
      <w:r w:rsidRPr="00A90E7E">
        <w:rPr>
          <w:rFonts w:cs="Arial"/>
        </w:rPr>
        <w:fldChar w:fldCharType="end"/>
      </w:r>
    </w:p>
    <w:p w14:paraId="229754BF" w14:textId="1A0727E7" w:rsidR="00A90E7E" w:rsidRPr="00A90E7E" w:rsidRDefault="00A90E7E" w:rsidP="00A90E7E">
      <w:pPr>
        <w:spacing w:line="480" w:lineRule="auto"/>
        <w:jc w:val="both"/>
        <w:rPr>
          <w:rFonts w:cs="Arial"/>
        </w:rPr>
      </w:pPr>
      <w:r w:rsidRPr="00A90E7E">
        <w:rPr>
          <w:rFonts w:cs="Arial"/>
        </w:rPr>
        <w:t xml:space="preserve">Total iron transported as effluent of an oxidation pond may be monitored through a regularly scheduled sampling regimen to determine area-adjusted removal rates for performance evaluation </w:t>
      </w:r>
      <w:r w:rsidRPr="00A90E7E">
        <w:rPr>
          <w:rFonts w:cs="Arial"/>
        </w:rPr>
        <w:fldChar w:fldCharType="begin" w:fldLock="1"/>
      </w:r>
      <w:r w:rsidRPr="00A90E7E">
        <w:rPr>
          <w:rFonts w:cs="Arial"/>
        </w:rPr>
        <w:instrText>ADDIN CSL_CITATION { "citationItems" : [ { "id" : "ITEM-1", "itemData" : { "DOI" : "10.1017/CBO9781107415324.004", "ISBN" : "9788578110796", "ISSN" : "1098-6596", "PMID" : "25246403", "author" : [ { "dropping-particle" : "", "family" : "Paul Younger", "given" : "Steven Banwart and Robert Hedin", "non-dropping-particle" : "", "parse-names" : false, "suffix" : "" } ], "container-title" : "Springer-Science+Business Media, B.V", "id" : "ITEM-1", "issued" : { "date-parts" : [ [ "2002" ] ] }, "title" : "Mine Water: Hydrology, Pollution, Remediation", "type" : "book", "volume" : "5" }, "uris" : [ "http://www.mendeley.com/documents/?uuid=644c76c5-6d59-4e0f-b309-d751571a8666" ] } ], "mendeley" : { "formattedCitation" : "(Paul Younger 2002)", "manualFormatting" : "(Younger 2002)", "plainTextFormattedCitation" : "(Paul Younger 2002)", "previouslyFormattedCitation" : "(Paul Younger 2002)" }, "properties" : { "noteIndex" : 0 }, "schema" : "https://github.com/citation-style-language/schema/raw/master/csl-citation.json" }</w:instrText>
      </w:r>
      <w:r w:rsidRPr="00A90E7E">
        <w:rPr>
          <w:rFonts w:cs="Arial"/>
        </w:rPr>
        <w:fldChar w:fldCharType="separate"/>
      </w:r>
      <w:r w:rsidRPr="00A90E7E">
        <w:rPr>
          <w:rFonts w:cs="Arial"/>
          <w:noProof/>
        </w:rPr>
        <w:t>(Younger 2002)</w:t>
      </w:r>
      <w:r w:rsidRPr="00A90E7E">
        <w:rPr>
          <w:rFonts w:cs="Arial"/>
        </w:rPr>
        <w:fldChar w:fldCharType="end"/>
      </w:r>
      <w:r w:rsidRPr="00A90E7E">
        <w:rPr>
          <w:rFonts w:cs="Arial"/>
        </w:rPr>
        <w:t xml:space="preserve">.  However, quarterly and/or monthly sampling lacks the resolution to capture short-term transport events induced by storm activity as they occur.  Furthermore, routine sampling is often delayed or avoided following periods of rain as to not bias the dataset with values associated with an acute disturbance event that does not represent typical </w:t>
      </w:r>
      <w:r w:rsidRPr="00A90E7E">
        <w:rPr>
          <w:rFonts w:cs="Arial"/>
        </w:rPr>
        <w:lastRenderedPageBreak/>
        <w:t xml:space="preserve">performance conditions. Yet for passive treatment systems installed in regions with frequent and severe thunderstorms, it is unclear how much of a contribution these storm events may make to the total amount of transported materials from each cell over time </w:t>
      </w:r>
      <w:r w:rsidRPr="00A90E7E">
        <w:rPr>
          <w:rFonts w:cs="Arial"/>
        </w:rPr>
        <w:fldChar w:fldCharType="begin" w:fldLock="1"/>
      </w:r>
      <w:r w:rsidRPr="00A90E7E">
        <w:rPr>
          <w:rFonts w:cs="Arial"/>
        </w:rPr>
        <w:instrText>ADDIN CSL_CITATION { "citationItems" : [ { "id" : "ITEM-1", "itemData" : { "author" : [ { "dropping-particle" : "", "family" : "Eger", "given" : "Paul", "non-dropping-particle" : "", "parse-names" : false, "suffix" : "" }, { "dropping-particle" : "", "family" : "Wagner", "given" : "Jon", "non-dropping-particle" : "", "parse-names" : false, "suffix" : "" } ], "id" : "ITEM-1", "issued" : { "date-parts" : [ [ "1997" ] ] }, "title" : "Wetland Treatment Systems- How Long Will They Really Work ?", "type" : "article-journal" }, "uris" : [ "http://www.mendeley.com/documents/?uuid=ecbf2e43-1013-4be6-8b74-087e9ceb4a6b" ] } ], "mendeley" : { "formattedCitation" : "(Eger and Wagner 1997)", "plainTextFormattedCitation" : "(Eger and Wagner 1997)", "previouslyFormattedCitation" : "(Eger and Wagner 1997)" }, "properties" : { "noteIndex" : 0 }, "schema" : "https://github.com/citation-style-language/schema/raw/master/csl-citation.json" }</w:instrText>
      </w:r>
      <w:r w:rsidRPr="00A90E7E">
        <w:rPr>
          <w:rFonts w:cs="Arial"/>
        </w:rPr>
        <w:fldChar w:fldCharType="separate"/>
      </w:r>
      <w:r w:rsidRPr="00A90E7E">
        <w:rPr>
          <w:rFonts w:cs="Arial"/>
          <w:noProof/>
        </w:rPr>
        <w:t>(Eger and Wagner 1997)</w:t>
      </w:r>
      <w:r w:rsidRPr="00A90E7E">
        <w:rPr>
          <w:rFonts w:cs="Arial"/>
        </w:rPr>
        <w:fldChar w:fldCharType="end"/>
      </w:r>
      <w:r w:rsidRPr="00A90E7E">
        <w:rPr>
          <w:rFonts w:cs="Arial"/>
        </w:rPr>
        <w:t>.  It is also uncertain how much time is required to return to a baseline performance level following an event, which is important to monitoring and performance evaluation in water treatment systems</w:t>
      </w:r>
      <w:r>
        <w:rPr>
          <w:rFonts w:cs="Arial"/>
        </w:rPr>
        <w:t>.</w:t>
      </w:r>
    </w:p>
    <w:p w14:paraId="229AD764" w14:textId="60448B53" w:rsidR="00A90E7E" w:rsidRPr="00A90E7E" w:rsidRDefault="00A90E7E" w:rsidP="00A90E7E">
      <w:pPr>
        <w:spacing w:line="480" w:lineRule="auto"/>
        <w:jc w:val="both"/>
        <w:rPr>
          <w:rFonts w:cs="Arial"/>
        </w:rPr>
      </w:pPr>
      <w:r w:rsidRPr="00A90E7E">
        <w:rPr>
          <w:rFonts w:cstheme="minorHAnsi"/>
        </w:rPr>
        <w:t xml:space="preserve">Although tornados (Enhanced </w:t>
      </w:r>
      <w:proofErr w:type="spellStart"/>
      <w:r w:rsidRPr="00A90E7E">
        <w:rPr>
          <w:rFonts w:cstheme="minorHAnsi"/>
        </w:rPr>
        <w:t>Fugita</w:t>
      </w:r>
      <w:proofErr w:type="spellEnd"/>
      <w:r w:rsidRPr="00A90E7E">
        <w:rPr>
          <w:rFonts w:cstheme="minorHAnsi"/>
        </w:rPr>
        <w:t xml:space="preserve"> scale) and hurricanes (</w:t>
      </w:r>
      <w:proofErr w:type="spellStart"/>
      <w:r w:rsidRPr="00A90E7E">
        <w:rPr>
          <w:rFonts w:cstheme="minorHAnsi"/>
        </w:rPr>
        <w:t>Saffir</w:t>
      </w:r>
      <w:proofErr w:type="spellEnd"/>
      <w:r w:rsidRPr="00A90E7E">
        <w:rPr>
          <w:rFonts w:cstheme="minorHAnsi"/>
        </w:rPr>
        <w:t xml:space="preserve">-Simpson scale) are formally classified based on wind speed, precipitation and impacts; thunderstorm classifications are not unified by a single approach </w:t>
      </w:r>
      <w:r w:rsidRPr="00A90E7E">
        <w:rPr>
          <w:rFonts w:cstheme="minorHAnsi"/>
        </w:rPr>
        <w:fldChar w:fldCharType="begin" w:fldLock="1"/>
      </w:r>
      <w:r w:rsidRPr="00A90E7E">
        <w:rPr>
          <w:rFonts w:cstheme="minorHAnsi"/>
        </w:rPr>
        <w:instrText>ADDIN CSL_CITATION { "citationItems" : [ { "id" : "ITEM-1", "itemData" : { "URL" : "http://www.nssl.noaa.gov/research/thunderstorms/", "accessed" : { "date-parts" : [ [ "2016", "1", "1" ] ] }, "author" : [ { "dropping-particle" : "", "family" : "NOAA", "given" : "", "non-dropping-particle" : "", "parse-names" : false, "suffix" : "" } ], "container-title" : "Thunderstorm Research Areas", "id" : "ITEM-1", "issued" : { "date-parts" : [ [ "0" ] ] }, "title" : "The National Severe Storms Laboratory", "type" : "webpage" }, "uris" : [ "http://www.mendeley.com/documents/?uuid=a8c103e9-690c-4c15-97cc-4f7555f35704" ] }, { "id" : "ITEM-2", "itemData" : { "author" : [ { "dropping-particle" : "", "family" : "FAA", "given" : "", "non-dropping-particle" : "", "parse-names" : false, "suffix" : "" } ], "container-title" : "FAA Advisory Circular", "id" : "ITEM-2", "issued" : { "date-parts" : [ [ "2013" ] ] }, "page" : "1-13", "title" : "Thunderstorms", "type" : "article-journal", "volume" : "00-24C" }, "uris" : [ "http://www.mendeley.com/documents/?uuid=123c44d4-f986-4ec5-9113-c4851e0726d7" ] } ], "mendeley" : { "formattedCitation" : "(NOAA; FAA 2013)", "plainTextFormattedCitation" : "(NOAA; FAA 2013)", "previouslyFormattedCitation" : "(NOAA; FAA 2013)" }, "properties" : { "noteIndex" : 0 }, "schema" : "https://github.com/citation-style-language/schema/raw/master/csl-citation.json" }</w:instrText>
      </w:r>
      <w:r w:rsidRPr="00A90E7E">
        <w:rPr>
          <w:rFonts w:cstheme="minorHAnsi"/>
        </w:rPr>
        <w:fldChar w:fldCharType="separate"/>
      </w:r>
      <w:r w:rsidRPr="00A90E7E">
        <w:rPr>
          <w:rFonts w:cstheme="minorHAnsi"/>
          <w:noProof/>
        </w:rPr>
        <w:t>(NOAA</w:t>
      </w:r>
      <w:r>
        <w:rPr>
          <w:rFonts w:cstheme="minorHAnsi"/>
          <w:noProof/>
        </w:rPr>
        <w:t xml:space="preserve"> 2013</w:t>
      </w:r>
      <w:r w:rsidRPr="00A90E7E">
        <w:rPr>
          <w:rFonts w:cstheme="minorHAnsi"/>
          <w:noProof/>
        </w:rPr>
        <w:t>; FAA 2013)</w:t>
      </w:r>
      <w:r w:rsidRPr="00A90E7E">
        <w:rPr>
          <w:rFonts w:cstheme="minorHAnsi"/>
        </w:rPr>
        <w:fldChar w:fldCharType="end"/>
      </w:r>
      <w:r w:rsidRPr="00A90E7E">
        <w:rPr>
          <w:rFonts w:cstheme="minorHAnsi"/>
        </w:rPr>
        <w:t xml:space="preserve">. </w:t>
      </w:r>
      <w:r w:rsidRPr="00A90E7E">
        <w:rPr>
          <w:rFonts w:cs="Arial"/>
        </w:rPr>
        <w:t xml:space="preserve">The diversity in storm formation conditions and characteristics make a definitive classification system difficult to develop and implement uniformly between regions </w:t>
      </w:r>
      <w:r w:rsidRPr="00A90E7E">
        <w:rPr>
          <w:rFonts w:cs="Arial"/>
        </w:rPr>
        <w:fldChar w:fldCharType="begin" w:fldLock="1"/>
      </w:r>
      <w:r w:rsidRPr="00A90E7E">
        <w:rPr>
          <w:rFonts w:cs="Arial"/>
        </w:rPr>
        <w:instrText>ADDIN CSL_CITATION { "citationItems" : [ { "id" : "ITEM-1", "itemData" : { "author" : [ { "dropping-particle" : "", "family" : "Petrus J M Visser", "given" : "", "non-dropping-particle" : "", "parse-names" : false, "suffix" : "" } ], "container-title" : "Meteorological Applications", "id" : "ITEM-1", "issue" : "1", "issued" : { "date-parts" : [ [ "2001" ] ] }, "page" : "1-10", "title" : "The Storm-Structure-Severity method for the identification of convective storm characteristics with conventional weather radar", "type" : "article-journal", "volume" : "8" }, "uris" : [ "http://www.mendeley.com/documents/?uuid=7dae8ceb-3aeb-41db-8006-decf66a05cd3" ] } ], "mendeley" : { "formattedCitation" : "(Petrus J M Visser 2001)", "manualFormatting" : "( Visser 2001)", "plainTextFormattedCitation" : "(Petrus J M Visser 2001)", "previouslyFormattedCitation" : "(Petrus J M Visser 2001)" }, "properties" : { "noteIndex" : 0 }, "schema" : "https://github.com/citation-style-language/schema/raw/master/csl-citation.json" }</w:instrText>
      </w:r>
      <w:r w:rsidRPr="00A90E7E">
        <w:rPr>
          <w:rFonts w:cs="Arial"/>
        </w:rPr>
        <w:fldChar w:fldCharType="separate"/>
      </w:r>
      <w:r w:rsidRPr="00A90E7E">
        <w:rPr>
          <w:rFonts w:cs="Arial"/>
          <w:noProof/>
        </w:rPr>
        <w:t>( Visser 2001)</w:t>
      </w:r>
      <w:r w:rsidRPr="00A90E7E">
        <w:rPr>
          <w:rFonts w:cs="Arial"/>
        </w:rPr>
        <w:fldChar w:fldCharType="end"/>
      </w:r>
      <w:r w:rsidRPr="00A90E7E">
        <w:rPr>
          <w:rFonts w:cs="Arial"/>
        </w:rPr>
        <w:t xml:space="preserve">. However, guidelines for thunderstorm classifications focus principally on rainfall intensity, duration, storm yield, and storm frequency </w:t>
      </w:r>
      <w:r w:rsidRPr="00A90E7E">
        <w:rPr>
          <w:rFonts w:cs="Arial"/>
        </w:rPr>
        <w:fldChar w:fldCharType="begin" w:fldLock="1"/>
      </w:r>
      <w:r w:rsidRPr="00A90E7E">
        <w:rPr>
          <w:rFonts w:cs="Arial"/>
        </w:rPr>
        <w:instrText>ADDIN CSL_CITATION { "citationItems" : [ { "id" : "ITEM-1", "itemData" : { "DOI" : "10.5194/hess-18-1561-2014", "ISBN" : "1812-2116", "ISSN" : "16077938", "abstract" : "This paper presents a method to identify intense warm season storms with convective character based on intensity thresholds and the presence of lightning, and analyzes their statistical properties. Long records of precipitation and lightning data at 4 stations and 10 min resolution in different climatological regions in Switzerland are used. Our premise is that thunderstorms associated with lightning generate bursts of high rainfall intensity. We divided all recorded storms into those accompanied by lightning and those without lightning and found the threshold I* that separates intense events based on peak 10 min intensity I-p &gt;= I* for a chosen misclassification rate alpha. The performance and robustness of the selection method was tested by investigating the inter-annual variability of I* and its relation to the frequency of lightning strikes. The probability distributions of the main storm properties (rainfall depth R, event duration D, average storm intensity I-a and peak 10 min intensity I-p) for the intense storm subsets show that the event average and peak intensities are significantly different between the stations. Nonparametric correlations between the main storm properties were estimated for intense storms and all storms including stratiform rain. The differences in the correlations between storm subsets are greater than those between stations, which indicates that care must be exercised not to mix events of different origin when they are sampled for multivariate analysis, for example, copula fitting to rainfall data.", "author" : [ { "dropping-particle" : "", "family" : "Ga\u00e1l", "given" : "L.", "non-dropping-particle" : "", "parse-names" : false, "suffix" : "" }, { "dropping-particle" : "", "family" : "Molnar", "given" : "P.", "non-dropping-particle" : "", "parse-names" : false, "suffix" : "" }, { "dropping-particle" : "", "family" : "Szolgay", "given" : "J.", "non-dropping-particle" : "", "parse-names" : false, "suffix" : "" } ], "container-title" : "Hydrology and Earth System Sciences", "id" : "ITEM-1", "issue" : "5", "issued" : { "date-parts" : [ [ "2014" ] ] }, "page" : "1561-1573", "title" : "Selection of intense rainfall events based on intensity thresholds and lightning data in Switzerland", "type" : "article-journal", "volume" : "18" }, "uris" : [ "http://www.mendeley.com/documents/?uuid=7036fae1-3a8f-40af-bade-cf24014d5c2e" ] } ], "mendeley" : { "formattedCitation" : "(Ga\u00e1l et al. 2014)", "plainTextFormattedCitation" : "(Ga\u00e1l et al. 2014)", "previouslyFormattedCitation" : "(Ga\u00e1l et al. 2014)" }, "properties" : { "noteIndex" : 0 }, "schema" : "https://github.com/citation-style-language/schema/raw/master/csl-citation.json" }</w:instrText>
      </w:r>
      <w:r w:rsidRPr="00A90E7E">
        <w:rPr>
          <w:rFonts w:cs="Arial"/>
        </w:rPr>
        <w:fldChar w:fldCharType="separate"/>
      </w:r>
      <w:r w:rsidRPr="00A90E7E">
        <w:rPr>
          <w:rFonts w:cs="Arial"/>
          <w:noProof/>
        </w:rPr>
        <w:t>(Gaál et al. 2014)</w:t>
      </w:r>
      <w:r w:rsidRPr="00A90E7E">
        <w:rPr>
          <w:rFonts w:cs="Arial"/>
        </w:rPr>
        <w:fldChar w:fldCharType="end"/>
      </w:r>
      <w:r w:rsidRPr="00A90E7E">
        <w:rPr>
          <w:rFonts w:cs="Arial"/>
        </w:rPr>
        <w:t xml:space="preserve">. Wind and hail metrics are also included in select publications, while rainfall intensity is used in both direct measurement </w:t>
      </w:r>
      <w:r w:rsidRPr="00A90E7E">
        <w:rPr>
          <w:rFonts w:cs="Arial"/>
        </w:rPr>
        <w:fldChar w:fldCharType="begin" w:fldLock="1"/>
      </w:r>
      <w:r w:rsidRPr="00A90E7E">
        <w:rPr>
          <w:rFonts w:cs="Arial"/>
        </w:rPr>
        <w:instrText>ADDIN CSL_CITATION { "citationItems" : [ { "id" : "ITEM-1", "itemData" : { "DOI" : "10.3103/S1068373910030040", "ISSN" : "10683739", "abstract" : "Methods, algorithms, and programs of automated radar identification of convective cells in cumulonimbus clouds are considered, that provides the ability to measure the parameters of convective cells, to plot the graphs of the time course of parameters, to compute the direction and speed of the movement, to assess their thunderstorm and hail danger, and to recognize the categories of target objects for the prevention of hail damage and meteorological provision of aviation. \u00a9 2010 Allerton Press, Inc.", "author" : [ { "dropping-particle" : "", "family" : "Abshaev", "given" : "M T", "non-dropping-particle" : "", "parse-names" : false, "suffix" : "" }, { "dropping-particle" : "", "family" : "Abshaev", "given" : "A M", "non-dropping-particle" : "", "parse-names" : false, "suffix" : "" }, { "dropping-particle" : "", "family" : "Malkarova", "given" : "A M", "non-dropping-particle" : "", "parse-names" : false, "suffix" : "" }, { "dropping-particle" : "V", "family" : "Zharashuev", "given" : "M", "non-dropping-particle" : "", "parse-names" : false, "suffix" : "" } ], "container-title" : "Russian Meteorology and Hydrology", "id" : "ITEM-1", "issue" : "3", "issued" : { "date-parts" : [ [ "2010" ] ] }, "page" : "182-189", "title" : "Automated radar identification, measurement of parameters, and classification of convective cells for hail protection and storm warning", "type" : "article-journal", "volume" : "35" }, "uris" : [ "http://www.mendeley.com/documents/?uuid=f03586ae-ce3a-4f63-938d-6492f0c91144" ] } ], "mendeley" : { "formattedCitation" : "(Abshaev et al. 2010)", "plainTextFormattedCitation" : "(Abshaev et al. 2010)", "previouslyFormattedCitation" : "(Abshaev et al. 2010)" }, "properties" : { "noteIndex" : 0 }, "schema" : "https://github.com/citation-style-language/schema/raw/master/csl-citation.json" }</w:instrText>
      </w:r>
      <w:r w:rsidRPr="00A90E7E">
        <w:rPr>
          <w:rFonts w:cs="Arial"/>
        </w:rPr>
        <w:fldChar w:fldCharType="separate"/>
      </w:r>
      <w:r w:rsidRPr="00A90E7E">
        <w:rPr>
          <w:rFonts w:cs="Arial"/>
          <w:noProof/>
        </w:rPr>
        <w:t>(Abshaev et al. 2010)</w:t>
      </w:r>
      <w:r w:rsidRPr="00A90E7E">
        <w:rPr>
          <w:rFonts w:cs="Arial"/>
        </w:rPr>
        <w:fldChar w:fldCharType="end"/>
      </w:r>
      <w:r w:rsidRPr="00A90E7E">
        <w:rPr>
          <w:rFonts w:cs="Arial"/>
        </w:rPr>
        <w:t xml:space="preserve"> and radar-based approaches </w:t>
      </w:r>
      <w:r w:rsidRPr="00A90E7E">
        <w:rPr>
          <w:rFonts w:cs="Arial"/>
        </w:rPr>
        <w:fldChar w:fldCharType="begin" w:fldLock="1"/>
      </w:r>
      <w:r w:rsidRPr="00A90E7E">
        <w:rPr>
          <w:rFonts w:cs="Arial"/>
        </w:rPr>
        <w:instrText>ADDIN CSL_CITATION { "citationItems" : [ { "id" : "ITEM-1", "itemData" : { "ISBN" : "9781424449460", "author" : [ { "dropping-particle" : "", "family" : "Chen", "given" : "Shan-tai", "non-dropping-particle" : "", "parse-names" : false, "suffix" : "" }, { "dropping-particle" : "", "family" : "Luo", "given" : "Hong-zhe", "non-dropping-particle" : "", "parse-names" : false, "suffix" : "" }, { "dropping-particle" : "", "family" : "Li", "given" : "Tsung-chun", "non-dropping-particle" : "", "parse-names" : false, "suffix" : "" }, { "dropping-particle" : "", "family" : "Chen", "given" : "Wann-jin", "non-dropping-particle" : "", "parse-names" : false, "suffix" : "" } ], "id" : "ITEM-1", "issued" : { "date-parts" : [ [ "2009" ] ] }, "page" : "1-6", "title" : "A Soft Computing Approach to Rainfall Intensity Classification Using TRMM / TMI Data", "type" : "article-journal" }, "uris" : [ "http://www.mendeley.com/documents/?uuid=0d4ead3b-c10c-4681-bcdb-4935fa9104e0" ] } ], "mendeley" : { "formattedCitation" : "(Chen et al. 2009)", "plainTextFormattedCitation" : "(Chen et al. 2009)", "previouslyFormattedCitation" : "(Chen et al. 2009)" }, "properties" : { "noteIndex" : 0 }, "schema" : "https://github.com/citation-style-language/schema/raw/master/csl-citation.json" }</w:instrText>
      </w:r>
      <w:r w:rsidRPr="00A90E7E">
        <w:rPr>
          <w:rFonts w:cs="Arial"/>
        </w:rPr>
        <w:fldChar w:fldCharType="separate"/>
      </w:r>
      <w:r w:rsidRPr="00A90E7E">
        <w:rPr>
          <w:rFonts w:cs="Arial"/>
          <w:noProof/>
        </w:rPr>
        <w:t>(Chen et al. 2009)</w:t>
      </w:r>
      <w:r w:rsidRPr="00A90E7E">
        <w:rPr>
          <w:rFonts w:cs="Arial"/>
        </w:rPr>
        <w:fldChar w:fldCharType="end"/>
      </w:r>
      <w:r w:rsidRPr="00A90E7E">
        <w:rPr>
          <w:rFonts w:cs="Arial"/>
        </w:rPr>
        <w:t xml:space="preserve"> to define storm classification.  A storm classification system needed to define the impact of storm disturbance events on transport of iron within the oxidative unit and from the system effluent was developed as part of this study. </w:t>
      </w:r>
    </w:p>
    <w:p w14:paraId="2945CD0E" w14:textId="29237D8E" w:rsidR="00A90E7E" w:rsidRPr="00A90E7E" w:rsidRDefault="00A90E7E" w:rsidP="00A90E7E">
      <w:pPr>
        <w:spacing w:line="480" w:lineRule="auto"/>
        <w:jc w:val="both"/>
        <w:rPr>
          <w:rFonts w:cs="Arial"/>
        </w:rPr>
      </w:pPr>
      <w:r w:rsidRPr="00A90E7E">
        <w:rPr>
          <w:rFonts w:cs="Arial"/>
        </w:rPr>
        <w:t>Intense rainfall has been observed to increase the turbidity of oxidation cells through the re-suspension of retained materials via edge effects and i</w:t>
      </w:r>
      <w:r>
        <w:rPr>
          <w:rFonts w:cs="Arial"/>
        </w:rPr>
        <w:t xml:space="preserve">n shallow surface-flow systems </w:t>
      </w:r>
      <w:r w:rsidRPr="00A90E7E">
        <w:rPr>
          <w:rFonts w:cs="Arial"/>
        </w:rPr>
        <w:fldChar w:fldCharType="begin" w:fldLock="1"/>
      </w:r>
      <w:r w:rsidRPr="00A90E7E">
        <w:rPr>
          <w:rFonts w:cs="Arial"/>
        </w:rPr>
        <w:instrText>ADDIN CSL_CITATION { "citationItems" : [ { "id" : "ITEM-1", "itemData" : { "DOI" : "10.1016/S0375-6742(96)00078-7", "ISSN" : "03756742", "abstract" : "General hydrochemistry and trace metal concentrations were monitored during a runoff event in a small catchment (0.9 km2) with an old abandoned copper mine and covered sulphidic waste. Five hours of rising hydrograph was sampled manually every 10 minutes while an automatic sampler was used during the recession phase. The hydrograph started to rise about two hours after the commencement of rain, but the hydrochemistry showed only small changes for yet another hour and a half. At this time the concentration of total organic C (TOC), Cu and Zn decreased rapidly, while most other elements exhibited a peak in concentration. Different origins and varying hydrological response could explain these observations. Chemical redistribution might, however, be important for some elements, notably Al and Fe. After this peak the concentrations of most elements decreased, probably because of dilution with precipitation water whereafter a secondary concentration maximum was observed. This behaviour was most evident for K but also for Na, Mg and Ca. A noteworthy exception is pH that increased during the event and remained at high levels, while concentrations of Mn and Cd were lowered possibly due to depletion of the mobile pool. Increased pH during the event is probably caused by liming of soils surrounding the creek, in combination with soil buffering processes. The increase of alkaline and alkaline earths (notably K) concentrations could be explained by transport of accumulated elements as the groundwater level rose.", "author" : [ { "dropping-particle" : "", "family" : "Sand\u00e9n", "given" : "P", "non-dropping-particle" : "", "parse-names" : false, "suffix" : "" }, { "dropping-particle" : "", "family" : "Karlsson", "given" : "S", "non-dropping-particle" : "", "parse-names" : false, "suffix" : "" }, { "dropping-particle" : "", "family" : "D\u00fcker", "given" : "A", "non-dropping-particle" : "", "parse-names" : false, "suffix" : "" }, { "dropping-particle" : "", "family" : "Ledin", "given" : "A", "non-dropping-particle" : "", "parse-names" : false, "suffix" : "" }, { "dropping-particle" : "", "family" : "Lundman", "given" : "L", "non-dropping-particle" : "", "parse-names" : false, "suffix" : "" } ], "container-title" : "Journal of Geochemical Exploration", "id" : "ITEM-1", "issue" : "2-3", "issued" : { "date-parts" : [ [ "1997" ] ] }, "page" : "145-155", "title" : "Variations in hydrochemistry, trace metal concentration and transport during a rain storm event in a small catchment", "type" : "article-journal", "volume" : "58" }, "uris" : [ "http://www.mendeley.com/documents/?uuid=8ac86c4e-01c2-4ba5-b523-1bba719fde6e" ] }, { "id" : "ITEM-2", "itemData" : { "DOI" : "10.1016/j.apgeochem.2011.06.002", "ISBN" : "0883-2927", "ISSN" : "08832927", "abstract" : "The formation of acid mine drainage from metals extraction or natural acid rock drainage and its mixing with surface waters is a complex process that depends on petrology and mineralogy, structural geology, geomorphology, surface-water hydrology, hydrogeology, climatology, microbiology, chemistry, and mining and mineral processing history. The concentrations of metals, metalloids, acidity, alkalinity, Cl-, F- and SO42- found in receiving streams, rivers, and lakes are affected by all of these factors and their interactions. Remediation of mine sites is an engineering concern but to design a remediation plan without understanding the hydrogeochemical processes of contaminant mobilization can lead to ineffective and excessively costly remediation. Furthermore, remediation needs a goal commensurate with natural background conditions rather than water-quality standards that might bear little relation to conditions of a highly mineralized terrain. This paper reviews hydrogeochemical generalizations, primarily from US Geological Survey research, that enhance our understanding of the origin, transport, and fate of contaminants released from mined and mineralized areas.Mobility of potential or actual contaminants from mining and mineral processing activities depends on (1) occurrence: is the mineral source of the contaminant actually present? (2) abundance: is the mineral present in sufficient quantity to make a difference? (3) reactivity: what are the energetics, rates, and mechanisms of sorption and mineral dissolution and precipitation relative to the flow rate of the water? and (4) hydrology: what are the main flow paths for contaminated water? Estimates of relative proportions of minerals dissolved and precipitated can be made with mass-balance calculations if minerals and water compositions along a flow path are known. Combined with discharge, these mass-balance estimates quantify the actual weathering rate of pyrite mineralization in the environment and compare reasonably well with laboratory rates of pyrite oxidation except when large quantities of soluble salts and evaporated mine waters have accumulated underground. Quantitative mineralogy with trace-element compositions can substantially improve the identification of source minerals for specific trace elements through mass balances. Post-dissolution sorption and precipitation (attenuation) reactions depend on the chemical behavior of each element, solution composition and pH, aqueous speciation, temp\u2026", "author" : [ { "dropping-particle" : "", "family" : "Nordstrom", "given" : "D. Kirk", "non-dropping-particle" : "", "parse-names" : false, "suffix" : "" } ], "container-title" : "Applied Geochemistry", "id" : "ITEM-2", "issue" : "11", "issued" : { "date-parts" : [ [ "2011" ] ] }, "page" : "1777-1791", "publisher" : "Elsevier Ltd", "title" : "Hydrogeochemical processes governing the origin, transport and fate of major and trace elements from mine wastes and mineralized rock to surface waters", "type" : "article-journal", "volume" : "26" }, "uris" : [ "http://www.mendeley.com/documents/?uuid=6d30e350-d34b-465d-af06-0e588137a356" ] } ], "mendeley" : { "formattedCitation" : "(Sand\u00e9n et al. 1997; Nordstrom 2011)", "plainTextFormattedCitation" : "(Sand\u00e9n et al. 1997; Nordstrom 2011)", "previouslyFormattedCitation" : "(Sand\u00e9n et al. 1997; Nordstrom 2011)" }, "properties" : { "noteIndex" : 0 }, "schema" : "https://github.com/citation-style-language/schema/raw/master/csl-citation.json" }</w:instrText>
      </w:r>
      <w:r w:rsidRPr="00A90E7E">
        <w:rPr>
          <w:rFonts w:cs="Arial"/>
        </w:rPr>
        <w:fldChar w:fldCharType="separate"/>
      </w:r>
      <w:r w:rsidRPr="00A90E7E">
        <w:rPr>
          <w:rFonts w:cs="Arial"/>
          <w:noProof/>
        </w:rPr>
        <w:t>(Sandén et al. 1997; Nordstrom 2011)</w:t>
      </w:r>
      <w:r w:rsidRPr="00A90E7E">
        <w:rPr>
          <w:rFonts w:cs="Arial"/>
        </w:rPr>
        <w:fldChar w:fldCharType="end"/>
      </w:r>
      <w:r w:rsidRPr="00A90E7E">
        <w:rPr>
          <w:rFonts w:cs="Arial"/>
        </w:rPr>
        <w:t xml:space="preserve">. The acute mobilization of iron in surface-flow wetlands in a pulse of solid-phase material through re-suspension of accumulated solids has been observed in wastewater treatment wetland applications </w:t>
      </w:r>
      <w:r w:rsidRPr="00A90E7E">
        <w:rPr>
          <w:rFonts w:cs="Arial"/>
        </w:rPr>
        <w:fldChar w:fldCharType="begin" w:fldLock="1"/>
      </w:r>
      <w:r w:rsidRPr="00A90E7E">
        <w:rPr>
          <w:rFonts w:cs="Arial"/>
        </w:rPr>
        <w:instrText>ADDIN CSL_CITATION { "citationItems" : [ { "id" : "ITEM-1", "itemData" : { "DOI" : "10.1021/es101403q", "ISBN" : "0013-936X", "ISSN" : "0013936X", "PMID" : "20795704", "abstract" : "The first experiments on the use of wetland plants to treat wastewaters were carried out in the early 1950s by Dr. Ka\u0308the Seidel in Germany and the first full-scale systems were put into operation during the late 1960s. Since then, the subsurface systems have been commonly used in Europe while free water surface systems have been more popular in North America and Australia. During the 1970s and 1980s, the information on constructed wetland technology spread slowly. But since the 1990 s the technology has become international, facilitated by exchange among scientists and researchers around the world. Because of the need for more effective removal of ammonia and total nitrogen, during the 1990 s and 2000s vertical and horizontal flow constructed wetlands were combined to complement each other to achieve higher treatment efficiency. Today, constructed wetlands are recognized as a reliable wastewater treatment technology and they represent a suitable solution for the treatment of many types of wastewater.", "author" : [ { "dropping-particle" : "", "family" : "Vymazal", "given" : "Jan", "non-dropping-particle" : "", "parse-names" : false, "suffix" : "" } ], "container-title" : "Environmental Science and Technology", "id" : "ITEM-1", "issue" : "1", "issued" : { "date-parts" : [ [ "2011" ] ] }, "page" : "61-69", "title" : "Constructed wetlands for wastewater treatment: Five decades of experience", "type" : "article-journal", "volume" : "45" }, "uris" : [ "http://www.mendeley.com/documents/?uuid=862f4f4e-8c0b-451d-8fef-cd71dcaaf88b" ] } ], "mendeley" : { "formattedCitation" : "(Vymazal 2011)", "plainTextFormattedCitation" : "(Vymazal 2011)", "previouslyFormattedCitation" : "(Vymazal 2011)" }, "properties" : { "noteIndex" : 0 }, "schema" : "https://github.com/citation-style-language/schema/raw/master/csl-citation.json" }</w:instrText>
      </w:r>
      <w:r w:rsidRPr="00A90E7E">
        <w:rPr>
          <w:rFonts w:cs="Arial"/>
        </w:rPr>
        <w:fldChar w:fldCharType="separate"/>
      </w:r>
      <w:r w:rsidRPr="00A90E7E">
        <w:rPr>
          <w:rFonts w:cs="Arial"/>
          <w:noProof/>
        </w:rPr>
        <w:t>(Vymazal 2011)</w:t>
      </w:r>
      <w:r w:rsidRPr="00A90E7E">
        <w:rPr>
          <w:rFonts w:cs="Arial"/>
        </w:rPr>
        <w:fldChar w:fldCharType="end"/>
      </w:r>
      <w:r w:rsidRPr="00A90E7E">
        <w:rPr>
          <w:rFonts w:cs="Arial"/>
        </w:rPr>
        <w:t xml:space="preserve">. Yet, the process has not been fully described for AMD treatment applications using engineered wetlands for passive treatment systems, nor deep water cells like iron oxidation cells. The amount of iron </w:t>
      </w:r>
      <w:r w:rsidRPr="00A90E7E">
        <w:rPr>
          <w:rFonts w:cs="Arial"/>
        </w:rPr>
        <w:lastRenderedPageBreak/>
        <w:t xml:space="preserve">transported (kg/storm; kg/year) by storm disturbance events, specifically, has not been described quantitatively with respect to storm rainfall intensity, duration, frequency, and precipitation yield. </w:t>
      </w:r>
    </w:p>
    <w:p w14:paraId="75D84EA0" w14:textId="447B8511" w:rsidR="00A90E7E" w:rsidRPr="00A90E7E" w:rsidRDefault="00A90E7E" w:rsidP="00A90E7E">
      <w:pPr>
        <w:spacing w:line="480" w:lineRule="auto"/>
        <w:jc w:val="both"/>
        <w:rPr>
          <w:rFonts w:cs="Arial"/>
        </w:rPr>
      </w:pPr>
      <w:r w:rsidRPr="00A90E7E">
        <w:rPr>
          <w:rFonts w:cs="Arial"/>
        </w:rPr>
        <w:t xml:space="preserve">Transport of dissolved and particulate iron negatively impacts the performance of downstream treatment cells as solids accumulation submerges emergent </w:t>
      </w:r>
      <w:proofErr w:type="spellStart"/>
      <w:r w:rsidRPr="00A90E7E">
        <w:rPr>
          <w:rFonts w:cs="Arial"/>
        </w:rPr>
        <w:t>macrophytes</w:t>
      </w:r>
      <w:proofErr w:type="spellEnd"/>
      <w:r w:rsidRPr="00A90E7E">
        <w:rPr>
          <w:rFonts w:cs="Arial"/>
        </w:rPr>
        <w:t xml:space="preserve"> </w:t>
      </w:r>
      <w:r w:rsidRPr="00A90E7E">
        <w:rPr>
          <w:rFonts w:cs="Arial"/>
        </w:rPr>
        <w:fldChar w:fldCharType="begin" w:fldLock="1"/>
      </w:r>
      <w:r w:rsidRPr="00A90E7E">
        <w:rPr>
          <w:rFonts w:cs="Arial"/>
        </w:rPr>
        <w:instrText>ADDIN CSL_CITATION { "citationItems" : [ { "id" : "ITEM-1", "itemData" : { "abstract" : "In Alaska, several large mine projects are currently proposed, ranging from open-pit, hard rock mines to strip mines for extracting coal. These large-scale projects have the potential to impact fish and wildlife resources through alteration or removal of vast areas of habitat. The U.S. Fish and Wildlife Service (Service) is responsible for managing fish and wildlife resources for the American public and in carrying out its mission, participates in pre-development activities for industrial projects. This report was commissioned to provide information to the Conservation Planning Assitance branch of the Anchorage Fish and Wildlife Field Office to aid in review of documents required as part of the permit process with the U.S. environmental Protection Agency (EPA), U.S. Army Corps of engineers and the State of Alaska.", "author" : [ { "dropping-particle" : "", "family" : "Jennings", "given" : "Stuart Russell", "non-dropping-particle" : "", "parse-names" : false, "suffix" : "" }, { "dropping-particle" : "", "family" : "Blicker", "given" : "Sue", "non-dropping-particle" : "", "parse-names" : false, "suffix" : "" }, { "dropping-particle" : "", "family" : "Neuman", "given" : "Pamela", "non-dropping-particle" : "", "parse-names" : false, "suffix" : "" }, { "dropping-particle" : "", "family" : "Dennis", "given" : "R", "non-dropping-particle" : "", "parse-names" : false, "suffix" : "" } ], "container-title" : "Reclamation Research Group", "id" : "ITEM-1", "issue" : "1", "issued" : { "date-parts" : [ [ "2008" ] ] }, "page" : "1-26", "title" : "Acid mine drainage and effects on fish health and ecology: a review. , 2008.", "type" : "article-journal", "volume" : "1" }, "uris" : [ "http://www.mendeley.com/documents/?uuid=54c09a12-4f22-4b58-b217-6c96db34b7d4" ] } ], "mendeley" : { "formattedCitation" : "(Jennings et al. 2008)", "plainTextFormattedCitation" : "(Jennings et al. 2008)", "previouslyFormattedCitation" : "(Jennings et al. 2008)" }, "properties" : { "noteIndex" : 0 }, "schema" : "https://github.com/citation-style-language/schema/raw/master/csl-citation.json" }</w:instrText>
      </w:r>
      <w:r w:rsidRPr="00A90E7E">
        <w:rPr>
          <w:rFonts w:cs="Arial"/>
        </w:rPr>
        <w:fldChar w:fldCharType="separate"/>
      </w:r>
      <w:r w:rsidRPr="00A90E7E">
        <w:rPr>
          <w:rFonts w:cs="Arial"/>
          <w:noProof/>
        </w:rPr>
        <w:t>(Jennings et al. 2008)</w:t>
      </w:r>
      <w:r w:rsidRPr="00A90E7E">
        <w:rPr>
          <w:rFonts w:cs="Arial"/>
        </w:rPr>
        <w:fldChar w:fldCharType="end"/>
      </w:r>
      <w:r w:rsidRPr="00A90E7E">
        <w:rPr>
          <w:rFonts w:cs="Arial"/>
        </w:rPr>
        <w:t xml:space="preserve">, increases water column turbidity to occlude light penetration for algal communities </w:t>
      </w:r>
      <w:r w:rsidRPr="00A90E7E">
        <w:rPr>
          <w:rFonts w:cs="Arial"/>
        </w:rPr>
        <w:fldChar w:fldCharType="begin" w:fldLock="1"/>
      </w:r>
      <w:r w:rsidRPr="00A90E7E">
        <w:rPr>
          <w:rFonts w:cs="Arial"/>
        </w:rPr>
        <w:instrText>ADDIN CSL_CITATION { "citationItems" : [ { "id" : "ITEM-1", "itemData" : { "DOI" : "10.1016/j.seares.2013.07.009", "ISBN" : "1385-1101", "ISSN" : "13851101", "abstract" : "Turbidity is a major limiting factor of benthic primary production and nutrient uptake on estuarine intertidal sandflats. Estuaries exhibit a wide range of suspended sediment concentrations (SSCs), however, few studies have quantified the effects of increasing SSC on ecosystem functioning. Here, we report on an in situ experiment examining the effects of short-term increases in SSC on intertidal sandflat benthic primary production and nutrient fluxes. Fine sediments (&lt;63??m) were added to sunlit and darkened benthic chambers (0.25m2) at concentrations ranging from 16 to 157mgL-1 and kept in suspension for a 4-5h incubation period. In addition to solute fluxes we also measured sediment chlorophyll-a content and physical properties as covariables. In sunlit chambers, we observed a three-fold reduction in net primary production (NPP) with increasing SSC (NPP, R2=0.36, p=0.01) and stronger reductions when NPP was standardised by sediment chlorophyll-a content (i.e., photosynthetic efficiency, NPPchl-a, R2=0.62, p&lt;0.01). Concurrent with reductions in photosynthetic efficiency, there was a four-fold increase in nutrient efflux from the sediment to the water column (NH4+, R2=0.44, p&lt;0.01). SSC had no effect on solute fluxes in darkened chambers. NPP was correlated with SSC and light intensity, whilst NH4+ efflux was solely correlated to SSC. The results of this study imply that increased exposure to SSC associated with the tidal exchange of sediments from far-field sources may severely impair benthic primary productivity and increase the flux of inorganic nutrients from benthic to pelagic systems. ?? 2013 Elsevier B.V.", "author" : [ { "dropping-particle" : "", "family" : "Pratt", "given" : "Daniel R.", "non-dropping-particle" : "", "parse-names" : false, "suffix" : "" }, { "dropping-particle" : "", "family" : "Pilditch", "given" : "Conrad A.", "non-dropping-particle" : "", "parse-names" : false, "suffix" : "" }, { "dropping-particle" : "", "family" : "Lohrer", "given" : "Andrew M.", "non-dropping-particle" : "", "parse-names" : false, "suffix" : "" }, { "dropping-particle" : "", "family" : "Thrush", "given" : "Simon F.", "non-dropping-particle" : "", "parse-names" : false, "suffix" : "" } ], "container-title" : "Journal of Sea Research", "id" : "ITEM-1", "issued" : { "date-parts" : [ [ "2014" ] ] }, "page" : "170-177", "title" : "The effects of short-term increases in turbidity on sandflat microphytobenthic productivity and nutrient fluxes", "type" : "article-journal", "volume" : "92" }, "uris" : [ "http://www.mendeley.com/documents/?uuid=0268e07e-a5fb-4b24-a2a2-1f5daaa5ff53" ] } ], "mendeley" : { "formattedCitation" : "(Pratt et al. 2014)", "plainTextFormattedCitation" : "(Pratt et al. 2014)", "previouslyFormattedCitation" : "(Pratt et al. 2014)" }, "properties" : { "noteIndex" : 0 }, "schema" : "https://github.com/citation-style-language/schema/raw/master/csl-citation.json" }</w:instrText>
      </w:r>
      <w:r w:rsidRPr="00A90E7E">
        <w:rPr>
          <w:rFonts w:cs="Arial"/>
        </w:rPr>
        <w:fldChar w:fldCharType="separate"/>
      </w:r>
      <w:r w:rsidRPr="00A90E7E">
        <w:rPr>
          <w:rFonts w:cs="Arial"/>
          <w:noProof/>
        </w:rPr>
        <w:t>(Pratt et al. 2014)</w:t>
      </w:r>
      <w:r w:rsidRPr="00A90E7E">
        <w:rPr>
          <w:rFonts w:cs="Arial"/>
        </w:rPr>
        <w:fldChar w:fldCharType="end"/>
      </w:r>
      <w:r w:rsidRPr="00A90E7E">
        <w:rPr>
          <w:rFonts w:cs="Arial"/>
        </w:rPr>
        <w:t xml:space="preserve">, and restricts flow dynamics </w:t>
      </w:r>
      <w:r w:rsidRPr="00A90E7E">
        <w:rPr>
          <w:rFonts w:cs="Arial"/>
        </w:rPr>
        <w:fldChar w:fldCharType="begin" w:fldLock="1"/>
      </w:r>
      <w:r w:rsidRPr="00A90E7E">
        <w:rPr>
          <w:rFonts w:cs="Arial"/>
        </w:rPr>
        <w:instrText>ADDIN CSL_CITATION { "citationItems" : [ { "id" : "ITEM-1", "itemData" : { "ISBN" : "DOE/NETL-2004/1202", "ISSN" : "0096-1914", "PMID" : "1109", "abstract" : "Passive treatment of mine water uses chemical and biological processes to decrease metal concentrations and neutralize acidity. Compared to conventional chemical treatment, passive methods generally require more land area, but use less costly reagents, and require less operational attention and maintenance. Currently, the three most common types of passive technologies are aerobic ponds and wetlands, anoxic limestone drains (ALDs), and reducing and alkalinity-producing systems (RAPS). Aerobic wetlands promote mixed oxidation and hydrolysis reactions, and are effective when the raw mine water is net alkaline. Anoxic limestone drains generate bicarbonate alkalinity and can be used to convert water that is net acidic into net- alkaline water for treatment in aerobic ponds and wetlands. RAPS promote reducing conditions and limestone dissolution. They extend the concept of ALDs by pre-treating the water before it contacts the limestone, to eliminate dissolved oxygen and reduce dissolved ferric iron to ferrous iron. These systems can generally be used to treat more acidic water than ALDs, and can better treat water with significant aluminum concentrations. In passive treatment systems, rates of metal and acidity removal and alkalinity generation have been developed empirically. Aerobic wetlands remove iron from alkaline water at rates of 10 to 20 g m&amp;2 d&amp;1. Anoxic limestone drains add 150 to 300 mg/L of alkalinity in about 15 hours of contact, imparting 5 to 20 mg/L of alkalinity per hour of contact. Reducing and alkalinity- producing systems add 15 to 60 g m&amp;2 d&amp;1 of alkalinity, depending on influent water quality and contact time. Selection and sizing criteria for the design of passive treatment systems are presented in this report.", "author" : [ { "dropping-particle" : "", "family" : "Watzlaf", "given" : "George R", "non-dropping-particle" : "", "parse-names" : false, "suffix" : "" }, { "dropping-particle" : "", "family" : "Schroeder", "given" : "Karl T", "non-dropping-particle" : "", "parse-names" : false, "suffix" : "" }, { "dropping-particle" : "", "family" : "Kleinmann", "given" : "Robert L P", "non-dropping-particle" : "", "parse-names" : false, "suffix" : "" }, { "dropping-particle" : "", "family" : "Kairies", "given" : "Candace L", "non-dropping-particle" : "", "parse-names" : false, "suffix" : "" }, { "dropping-particle" : "", "family" : "Nairn", "given" : "Robert W", "non-dropping-particle" : "", "parse-names" : false, "suffix" : "" }, { "dropping-particle" : "", "family" : "Street", "given" : "West Boyd", "non-dropping-particle" : "", "parse-names" : false, "suffix" : "" } ], "id" : "ITEM-1", "issued" : { "date-parts" : [ [ "2004" ] ] }, "page" : "1-72", "title" : "The Passive Treatment of Coal Mine Drainage", "type" : "article-journal" }, "uris" : [ "http://www.mendeley.com/documents/?uuid=07eb5f1f-654d-440c-9666-463949032060" ] } ], "mendeley" : { "formattedCitation" : "(Watzlaf et al. 2004)", "plainTextFormattedCitation" : "(Watzlaf et al. 2004)", "previouslyFormattedCitation" : "(Watzlaf et al. 2004)" }, "properties" : { "noteIndex" : 0 }, "schema" : "https://github.com/citation-style-language/schema/raw/master/csl-citation.json" }</w:instrText>
      </w:r>
      <w:r w:rsidRPr="00A90E7E">
        <w:rPr>
          <w:rFonts w:cs="Arial"/>
        </w:rPr>
        <w:fldChar w:fldCharType="separate"/>
      </w:r>
      <w:r w:rsidRPr="00A90E7E">
        <w:rPr>
          <w:rFonts w:cs="Arial"/>
          <w:noProof/>
        </w:rPr>
        <w:t>(Watzlaf et al. 2004)</w:t>
      </w:r>
      <w:r w:rsidRPr="00A90E7E">
        <w:rPr>
          <w:rFonts w:cs="Arial"/>
        </w:rPr>
        <w:fldChar w:fldCharType="end"/>
      </w:r>
      <w:r w:rsidRPr="00A90E7E">
        <w:rPr>
          <w:rFonts w:cs="Arial"/>
        </w:rPr>
        <w:t xml:space="preserve">.  Iron transport out of the system impacts the water quality of the receiving stream and is subject to permitting and regulation. To reduce these negative impacts, design features such as pond-marsh-pond surface-flow wetlands or secondary oxidation ponds / channels are installed as a buffer between preliminary oxidation and vertical flow cells </w:t>
      </w:r>
      <w:r w:rsidRPr="00A90E7E">
        <w:rPr>
          <w:rFonts w:cs="Arial"/>
        </w:rPr>
        <w:fldChar w:fldCharType="begin" w:fldLock="1"/>
      </w:r>
      <w:r w:rsidRPr="00A90E7E">
        <w:rPr>
          <w:rFonts w:cs="Arial"/>
        </w:rPr>
        <w:instrText>ADDIN CSL_CITATION { "citationItems" : [ { "id" : "ITEM-1", "itemData" : { "DOI" : "10.1016/j.ecolmodel.2006.09.029", "ISBN" : "0304-3800", "ISSN" : "03043800", "abstract" : "There is increasing awareness that solutions to degraded quality and excessive quantity of stormwater and resulting impacts on downstream water bodies may require a watershed approach to management rather that the incremental approach that is now common. Examination of low-relief watersheds characteristic of the southeastern coastal plain reveals common hierarchical patterns of surface water convergence that may be emulated in developed watersheds to enhance the efficacy of peak-flow attenuation and pollutant removal. A dynamic systems model was developed to compare stormwater management using a hierarchical network of treatment wetlands with the standard incremental approach wherein treatment systems are designed considering only site-level effluent criteria. The model simulates watershed hydrology, suspended sediment transport and phosphorus removal and transformation. Results indicate that watershed planning of stormwater collection and treatment systems using hierarchical networks can greatly enhance overall effectiveness (annual retention improvements of 31% for flow, 36% for sediment and 27% for phosphorus) with respect to an equal area of uniformly sized wetlands. Further, network proportions can be adjusted to specific runoff characteristics. Distinct roles were observed for each wetland size class: small headwater wetlands effectively removed sediment, medium-sized mid-reach wetlands retained phosphorus, while large wetlands primarily stored and attenuated long-period hydrologic flows. ?? 2006 Elsevier B.V. All rights reserved.", "author" : [ { "dropping-particle" : "", "family" : "Cohen", "given" : "Matthew J.", "non-dropping-particle" : "", "parse-names" : false, "suffix" : "" }, { "dropping-particle" : "", "family" : "Brown", "given" : "Mark T.", "non-dropping-particle" : "", "parse-names" : false, "suffix" : "" } ], "container-title" : "Ecological Modelling", "id" : "ITEM-1", "issue" : "2", "issued" : { "date-parts" : [ [ "2007" ] ] }, "page" : "179-193", "title" : "A model examining hierarchical wetland networks for watershed stormwater management", "type" : "article-journal", "volume" : "201" }, "uris" : [ "http://www.mendeley.com/documents/?uuid=4d4dbbfb-ac0a-419e-bba2-3f1190fee9e8" ] } ], "mendeley" : { "formattedCitation" : "(Cohen and Brown 2007)", "plainTextFormattedCitation" : "(Cohen and Brown 2007)", "previouslyFormattedCitation" : "(Cohen and Brown 2007)" }, "properties" : { "noteIndex" : 0 }, "schema" : "https://github.com/citation-style-language/schema/raw/master/csl-citation.json" }</w:instrText>
      </w:r>
      <w:r w:rsidRPr="00A90E7E">
        <w:rPr>
          <w:rFonts w:cs="Arial"/>
        </w:rPr>
        <w:fldChar w:fldCharType="separate"/>
      </w:r>
      <w:r w:rsidRPr="00A90E7E">
        <w:rPr>
          <w:rFonts w:cs="Arial"/>
          <w:noProof/>
        </w:rPr>
        <w:t>(Cohen and Brown 2007)</w:t>
      </w:r>
      <w:r w:rsidRPr="00A90E7E">
        <w:rPr>
          <w:rFonts w:cs="Arial"/>
        </w:rPr>
        <w:fldChar w:fldCharType="end"/>
      </w:r>
      <w:r w:rsidRPr="00A90E7E">
        <w:rPr>
          <w:rFonts w:cs="Arial"/>
        </w:rPr>
        <w:t xml:space="preserve">. Facilitating a second stage of removal for residual dissolved and particulate iron is essential for prevention of vertical flow hydraulic conductivity impairment from solids accumulation </w:t>
      </w:r>
      <w:r w:rsidRPr="00A90E7E">
        <w:rPr>
          <w:rFonts w:cs="Arial"/>
        </w:rPr>
        <w:fldChar w:fldCharType="begin" w:fldLock="1"/>
      </w:r>
      <w:r w:rsidRPr="00A90E7E">
        <w:rPr>
          <w:rFonts w:cs="Arial"/>
        </w:rPr>
        <w:instrText>ADDIN CSL_CITATION { "citationItems" : [ { "id" : "ITEM-1", "itemData" : { "author" : [ { "dropping-particle" : "", "family" : "Wiseman, IM; Edwards", "given" : "PJ", "non-dropping-particle" : "", "parse-names" : false, "suffix" : "" } ], "container-title" : "The Journal", "id" : "ITEM-1", "issue" : "3", "issued" : { "date-parts" : [ [ "2004" ] ] }, "page" : "127-132", "title" : "Constructed Wetlands for Minewater Treatment: Performance and Sustainability", "type" : "article-journal", "volume" : "18" }, "uris" : [ "http://www.mendeley.com/documents/?uuid=50fde863-41d3-4ff9-a9ae-a668ad95faa0" ] } ], "mendeley" : { "formattedCitation" : "(Wiseman, IM; Edwards 2004)", "plainTextFormattedCitation" : "(Wiseman, IM; Edwards 2004)", "previouslyFormattedCitation" : "(Wiseman, IM; Edwards 2004)" }, "properties" : { "noteIndex" : 0 }, "schema" : "https://github.com/citation-style-language/schema/raw/master/csl-citation.json" }</w:instrText>
      </w:r>
      <w:r w:rsidRPr="00A90E7E">
        <w:rPr>
          <w:rFonts w:cs="Arial"/>
        </w:rPr>
        <w:fldChar w:fldCharType="separate"/>
      </w:r>
      <w:r w:rsidR="00C3441C">
        <w:rPr>
          <w:rFonts w:cs="Arial"/>
          <w:noProof/>
        </w:rPr>
        <w:t xml:space="preserve">(Wiseman and </w:t>
      </w:r>
      <w:r w:rsidRPr="00A90E7E">
        <w:rPr>
          <w:rFonts w:cs="Arial"/>
          <w:noProof/>
        </w:rPr>
        <w:t>Edwards 2004)</w:t>
      </w:r>
      <w:r w:rsidRPr="00A90E7E">
        <w:rPr>
          <w:rFonts w:cs="Arial"/>
        </w:rPr>
        <w:fldChar w:fldCharType="end"/>
      </w:r>
    </w:p>
    <w:p w14:paraId="064D4757" w14:textId="77777777" w:rsidR="00A90E7E" w:rsidRPr="00A90E7E" w:rsidRDefault="00A90E7E" w:rsidP="00A90E7E">
      <w:pPr>
        <w:spacing w:line="480" w:lineRule="auto"/>
        <w:jc w:val="both"/>
        <w:rPr>
          <w:rFonts w:cs="Arial"/>
        </w:rPr>
      </w:pPr>
      <w:r w:rsidRPr="00A90E7E">
        <w:rPr>
          <w:rFonts w:cs="Arial"/>
        </w:rPr>
        <w:t>The purpose of this study was to quantify the fractional amount of total iron transport associated with storm events of increasing rainfall intensity and to determine if storm disturbance significantly contributed to iron mass transport between treatment units or the system effluent.</w:t>
      </w:r>
    </w:p>
    <w:p w14:paraId="5DB687C8" w14:textId="77777777" w:rsidR="00A90E7E" w:rsidRPr="00A90E7E" w:rsidRDefault="00A90E7E" w:rsidP="00A90E7E">
      <w:pPr>
        <w:keepNext/>
        <w:keepLines/>
        <w:spacing w:before="240" w:after="0"/>
        <w:outlineLvl w:val="0"/>
        <w:rPr>
          <w:rFonts w:asciiTheme="majorHAnsi" w:eastAsiaTheme="majorEastAsia" w:hAnsiTheme="majorHAnsi" w:cstheme="majorBidi"/>
          <w:b/>
          <w:sz w:val="24"/>
          <w:szCs w:val="32"/>
        </w:rPr>
      </w:pPr>
      <w:r w:rsidRPr="00A90E7E">
        <w:rPr>
          <w:rFonts w:asciiTheme="majorHAnsi" w:eastAsiaTheme="majorEastAsia" w:hAnsiTheme="majorHAnsi" w:cstheme="majorBidi"/>
          <w:b/>
          <w:sz w:val="24"/>
          <w:szCs w:val="32"/>
        </w:rPr>
        <w:t>Methods</w:t>
      </w:r>
    </w:p>
    <w:p w14:paraId="3E83DFD2" w14:textId="77777777" w:rsidR="00A90E7E" w:rsidRPr="00A90E7E" w:rsidRDefault="00A90E7E" w:rsidP="00A90E7E"/>
    <w:p w14:paraId="642E3ECC" w14:textId="77777777" w:rsidR="00A90E7E" w:rsidRPr="00A90E7E" w:rsidRDefault="00A90E7E" w:rsidP="00A90E7E">
      <w:pPr>
        <w:keepNext/>
        <w:keepLines/>
        <w:spacing w:before="40" w:after="0"/>
        <w:outlineLvl w:val="3"/>
        <w:rPr>
          <w:rFonts w:asciiTheme="majorHAnsi" w:eastAsiaTheme="majorEastAsia" w:hAnsiTheme="majorHAnsi" w:cstheme="majorBidi"/>
          <w:i/>
          <w:iCs/>
        </w:rPr>
      </w:pPr>
      <w:r w:rsidRPr="00A90E7E">
        <w:rPr>
          <w:rFonts w:asciiTheme="majorHAnsi" w:eastAsiaTheme="majorEastAsia" w:hAnsiTheme="majorHAnsi" w:cstheme="majorBidi"/>
          <w:i/>
          <w:iCs/>
        </w:rPr>
        <w:t>Location</w:t>
      </w:r>
    </w:p>
    <w:p w14:paraId="5D2C0B33" w14:textId="77777777" w:rsidR="00A90E7E" w:rsidRPr="00A90E7E" w:rsidRDefault="00A90E7E" w:rsidP="00A90E7E"/>
    <w:p w14:paraId="7DB67D5D" w14:textId="77777777" w:rsidR="00A90E7E" w:rsidRPr="00A90E7E" w:rsidRDefault="00A90E7E" w:rsidP="00A90E7E">
      <w:pPr>
        <w:spacing w:line="480" w:lineRule="auto"/>
        <w:jc w:val="both"/>
        <w:rPr>
          <w:rFonts w:cs="Arial"/>
        </w:rPr>
      </w:pPr>
      <w:r w:rsidRPr="00A90E7E">
        <w:rPr>
          <w:rFonts w:cs="Arial"/>
        </w:rPr>
        <w:t xml:space="preserve">The Mayer Ranch Passive Treatment System (MRPTS) is located at the Tar Creek Superfund Site near Commerce, OK, within the Tri-State Mining District of northeastern Oklahoma, </w:t>
      </w:r>
      <w:r w:rsidRPr="00A90E7E">
        <w:rPr>
          <w:rFonts w:cs="Arial"/>
        </w:rPr>
        <w:lastRenderedPageBreak/>
        <w:t xml:space="preserve">southeastern Kansas and Southwestern Missouri.  It is a full-scale installation treating a continuous flow of </w:t>
      </w:r>
      <w:proofErr w:type="spellStart"/>
      <w:r w:rsidRPr="00A90E7E">
        <w:rPr>
          <w:rFonts w:cs="Arial"/>
        </w:rPr>
        <w:t>circumneutral</w:t>
      </w:r>
      <w:proofErr w:type="spellEnd"/>
      <w:r w:rsidRPr="00A90E7E">
        <w:rPr>
          <w:rFonts w:cs="Arial"/>
        </w:rPr>
        <w:t xml:space="preserve"> pH mine drainage with an average iron loading of approximately 36,500 kg/year (2009-2013, n =28, σ= 2080 kg/</w:t>
      </w:r>
      <w:proofErr w:type="spellStart"/>
      <w:r w:rsidRPr="00A90E7E">
        <w:rPr>
          <w:rFonts w:cs="Arial"/>
        </w:rPr>
        <w:t>yr</w:t>
      </w:r>
      <w:proofErr w:type="spellEnd"/>
      <w:r w:rsidRPr="00A90E7E">
        <w:rPr>
          <w:rFonts w:cs="Arial"/>
        </w:rPr>
        <w:t>). The system design features a preliminary oxidation pond (Cell 1) with a design hydraulic retention time (HRT) of 7.7 days and a surface area (SA) of 4083 m</w:t>
      </w:r>
      <w:r w:rsidRPr="00A90E7E">
        <w:rPr>
          <w:rFonts w:cs="Arial"/>
          <w:vertAlign w:val="superscript"/>
        </w:rPr>
        <w:t>2</w:t>
      </w:r>
      <w:r w:rsidRPr="00A90E7E">
        <w:rPr>
          <w:rFonts w:cs="Arial"/>
        </w:rPr>
        <w:t xml:space="preserve"> based on a design removal rate of 20 g Fe / m</w:t>
      </w:r>
      <w:r w:rsidRPr="00A90E7E">
        <w:rPr>
          <w:rFonts w:cs="Arial"/>
          <w:vertAlign w:val="superscript"/>
        </w:rPr>
        <w:t>2</w:t>
      </w:r>
      <w:r w:rsidRPr="00A90E7E">
        <w:rPr>
          <w:rFonts w:cs="Arial"/>
        </w:rPr>
        <w:t>/day.  Flow from the oxidation pond is split between two parallel surface flow wetlands designated Cell 2North and Cell 2South (HRT = 3.4 days; SA = 1685m</w:t>
      </w:r>
      <w:r w:rsidRPr="00A90E7E">
        <w:rPr>
          <w:rFonts w:cs="Arial"/>
          <w:vertAlign w:val="superscript"/>
        </w:rPr>
        <w:t>2</w:t>
      </w:r>
      <w:r w:rsidRPr="00A90E7E">
        <w:rPr>
          <w:rFonts w:cs="Arial"/>
        </w:rPr>
        <w:t>) with a pond-marsh-pond design to facilitate additional iron removal and solids retention. The system continues with parallel vertical flow bioreactors (Cell 3North and Cell 3South), reaeration cells (Cell 4North and Cell 4South), and horizontal flow limestone beds (Cell 5North and Cell 5South) before the flow is consolidated into a polishing wetland (Cell 6) with effluent discharge to an unnamed tributary of Tar Creek.  The total iron loading leaving the system averaged 107 kg/year (2009-2013, n = 28, σ= 26 kg/</w:t>
      </w:r>
      <w:proofErr w:type="spellStart"/>
      <w:r w:rsidRPr="00A90E7E">
        <w:rPr>
          <w:rFonts w:cs="Arial"/>
        </w:rPr>
        <w:t>yr</w:t>
      </w:r>
      <w:proofErr w:type="spellEnd"/>
      <w:r w:rsidRPr="00A90E7E">
        <w:rPr>
          <w:rFonts w:cs="Arial"/>
        </w:rPr>
        <w:t>) with the difference in influent and effluent loading being total iron retained within the system. The design hydraulic retention time (HRT) of Cell 6 is 0.8 days (SA = 1096 m</w:t>
      </w:r>
      <w:r w:rsidRPr="00A90E7E">
        <w:rPr>
          <w:rFonts w:cs="Arial"/>
          <w:vertAlign w:val="superscript"/>
        </w:rPr>
        <w:t>2</w:t>
      </w:r>
      <w:r w:rsidRPr="00A90E7E">
        <w:rPr>
          <w:rFonts w:cs="Arial"/>
        </w:rPr>
        <w:t xml:space="preserve">) while the HRT for MRPTS is approximately 20 days.   The cell configuration of the MRPTS is featured in Figure 3.1. </w:t>
      </w:r>
    </w:p>
    <w:p w14:paraId="5CF450D2" w14:textId="77777777" w:rsidR="00A90E7E" w:rsidRPr="00A90E7E" w:rsidRDefault="00A90E7E" w:rsidP="00A90E7E">
      <w:pPr>
        <w:spacing w:line="240" w:lineRule="auto"/>
        <w:jc w:val="both"/>
        <w:rPr>
          <w:rFonts w:cs="Arial"/>
          <w:sz w:val="20"/>
        </w:rPr>
      </w:pPr>
      <w:r w:rsidRPr="00A90E7E">
        <w:rPr>
          <w:noProof/>
        </w:rPr>
        <w:lastRenderedPageBreak/>
        <w:drawing>
          <wp:inline distT="0" distB="0" distL="0" distR="0" wp14:anchorId="7A7BBA1E" wp14:editId="77A017B1">
            <wp:extent cx="5170687" cy="2777490"/>
            <wp:effectExtent l="0" t="0" r="0" b="381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4632" t="44278" r="27706" b="21069"/>
                    <a:stretch/>
                  </pic:blipFill>
                  <pic:spPr bwMode="auto">
                    <a:xfrm>
                      <a:off x="0" y="0"/>
                      <a:ext cx="5200614" cy="2793566"/>
                    </a:xfrm>
                    <a:prstGeom prst="rect">
                      <a:avLst/>
                    </a:prstGeom>
                    <a:ln>
                      <a:noFill/>
                    </a:ln>
                    <a:extLst>
                      <a:ext uri="{53640926-AAD7-44D8-BBD7-CCE9431645EC}">
                        <a14:shadowObscured xmlns:a14="http://schemas.microsoft.com/office/drawing/2010/main"/>
                      </a:ext>
                    </a:extLst>
                  </pic:spPr>
                </pic:pic>
              </a:graphicData>
            </a:graphic>
          </wp:inline>
        </w:drawing>
      </w:r>
    </w:p>
    <w:p w14:paraId="23CD61D5" w14:textId="77777777" w:rsidR="00A90E7E" w:rsidRPr="00A90E7E" w:rsidRDefault="00A90E7E" w:rsidP="00A90E7E">
      <w:pPr>
        <w:spacing w:line="240" w:lineRule="auto"/>
        <w:jc w:val="both"/>
        <w:rPr>
          <w:rFonts w:cs="Arial"/>
        </w:rPr>
      </w:pPr>
      <w:r w:rsidRPr="00A90E7E">
        <w:rPr>
          <w:rFonts w:cs="Arial"/>
          <w:sz w:val="20"/>
        </w:rPr>
        <w:t xml:space="preserve">Figure 3.1: </w:t>
      </w:r>
      <w:proofErr w:type="spellStart"/>
      <w:r w:rsidRPr="00A90E7E">
        <w:rPr>
          <w:rFonts w:cs="Arial"/>
          <w:sz w:val="20"/>
        </w:rPr>
        <w:t>Autosampler</w:t>
      </w:r>
      <w:proofErr w:type="spellEnd"/>
      <w:r w:rsidRPr="00A90E7E">
        <w:rPr>
          <w:rFonts w:cs="Arial"/>
          <w:sz w:val="20"/>
        </w:rPr>
        <w:t xml:space="preserve"> installation locations at the Mayer Ranch Passive Treatment System (Commerce, OK) including the preliminary oxidative units (dashed box-white) and the system effluent (C6out). </w:t>
      </w:r>
    </w:p>
    <w:p w14:paraId="192EDE2E" w14:textId="77777777" w:rsidR="00A90E7E" w:rsidRPr="00A90E7E" w:rsidRDefault="00A90E7E" w:rsidP="00A90E7E">
      <w:pPr>
        <w:keepNext/>
        <w:keepLines/>
        <w:spacing w:before="40" w:after="0"/>
        <w:outlineLvl w:val="3"/>
        <w:rPr>
          <w:rFonts w:asciiTheme="majorHAnsi" w:eastAsiaTheme="majorEastAsia" w:hAnsiTheme="majorHAnsi" w:cstheme="majorBidi"/>
          <w:i/>
          <w:iCs/>
        </w:rPr>
      </w:pPr>
      <w:r w:rsidRPr="00A90E7E">
        <w:rPr>
          <w:rFonts w:asciiTheme="majorHAnsi" w:eastAsiaTheme="majorEastAsia" w:hAnsiTheme="majorHAnsi" w:cstheme="majorBidi"/>
          <w:i/>
          <w:iCs/>
        </w:rPr>
        <w:t>Instrumentation</w:t>
      </w:r>
    </w:p>
    <w:p w14:paraId="360E4E39" w14:textId="77777777" w:rsidR="00A90E7E" w:rsidRPr="00A90E7E" w:rsidRDefault="00A90E7E" w:rsidP="00A90E7E"/>
    <w:p w14:paraId="5DDBAD6F" w14:textId="17F6F2A7" w:rsidR="00A90E7E" w:rsidRPr="00A90E7E" w:rsidRDefault="00A90E7E" w:rsidP="00A90E7E">
      <w:pPr>
        <w:spacing w:line="480" w:lineRule="auto"/>
        <w:jc w:val="both"/>
        <w:rPr>
          <w:rFonts w:cs="Arial"/>
          <w:b/>
        </w:rPr>
      </w:pPr>
      <w:r w:rsidRPr="00A90E7E">
        <w:rPr>
          <w:rFonts w:cs="Arial"/>
        </w:rPr>
        <w:t>Sample collection was facilitated by four Sigma Aldrich 900max automatic samplers (</w:t>
      </w:r>
      <w:proofErr w:type="spellStart"/>
      <w:r w:rsidRPr="00A90E7E">
        <w:rPr>
          <w:rFonts w:cs="Arial"/>
        </w:rPr>
        <w:t>autosamplers</w:t>
      </w:r>
      <w:proofErr w:type="spellEnd"/>
      <w:r w:rsidRPr="00A90E7E">
        <w:rPr>
          <w:rFonts w:cs="Arial"/>
        </w:rPr>
        <w:t xml:space="preserve">) installed to sample the effluent of selected ells (Figure 3.1). Precipitation was measured at each </w:t>
      </w:r>
      <w:proofErr w:type="spellStart"/>
      <w:r w:rsidRPr="00A90E7E">
        <w:rPr>
          <w:rFonts w:cs="Arial"/>
        </w:rPr>
        <w:t>autosampler</w:t>
      </w:r>
      <w:proofErr w:type="spellEnd"/>
      <w:r w:rsidRPr="00A90E7E">
        <w:rPr>
          <w:rFonts w:cs="Arial"/>
        </w:rPr>
        <w:t xml:space="preserve"> with a tipping bucket rain gauge accessory installed approximately ten feet from the </w:t>
      </w:r>
      <w:proofErr w:type="spellStart"/>
      <w:r w:rsidRPr="00A90E7E">
        <w:rPr>
          <w:rFonts w:cs="Arial"/>
        </w:rPr>
        <w:t>autosampler</w:t>
      </w:r>
      <w:proofErr w:type="spellEnd"/>
      <w:r w:rsidRPr="00A90E7E">
        <w:rPr>
          <w:rFonts w:cs="Arial"/>
        </w:rPr>
        <w:t xml:space="preserve"> on a level cinderblock platform with no overhanging structures or vegetation.  A continuous, rechargeable power supply was maintained at each remote loca</w:t>
      </w:r>
      <w:r w:rsidR="00C3441C">
        <w:rPr>
          <w:rFonts w:cs="Arial"/>
        </w:rPr>
        <w:t xml:space="preserve">tion via the installation of a </w:t>
      </w:r>
      <w:r w:rsidRPr="00A90E7E">
        <w:rPr>
          <w:rFonts w:cs="Arial"/>
        </w:rPr>
        <w:t>10W-solar panel mounted on a steel pole and oriented due south (180</w:t>
      </w:r>
      <w:r w:rsidRPr="00A90E7E">
        <w:rPr>
          <w:rFonts w:cs="Arial"/>
          <w:vertAlign w:val="superscript"/>
        </w:rPr>
        <w:t>o</w:t>
      </w:r>
      <w:r w:rsidRPr="00A90E7E">
        <w:rPr>
          <w:rFonts w:cs="Arial"/>
        </w:rPr>
        <w:t xml:space="preserve"> / 30</w:t>
      </w:r>
      <w:r w:rsidRPr="00A90E7E">
        <w:rPr>
          <w:rFonts w:cs="Arial"/>
          <w:vertAlign w:val="superscript"/>
        </w:rPr>
        <w:t>o</w:t>
      </w:r>
      <w:r w:rsidRPr="00A90E7E">
        <w:rPr>
          <w:rFonts w:cs="Arial"/>
        </w:rPr>
        <w:t xml:space="preserve"> fixed angle) that recharges a 12-volt battery (dc).  The </w:t>
      </w:r>
      <w:proofErr w:type="spellStart"/>
      <w:r w:rsidRPr="00A90E7E">
        <w:rPr>
          <w:rFonts w:cs="Arial"/>
        </w:rPr>
        <w:t>autosampler</w:t>
      </w:r>
      <w:proofErr w:type="spellEnd"/>
      <w:r w:rsidRPr="00A90E7E">
        <w:rPr>
          <w:rFonts w:cs="Arial"/>
        </w:rPr>
        <w:t xml:space="preserve"> and the power supply were housed in a wooden box to minimize damage from environmental conditions and potential vandalism. The rain gage accessory initiated sample collection when the rainfall intensity exceeded an empirically-derived threshold value (cm/</w:t>
      </w:r>
      <w:proofErr w:type="spellStart"/>
      <w:r w:rsidRPr="00A90E7E">
        <w:rPr>
          <w:rFonts w:cs="Arial"/>
        </w:rPr>
        <w:t>hr</w:t>
      </w:r>
      <w:proofErr w:type="spellEnd"/>
      <w:r w:rsidRPr="00A90E7E">
        <w:rPr>
          <w:rFonts w:cs="Arial"/>
        </w:rPr>
        <w:t xml:space="preserve">) and triggered the </w:t>
      </w:r>
      <w:proofErr w:type="spellStart"/>
      <w:r w:rsidRPr="00A90E7E">
        <w:rPr>
          <w:rFonts w:cs="Arial"/>
        </w:rPr>
        <w:t>autosampler</w:t>
      </w:r>
      <w:proofErr w:type="spellEnd"/>
      <w:r w:rsidRPr="00A90E7E">
        <w:rPr>
          <w:rFonts w:cs="Arial"/>
        </w:rPr>
        <w:t xml:space="preserve"> to collect samples at pre-programed, non-uniformly spaced, user-defined time increments to capture the first flush, post-storm transport, and return to baseline conditions with enough resolution to describe the transport event. A total </w:t>
      </w:r>
      <w:r w:rsidRPr="00A90E7E">
        <w:rPr>
          <w:rFonts w:cs="Arial"/>
        </w:rPr>
        <w:lastRenderedPageBreak/>
        <w:t>of 24 samples were collected when rainfall intensity exceeded 0.250 cm/</w:t>
      </w:r>
      <w:proofErr w:type="spellStart"/>
      <w:r w:rsidRPr="00A90E7E">
        <w:rPr>
          <w:rFonts w:cs="Arial"/>
        </w:rPr>
        <w:t>hr</w:t>
      </w:r>
      <w:proofErr w:type="spellEnd"/>
      <w:r w:rsidRPr="00A90E7E">
        <w:rPr>
          <w:rFonts w:cs="Arial"/>
        </w:rPr>
        <w:t xml:space="preserve"> at initial (first flush), </w:t>
      </w:r>
      <w:r w:rsidRPr="00A90E7E">
        <w:rPr>
          <w:rFonts w:cs="Arial"/>
          <w:color w:val="000000"/>
        </w:rPr>
        <w:t xml:space="preserve">15 min, 30 min, 45 min, 1 </w:t>
      </w:r>
      <w:proofErr w:type="spellStart"/>
      <w:r w:rsidRPr="00A90E7E">
        <w:rPr>
          <w:rFonts w:cs="Arial"/>
          <w:color w:val="000000"/>
        </w:rPr>
        <w:t>hr</w:t>
      </w:r>
      <w:proofErr w:type="spellEnd"/>
      <w:r w:rsidRPr="00A90E7E">
        <w:rPr>
          <w:rFonts w:cs="Arial"/>
          <w:color w:val="000000"/>
        </w:rPr>
        <w:t xml:space="preserve">, 1.5 </w:t>
      </w:r>
      <w:proofErr w:type="spellStart"/>
      <w:r w:rsidRPr="00A90E7E">
        <w:rPr>
          <w:rFonts w:cs="Arial"/>
          <w:color w:val="000000"/>
        </w:rPr>
        <w:t>hr</w:t>
      </w:r>
      <w:proofErr w:type="spellEnd"/>
      <w:r w:rsidRPr="00A90E7E">
        <w:rPr>
          <w:rFonts w:cs="Arial"/>
          <w:color w:val="000000"/>
        </w:rPr>
        <w:t xml:space="preserve">, 2 </w:t>
      </w:r>
      <w:proofErr w:type="spellStart"/>
      <w:r w:rsidRPr="00A90E7E">
        <w:rPr>
          <w:rFonts w:cs="Arial"/>
          <w:color w:val="000000"/>
        </w:rPr>
        <w:t>hr</w:t>
      </w:r>
      <w:proofErr w:type="spellEnd"/>
      <w:r w:rsidRPr="00A90E7E">
        <w:rPr>
          <w:rFonts w:cs="Arial"/>
          <w:color w:val="000000"/>
        </w:rPr>
        <w:t xml:space="preserve">, 2.5 </w:t>
      </w:r>
      <w:proofErr w:type="spellStart"/>
      <w:r w:rsidRPr="00A90E7E">
        <w:rPr>
          <w:rFonts w:cs="Arial"/>
          <w:color w:val="000000"/>
        </w:rPr>
        <w:t>hr</w:t>
      </w:r>
      <w:proofErr w:type="spellEnd"/>
      <w:r w:rsidRPr="00A90E7E">
        <w:rPr>
          <w:rFonts w:cs="Arial"/>
          <w:color w:val="000000"/>
        </w:rPr>
        <w:t xml:space="preserve">, 3 </w:t>
      </w:r>
      <w:proofErr w:type="spellStart"/>
      <w:r w:rsidRPr="00A90E7E">
        <w:rPr>
          <w:rFonts w:cs="Arial"/>
          <w:color w:val="000000"/>
        </w:rPr>
        <w:t>hr</w:t>
      </w:r>
      <w:proofErr w:type="spellEnd"/>
      <w:r w:rsidRPr="00A90E7E">
        <w:rPr>
          <w:rFonts w:cs="Arial"/>
          <w:color w:val="000000"/>
        </w:rPr>
        <w:t xml:space="preserve">, 3.5 </w:t>
      </w:r>
      <w:proofErr w:type="spellStart"/>
      <w:r w:rsidRPr="00A90E7E">
        <w:rPr>
          <w:rFonts w:cs="Arial"/>
          <w:color w:val="000000"/>
        </w:rPr>
        <w:t>hr</w:t>
      </w:r>
      <w:proofErr w:type="spellEnd"/>
      <w:r w:rsidRPr="00A90E7E">
        <w:rPr>
          <w:rFonts w:cs="Arial"/>
          <w:color w:val="000000"/>
        </w:rPr>
        <w:t xml:space="preserve">, 4 </w:t>
      </w:r>
      <w:proofErr w:type="spellStart"/>
      <w:r w:rsidRPr="00A90E7E">
        <w:rPr>
          <w:rFonts w:cs="Arial"/>
          <w:color w:val="000000"/>
        </w:rPr>
        <w:t>hr</w:t>
      </w:r>
      <w:proofErr w:type="spellEnd"/>
      <w:r w:rsidRPr="00A90E7E">
        <w:rPr>
          <w:rFonts w:cs="Arial"/>
          <w:color w:val="000000"/>
        </w:rPr>
        <w:t xml:space="preserve">, 5 </w:t>
      </w:r>
      <w:proofErr w:type="spellStart"/>
      <w:r w:rsidRPr="00A90E7E">
        <w:rPr>
          <w:rFonts w:cs="Arial"/>
          <w:color w:val="000000"/>
        </w:rPr>
        <w:t>hr</w:t>
      </w:r>
      <w:proofErr w:type="spellEnd"/>
      <w:r w:rsidRPr="00A90E7E">
        <w:rPr>
          <w:rFonts w:cs="Arial"/>
          <w:color w:val="000000"/>
        </w:rPr>
        <w:t xml:space="preserve">, 6 </w:t>
      </w:r>
      <w:proofErr w:type="spellStart"/>
      <w:r w:rsidRPr="00A90E7E">
        <w:rPr>
          <w:rFonts w:cs="Arial"/>
          <w:color w:val="000000"/>
        </w:rPr>
        <w:t>hr</w:t>
      </w:r>
      <w:proofErr w:type="spellEnd"/>
      <w:r w:rsidRPr="00A90E7E">
        <w:rPr>
          <w:rFonts w:cs="Arial"/>
          <w:color w:val="000000"/>
        </w:rPr>
        <w:t xml:space="preserve">, 7 </w:t>
      </w:r>
      <w:proofErr w:type="spellStart"/>
      <w:r w:rsidRPr="00A90E7E">
        <w:rPr>
          <w:rFonts w:cs="Arial"/>
          <w:color w:val="000000"/>
        </w:rPr>
        <w:t>hr</w:t>
      </w:r>
      <w:proofErr w:type="spellEnd"/>
      <w:r w:rsidRPr="00A90E7E">
        <w:rPr>
          <w:rFonts w:cs="Arial"/>
          <w:color w:val="000000"/>
        </w:rPr>
        <w:t xml:space="preserve">, 9 hr,11 </w:t>
      </w:r>
      <w:proofErr w:type="spellStart"/>
      <w:r w:rsidRPr="00A90E7E">
        <w:rPr>
          <w:rFonts w:cs="Arial"/>
          <w:color w:val="000000"/>
        </w:rPr>
        <w:t>hr</w:t>
      </w:r>
      <w:proofErr w:type="spellEnd"/>
      <w:r w:rsidRPr="00A90E7E">
        <w:rPr>
          <w:rFonts w:cs="Arial"/>
          <w:color w:val="000000"/>
        </w:rPr>
        <w:t xml:space="preserve">, 13 </w:t>
      </w:r>
      <w:proofErr w:type="spellStart"/>
      <w:r w:rsidRPr="00A90E7E">
        <w:rPr>
          <w:rFonts w:cs="Arial"/>
          <w:color w:val="000000"/>
        </w:rPr>
        <w:t>hr</w:t>
      </w:r>
      <w:proofErr w:type="spellEnd"/>
      <w:r w:rsidRPr="00A90E7E">
        <w:rPr>
          <w:rFonts w:cs="Arial"/>
          <w:color w:val="000000"/>
        </w:rPr>
        <w:t xml:space="preserve">, 15 </w:t>
      </w:r>
      <w:proofErr w:type="spellStart"/>
      <w:r w:rsidRPr="00A90E7E">
        <w:rPr>
          <w:rFonts w:cs="Arial"/>
          <w:color w:val="000000"/>
        </w:rPr>
        <w:t>hr</w:t>
      </w:r>
      <w:proofErr w:type="spellEnd"/>
      <w:r w:rsidRPr="00A90E7E">
        <w:rPr>
          <w:rFonts w:cs="Arial"/>
          <w:color w:val="000000"/>
        </w:rPr>
        <w:t xml:space="preserve">, 18 </w:t>
      </w:r>
      <w:proofErr w:type="spellStart"/>
      <w:r w:rsidRPr="00A90E7E">
        <w:rPr>
          <w:rFonts w:cs="Arial"/>
          <w:color w:val="000000"/>
        </w:rPr>
        <w:t>hr</w:t>
      </w:r>
      <w:proofErr w:type="spellEnd"/>
      <w:r w:rsidRPr="00A90E7E">
        <w:rPr>
          <w:rFonts w:cs="Arial"/>
          <w:color w:val="000000"/>
        </w:rPr>
        <w:t xml:space="preserve">, 21 </w:t>
      </w:r>
      <w:proofErr w:type="spellStart"/>
      <w:r w:rsidRPr="00A90E7E">
        <w:rPr>
          <w:rFonts w:cs="Arial"/>
          <w:color w:val="000000"/>
        </w:rPr>
        <w:t>hr</w:t>
      </w:r>
      <w:proofErr w:type="spellEnd"/>
      <w:r w:rsidRPr="00A90E7E">
        <w:rPr>
          <w:rFonts w:cs="Arial"/>
          <w:color w:val="000000"/>
        </w:rPr>
        <w:t xml:space="preserve">, 24 </w:t>
      </w:r>
      <w:proofErr w:type="spellStart"/>
      <w:r w:rsidRPr="00A90E7E">
        <w:rPr>
          <w:rFonts w:cs="Arial"/>
          <w:color w:val="000000"/>
        </w:rPr>
        <w:t>hr</w:t>
      </w:r>
      <w:proofErr w:type="spellEnd"/>
      <w:r w:rsidRPr="00A90E7E">
        <w:rPr>
          <w:rFonts w:cs="Arial"/>
          <w:color w:val="000000"/>
        </w:rPr>
        <w:t xml:space="preserve">, 27 </w:t>
      </w:r>
      <w:proofErr w:type="spellStart"/>
      <w:r w:rsidRPr="00A90E7E">
        <w:rPr>
          <w:rFonts w:cs="Arial"/>
          <w:color w:val="000000"/>
        </w:rPr>
        <w:t>hr</w:t>
      </w:r>
      <w:proofErr w:type="spellEnd"/>
      <w:r w:rsidRPr="00A90E7E">
        <w:rPr>
          <w:rFonts w:cs="Arial"/>
          <w:color w:val="000000"/>
        </w:rPr>
        <w:t xml:space="preserve">, 31 </w:t>
      </w:r>
      <w:proofErr w:type="spellStart"/>
      <w:r w:rsidRPr="00A90E7E">
        <w:rPr>
          <w:rFonts w:cs="Arial"/>
          <w:color w:val="000000"/>
        </w:rPr>
        <w:t>hr</w:t>
      </w:r>
      <w:proofErr w:type="spellEnd"/>
      <w:r w:rsidRPr="00A90E7E">
        <w:rPr>
          <w:rFonts w:cs="Arial"/>
          <w:color w:val="000000"/>
        </w:rPr>
        <w:t xml:space="preserve">, 35 </w:t>
      </w:r>
      <w:proofErr w:type="spellStart"/>
      <w:r w:rsidRPr="00A90E7E">
        <w:rPr>
          <w:rFonts w:cs="Arial"/>
          <w:color w:val="000000"/>
        </w:rPr>
        <w:t>hr</w:t>
      </w:r>
      <w:proofErr w:type="spellEnd"/>
      <w:r w:rsidRPr="00A90E7E">
        <w:rPr>
          <w:rFonts w:cs="Arial"/>
          <w:color w:val="000000"/>
        </w:rPr>
        <w:t xml:space="preserve">, and 39 </w:t>
      </w:r>
      <w:proofErr w:type="spellStart"/>
      <w:r w:rsidRPr="00A90E7E">
        <w:rPr>
          <w:rFonts w:cs="Arial"/>
          <w:color w:val="000000"/>
        </w:rPr>
        <w:t>hr</w:t>
      </w:r>
      <w:proofErr w:type="spellEnd"/>
      <w:r w:rsidRPr="00A90E7E">
        <w:rPr>
          <w:rFonts w:cs="Arial"/>
          <w:color w:val="000000"/>
        </w:rPr>
        <w:t xml:space="preserve"> after each triggered event in 2011. This program was refined to trigger at 1.00 cm/</w:t>
      </w:r>
      <w:proofErr w:type="spellStart"/>
      <w:r w:rsidRPr="00A90E7E">
        <w:rPr>
          <w:rFonts w:cs="Arial"/>
          <w:color w:val="000000"/>
        </w:rPr>
        <w:t>hr</w:t>
      </w:r>
      <w:proofErr w:type="spellEnd"/>
      <w:r w:rsidRPr="00A90E7E">
        <w:rPr>
          <w:rFonts w:cs="Arial"/>
          <w:color w:val="000000"/>
        </w:rPr>
        <w:t xml:space="preserve"> and collect at first flush, 20 min, 40 min, 1hr, 1.5 </w:t>
      </w:r>
      <w:proofErr w:type="spellStart"/>
      <w:r w:rsidRPr="00A90E7E">
        <w:rPr>
          <w:rFonts w:cs="Arial"/>
          <w:color w:val="000000"/>
        </w:rPr>
        <w:t>hr</w:t>
      </w:r>
      <w:proofErr w:type="spellEnd"/>
      <w:r w:rsidRPr="00A90E7E">
        <w:rPr>
          <w:rFonts w:cs="Arial"/>
          <w:color w:val="000000"/>
        </w:rPr>
        <w:t xml:space="preserve">, 2 </w:t>
      </w:r>
      <w:proofErr w:type="spellStart"/>
      <w:r w:rsidRPr="00A90E7E">
        <w:rPr>
          <w:rFonts w:cs="Arial"/>
          <w:color w:val="000000"/>
        </w:rPr>
        <w:t>hr</w:t>
      </w:r>
      <w:proofErr w:type="spellEnd"/>
      <w:r w:rsidRPr="00A90E7E">
        <w:rPr>
          <w:rFonts w:cs="Arial"/>
          <w:color w:val="000000"/>
        </w:rPr>
        <w:t xml:space="preserve">, 2.5 </w:t>
      </w:r>
      <w:proofErr w:type="spellStart"/>
      <w:r w:rsidRPr="00A90E7E">
        <w:rPr>
          <w:rFonts w:cs="Arial"/>
          <w:color w:val="000000"/>
        </w:rPr>
        <w:t>hr</w:t>
      </w:r>
      <w:proofErr w:type="spellEnd"/>
      <w:r w:rsidRPr="00A90E7E">
        <w:rPr>
          <w:rFonts w:cs="Arial"/>
          <w:color w:val="000000"/>
        </w:rPr>
        <w:t>, 3</w:t>
      </w:r>
      <w:r w:rsidR="00C3441C">
        <w:rPr>
          <w:rFonts w:cs="Arial"/>
          <w:color w:val="000000"/>
        </w:rPr>
        <w:t>.8</w:t>
      </w:r>
      <w:r w:rsidRPr="00A90E7E">
        <w:rPr>
          <w:rFonts w:cs="Arial"/>
          <w:color w:val="000000"/>
        </w:rPr>
        <w:t xml:space="preserve"> </w:t>
      </w:r>
      <w:proofErr w:type="spellStart"/>
      <w:r w:rsidRPr="00A90E7E">
        <w:rPr>
          <w:rFonts w:cs="Arial"/>
          <w:color w:val="000000"/>
        </w:rPr>
        <w:t>hr</w:t>
      </w:r>
      <w:proofErr w:type="spellEnd"/>
      <w:r w:rsidRPr="00A90E7E">
        <w:rPr>
          <w:rFonts w:cs="Arial"/>
          <w:color w:val="000000"/>
        </w:rPr>
        <w:t xml:space="preserve">, 4.5 </w:t>
      </w:r>
      <w:proofErr w:type="spellStart"/>
      <w:r w:rsidRPr="00A90E7E">
        <w:rPr>
          <w:rFonts w:cs="Arial"/>
          <w:color w:val="000000"/>
        </w:rPr>
        <w:t>hr</w:t>
      </w:r>
      <w:proofErr w:type="spellEnd"/>
      <w:r w:rsidRPr="00A90E7E">
        <w:rPr>
          <w:rFonts w:cs="Arial"/>
          <w:color w:val="000000"/>
        </w:rPr>
        <w:t xml:space="preserve">, 5.5 </w:t>
      </w:r>
      <w:proofErr w:type="spellStart"/>
      <w:r w:rsidRPr="00A90E7E">
        <w:rPr>
          <w:rFonts w:cs="Arial"/>
          <w:color w:val="000000"/>
        </w:rPr>
        <w:t>hr</w:t>
      </w:r>
      <w:proofErr w:type="spellEnd"/>
      <w:r w:rsidRPr="00A90E7E">
        <w:rPr>
          <w:rFonts w:cs="Arial"/>
          <w:color w:val="000000"/>
        </w:rPr>
        <w:t xml:space="preserve">, 6.5 </w:t>
      </w:r>
      <w:proofErr w:type="spellStart"/>
      <w:r w:rsidRPr="00A90E7E">
        <w:rPr>
          <w:rFonts w:cs="Arial"/>
          <w:color w:val="000000"/>
        </w:rPr>
        <w:t>hr</w:t>
      </w:r>
      <w:proofErr w:type="spellEnd"/>
      <w:r w:rsidRPr="00A90E7E">
        <w:rPr>
          <w:rFonts w:cs="Arial"/>
          <w:color w:val="000000"/>
        </w:rPr>
        <w:t xml:space="preserve">, 7.5 </w:t>
      </w:r>
      <w:proofErr w:type="spellStart"/>
      <w:r w:rsidRPr="00A90E7E">
        <w:rPr>
          <w:rFonts w:cs="Arial"/>
          <w:color w:val="000000"/>
        </w:rPr>
        <w:t>hr</w:t>
      </w:r>
      <w:proofErr w:type="spellEnd"/>
      <w:r w:rsidRPr="00A90E7E">
        <w:rPr>
          <w:rFonts w:cs="Arial"/>
          <w:color w:val="000000"/>
        </w:rPr>
        <w:t xml:space="preserve">, 8.5 </w:t>
      </w:r>
      <w:proofErr w:type="spellStart"/>
      <w:r w:rsidRPr="00A90E7E">
        <w:rPr>
          <w:rFonts w:cs="Arial"/>
          <w:color w:val="000000"/>
        </w:rPr>
        <w:t>hr</w:t>
      </w:r>
      <w:proofErr w:type="spellEnd"/>
      <w:r w:rsidRPr="00A90E7E">
        <w:rPr>
          <w:rFonts w:cs="Arial"/>
          <w:color w:val="000000"/>
        </w:rPr>
        <w:t xml:space="preserve">, 9.5 </w:t>
      </w:r>
      <w:proofErr w:type="spellStart"/>
      <w:r w:rsidRPr="00A90E7E">
        <w:rPr>
          <w:rFonts w:cs="Arial"/>
          <w:color w:val="000000"/>
        </w:rPr>
        <w:t>hr</w:t>
      </w:r>
      <w:proofErr w:type="spellEnd"/>
      <w:r w:rsidRPr="00A90E7E">
        <w:rPr>
          <w:rFonts w:cs="Arial"/>
          <w:color w:val="000000"/>
        </w:rPr>
        <w:t xml:space="preserve">, 10.5 </w:t>
      </w:r>
      <w:proofErr w:type="spellStart"/>
      <w:r w:rsidRPr="00A90E7E">
        <w:rPr>
          <w:rFonts w:cs="Arial"/>
          <w:color w:val="000000"/>
        </w:rPr>
        <w:t>hr</w:t>
      </w:r>
      <w:proofErr w:type="spellEnd"/>
      <w:r w:rsidRPr="00A90E7E">
        <w:rPr>
          <w:rFonts w:cs="Arial"/>
          <w:color w:val="000000"/>
        </w:rPr>
        <w:t xml:space="preserve">, 11.5 </w:t>
      </w:r>
      <w:proofErr w:type="spellStart"/>
      <w:r w:rsidRPr="00A90E7E">
        <w:rPr>
          <w:rFonts w:cs="Arial"/>
          <w:color w:val="000000"/>
        </w:rPr>
        <w:t>hr</w:t>
      </w:r>
      <w:proofErr w:type="spellEnd"/>
      <w:r w:rsidRPr="00A90E7E">
        <w:rPr>
          <w:rFonts w:cs="Arial"/>
          <w:color w:val="000000"/>
        </w:rPr>
        <w:t xml:space="preserve">, 12.5 </w:t>
      </w:r>
      <w:proofErr w:type="spellStart"/>
      <w:r w:rsidRPr="00A90E7E">
        <w:rPr>
          <w:rFonts w:cs="Arial"/>
          <w:color w:val="000000"/>
        </w:rPr>
        <w:t>hr</w:t>
      </w:r>
      <w:proofErr w:type="spellEnd"/>
      <w:r w:rsidRPr="00A90E7E">
        <w:rPr>
          <w:rFonts w:cs="Arial"/>
          <w:color w:val="000000"/>
        </w:rPr>
        <w:t xml:space="preserve">, 14.5 </w:t>
      </w:r>
      <w:proofErr w:type="spellStart"/>
      <w:r w:rsidRPr="00A90E7E">
        <w:rPr>
          <w:rFonts w:cs="Arial"/>
          <w:color w:val="000000"/>
        </w:rPr>
        <w:t>hr</w:t>
      </w:r>
      <w:proofErr w:type="spellEnd"/>
      <w:r w:rsidRPr="00A90E7E">
        <w:rPr>
          <w:rFonts w:cs="Arial"/>
          <w:color w:val="000000"/>
        </w:rPr>
        <w:t xml:space="preserve">, 16.5hr, 18.5 </w:t>
      </w:r>
      <w:proofErr w:type="spellStart"/>
      <w:r w:rsidRPr="00A90E7E">
        <w:rPr>
          <w:rFonts w:cs="Arial"/>
          <w:color w:val="000000"/>
        </w:rPr>
        <w:t>hr</w:t>
      </w:r>
      <w:proofErr w:type="spellEnd"/>
      <w:r w:rsidRPr="00A90E7E">
        <w:rPr>
          <w:rFonts w:cs="Arial"/>
          <w:color w:val="000000"/>
        </w:rPr>
        <w:t xml:space="preserve">, 22.5 </w:t>
      </w:r>
      <w:proofErr w:type="spellStart"/>
      <w:r w:rsidRPr="00A90E7E">
        <w:rPr>
          <w:rFonts w:cs="Arial"/>
          <w:color w:val="000000"/>
        </w:rPr>
        <w:t>hr</w:t>
      </w:r>
      <w:proofErr w:type="spellEnd"/>
      <w:r w:rsidRPr="00A90E7E">
        <w:rPr>
          <w:rFonts w:cs="Arial"/>
          <w:color w:val="000000"/>
        </w:rPr>
        <w:t xml:space="preserve">, 26.5 </w:t>
      </w:r>
      <w:proofErr w:type="spellStart"/>
      <w:r w:rsidRPr="00A90E7E">
        <w:rPr>
          <w:rFonts w:cs="Arial"/>
          <w:color w:val="000000"/>
        </w:rPr>
        <w:t>hr</w:t>
      </w:r>
      <w:proofErr w:type="spellEnd"/>
      <w:r w:rsidRPr="00A90E7E">
        <w:rPr>
          <w:rFonts w:cs="Arial"/>
          <w:color w:val="000000"/>
        </w:rPr>
        <w:t xml:space="preserve">, and 30.5 </w:t>
      </w:r>
      <w:proofErr w:type="spellStart"/>
      <w:r w:rsidRPr="00A90E7E">
        <w:rPr>
          <w:rFonts w:cs="Arial"/>
          <w:color w:val="000000"/>
        </w:rPr>
        <w:t>hr</w:t>
      </w:r>
      <w:proofErr w:type="spellEnd"/>
      <w:r w:rsidRPr="00A90E7E">
        <w:rPr>
          <w:rFonts w:cs="Arial"/>
          <w:color w:val="000000"/>
        </w:rPr>
        <w:t xml:space="preserve"> for 2012-2013 storm events.  </w:t>
      </w:r>
      <w:r w:rsidRPr="00A90E7E">
        <w:rPr>
          <w:rFonts w:cs="Arial"/>
        </w:rPr>
        <w:t>Sample was pumped through Teflon-lined polyethylene tubing (</w:t>
      </w:r>
      <w:r w:rsidR="00C3441C">
        <w:rPr>
          <w:rFonts w:cs="Arial"/>
        </w:rPr>
        <w:t>0.95 cm</w:t>
      </w:r>
      <w:r w:rsidRPr="00A90E7E">
        <w:rPr>
          <w:rFonts w:cs="Arial"/>
        </w:rPr>
        <w:t xml:space="preserve"> id) terminating in a Teflon/stainless steel strainer suspended in the water column of the </w:t>
      </w:r>
      <w:proofErr w:type="spellStart"/>
      <w:r w:rsidRPr="00A90E7E">
        <w:rPr>
          <w:rFonts w:cs="Arial"/>
        </w:rPr>
        <w:t>Agri</w:t>
      </w:r>
      <w:proofErr w:type="spellEnd"/>
      <w:r w:rsidRPr="00A90E7E">
        <w:rPr>
          <w:rFonts w:cs="Arial"/>
        </w:rPr>
        <w:t xml:space="preserve"> Drain</w:t>
      </w:r>
      <w:r w:rsidRPr="00A90E7E">
        <w:rPr>
          <w:rFonts w:cs="Arial"/>
          <w:vertAlign w:val="superscript"/>
        </w:rPr>
        <w:t>®</w:t>
      </w:r>
      <w:r w:rsidRPr="00A90E7E">
        <w:rPr>
          <w:rFonts w:cs="Arial"/>
        </w:rPr>
        <w:t xml:space="preserve"> in-line water control structure, with three rinses before dispensing sample into a radial array of 24 HDPE 1.0-L sample bottles via peristaltic pump. </w:t>
      </w:r>
    </w:p>
    <w:p w14:paraId="4F99552A" w14:textId="77777777" w:rsidR="00A90E7E" w:rsidRPr="00A90E7E" w:rsidRDefault="00A90E7E" w:rsidP="00A90E7E">
      <w:pPr>
        <w:spacing w:line="240" w:lineRule="auto"/>
        <w:jc w:val="both"/>
        <w:rPr>
          <w:rFonts w:cs="Arial"/>
        </w:rPr>
      </w:pPr>
      <w:r w:rsidRPr="00A90E7E">
        <w:rPr>
          <w:noProof/>
        </w:rPr>
        <w:drawing>
          <wp:inline distT="0" distB="0" distL="0" distR="0" wp14:anchorId="53B9D8CF" wp14:editId="0700E69C">
            <wp:extent cx="5139690" cy="2623185"/>
            <wp:effectExtent l="0" t="0" r="381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7493" t="34762" r="23535" b="14011"/>
                    <a:stretch/>
                  </pic:blipFill>
                  <pic:spPr bwMode="auto">
                    <a:xfrm>
                      <a:off x="0" y="0"/>
                      <a:ext cx="5184009" cy="2645804"/>
                    </a:xfrm>
                    <a:prstGeom prst="rect">
                      <a:avLst/>
                    </a:prstGeom>
                    <a:ln>
                      <a:noFill/>
                    </a:ln>
                    <a:extLst>
                      <a:ext uri="{53640926-AAD7-44D8-BBD7-CCE9431645EC}">
                        <a14:shadowObscured xmlns:a14="http://schemas.microsoft.com/office/drawing/2010/main"/>
                      </a:ext>
                    </a:extLst>
                  </pic:spPr>
                </pic:pic>
              </a:graphicData>
            </a:graphic>
          </wp:inline>
        </w:drawing>
      </w:r>
    </w:p>
    <w:p w14:paraId="4864FDEE" w14:textId="77777777" w:rsidR="00A90E7E" w:rsidRPr="00C3441C" w:rsidRDefault="00A90E7E" w:rsidP="00A90E7E">
      <w:pPr>
        <w:spacing w:after="200" w:line="240" w:lineRule="auto"/>
        <w:jc w:val="both"/>
        <w:rPr>
          <w:rFonts w:cs="Arial"/>
          <w:sz w:val="20"/>
          <w:szCs w:val="20"/>
        </w:rPr>
      </w:pPr>
      <w:r w:rsidRPr="00C3441C">
        <w:rPr>
          <w:rFonts w:cs="Arial"/>
          <w:sz w:val="20"/>
          <w:szCs w:val="20"/>
        </w:rPr>
        <w:t xml:space="preserve">Figure 3.2: Example of </w:t>
      </w:r>
      <w:proofErr w:type="spellStart"/>
      <w:r w:rsidRPr="00C3441C">
        <w:rPr>
          <w:rFonts w:cs="Arial"/>
          <w:sz w:val="20"/>
          <w:szCs w:val="20"/>
        </w:rPr>
        <w:t>Autosampler</w:t>
      </w:r>
      <w:proofErr w:type="spellEnd"/>
      <w:r w:rsidRPr="00C3441C">
        <w:rPr>
          <w:rFonts w:cs="Arial"/>
          <w:sz w:val="20"/>
          <w:szCs w:val="20"/>
        </w:rPr>
        <w:t xml:space="preserve"> installation featuring accessories: (1) Solar panel, (2) Solar regulator, (3) Sampling tubing, (4) In-line flow control structure (</w:t>
      </w:r>
      <w:proofErr w:type="spellStart"/>
      <w:r w:rsidRPr="00C3441C">
        <w:rPr>
          <w:rFonts w:cs="Arial"/>
          <w:sz w:val="20"/>
          <w:szCs w:val="20"/>
        </w:rPr>
        <w:t>Agri</w:t>
      </w:r>
      <w:proofErr w:type="spellEnd"/>
      <w:r w:rsidRPr="00C3441C">
        <w:rPr>
          <w:rFonts w:cs="Arial"/>
          <w:sz w:val="20"/>
          <w:szCs w:val="20"/>
        </w:rPr>
        <w:t xml:space="preserve"> Drain</w:t>
      </w:r>
      <w:r w:rsidRPr="00C3441C">
        <w:rPr>
          <w:rFonts w:cs="Arial"/>
          <w:sz w:val="20"/>
          <w:szCs w:val="20"/>
          <w:vertAlign w:val="superscript"/>
        </w:rPr>
        <w:t>®</w:t>
      </w:r>
      <w:r w:rsidRPr="00C3441C">
        <w:rPr>
          <w:rFonts w:cs="Arial"/>
          <w:sz w:val="20"/>
          <w:szCs w:val="20"/>
        </w:rPr>
        <w:t xml:space="preserve">), (5) </w:t>
      </w:r>
      <w:proofErr w:type="spellStart"/>
      <w:r w:rsidRPr="00C3441C">
        <w:rPr>
          <w:rFonts w:cs="Arial"/>
          <w:sz w:val="20"/>
          <w:szCs w:val="20"/>
        </w:rPr>
        <w:t>Autosampler</w:t>
      </w:r>
      <w:proofErr w:type="spellEnd"/>
      <w:r w:rsidRPr="00C3441C">
        <w:rPr>
          <w:rFonts w:cs="Arial"/>
          <w:sz w:val="20"/>
          <w:szCs w:val="20"/>
        </w:rPr>
        <w:t xml:space="preserve"> housing, (6) Rain gauge, (7) 900max portable sampler, (8) Solar rechargeable 12V-battery, and (9) 24-bottle collection array. (photos from installation location and The </w:t>
      </w:r>
      <w:proofErr w:type="spellStart"/>
      <w:r w:rsidRPr="00C3441C">
        <w:rPr>
          <w:rFonts w:cs="Arial"/>
          <w:sz w:val="20"/>
          <w:szCs w:val="20"/>
        </w:rPr>
        <w:t>Hach</w:t>
      </w:r>
      <w:proofErr w:type="spellEnd"/>
      <w:r w:rsidRPr="00C3441C">
        <w:rPr>
          <w:rFonts w:cs="Arial"/>
          <w:sz w:val="20"/>
          <w:szCs w:val="20"/>
        </w:rPr>
        <w:t xml:space="preserve"> Company) </w:t>
      </w:r>
    </w:p>
    <w:p w14:paraId="656E6CD9" w14:textId="77777777" w:rsidR="00A90E7E" w:rsidRPr="00A90E7E" w:rsidRDefault="00A90E7E" w:rsidP="00A90E7E">
      <w:pPr>
        <w:keepNext/>
        <w:keepLines/>
        <w:spacing w:before="40" w:after="0"/>
        <w:outlineLvl w:val="3"/>
        <w:rPr>
          <w:rFonts w:asciiTheme="majorHAnsi" w:eastAsiaTheme="majorEastAsia" w:hAnsiTheme="majorHAnsi" w:cstheme="majorBidi"/>
          <w:i/>
          <w:iCs/>
        </w:rPr>
      </w:pPr>
    </w:p>
    <w:p w14:paraId="5852B56B" w14:textId="77777777" w:rsidR="00A90E7E" w:rsidRPr="00A90E7E" w:rsidRDefault="00A90E7E" w:rsidP="00A90E7E">
      <w:pPr>
        <w:keepNext/>
        <w:keepLines/>
        <w:spacing w:before="40" w:after="0"/>
        <w:outlineLvl w:val="3"/>
        <w:rPr>
          <w:rFonts w:asciiTheme="majorHAnsi" w:eastAsiaTheme="majorEastAsia" w:hAnsiTheme="majorHAnsi" w:cstheme="majorBidi"/>
          <w:i/>
          <w:iCs/>
        </w:rPr>
      </w:pPr>
      <w:r w:rsidRPr="00A90E7E">
        <w:rPr>
          <w:rFonts w:asciiTheme="majorHAnsi" w:eastAsiaTheme="majorEastAsia" w:hAnsiTheme="majorHAnsi" w:cstheme="majorBidi"/>
          <w:i/>
          <w:iCs/>
        </w:rPr>
        <w:t xml:space="preserve">Flowrate and Mass Loading </w:t>
      </w:r>
    </w:p>
    <w:p w14:paraId="7806BBFC" w14:textId="77777777" w:rsidR="00A90E7E" w:rsidRPr="00A90E7E" w:rsidRDefault="00A90E7E" w:rsidP="00A90E7E"/>
    <w:p w14:paraId="3566A4E3" w14:textId="77777777" w:rsidR="00A90E7E" w:rsidRPr="00A90E7E" w:rsidRDefault="00A90E7E" w:rsidP="00A90E7E">
      <w:pPr>
        <w:spacing w:line="480" w:lineRule="auto"/>
        <w:jc w:val="both"/>
        <w:rPr>
          <w:rFonts w:cs="Arial"/>
        </w:rPr>
      </w:pPr>
      <w:r w:rsidRPr="00A90E7E">
        <w:rPr>
          <w:rFonts w:cs="Arial"/>
        </w:rPr>
        <w:t xml:space="preserve">The influent flow to the MRPTS is the sum of three mine seeps that were monitored monthly from 2009-2011, and then quarterly from 2012-2013 to measure the flow dynamics and water </w:t>
      </w:r>
      <w:r w:rsidRPr="00A90E7E">
        <w:rPr>
          <w:rFonts w:cs="Arial"/>
        </w:rPr>
        <w:lastRenderedPageBreak/>
        <w:t xml:space="preserve">quality for loading calculations. Grab samples for total and dissolved metals analysis and </w:t>
      </w:r>
      <w:r w:rsidRPr="00A90E7E">
        <w:rPr>
          <w:rFonts w:cs="Arial"/>
          <w:i/>
        </w:rPr>
        <w:t>in-situ</w:t>
      </w:r>
      <w:r w:rsidRPr="00A90E7E">
        <w:rPr>
          <w:rFonts w:cs="Arial"/>
        </w:rPr>
        <w:t xml:space="preserve"> water quality parameter measurements were collected at the effluent of Cell 1, Cell2North, Cell 2South, and Cell 6 over the same time. The average flow rate for each season was used to calculate mass loading for individual storm events for Cell1, C2N, and C2S: Spring (March, April, </w:t>
      </w:r>
      <w:proofErr w:type="gramStart"/>
      <w:r w:rsidRPr="00A90E7E">
        <w:rPr>
          <w:rFonts w:cs="Arial"/>
        </w:rPr>
        <w:t>May</w:t>
      </w:r>
      <w:proofErr w:type="gramEnd"/>
      <w:r w:rsidRPr="00A90E7E">
        <w:rPr>
          <w:rFonts w:cs="Arial"/>
        </w:rPr>
        <w:t xml:space="preserve"> = 27,639 L/</w:t>
      </w:r>
      <w:proofErr w:type="spellStart"/>
      <w:r w:rsidRPr="00A90E7E">
        <w:rPr>
          <w:rFonts w:cs="Arial"/>
        </w:rPr>
        <w:t>hr</w:t>
      </w:r>
      <w:proofErr w:type="spellEnd"/>
      <w:r w:rsidRPr="00A90E7E">
        <w:rPr>
          <w:rFonts w:cs="Arial"/>
        </w:rPr>
        <w:t>), Summer (June, July, Aug = 23,467 L/</w:t>
      </w:r>
      <w:proofErr w:type="spellStart"/>
      <w:r w:rsidRPr="00A90E7E">
        <w:rPr>
          <w:rFonts w:cs="Arial"/>
        </w:rPr>
        <w:t>hr</w:t>
      </w:r>
      <w:proofErr w:type="spellEnd"/>
      <w:r w:rsidRPr="00A90E7E">
        <w:rPr>
          <w:rFonts w:cs="Arial"/>
        </w:rPr>
        <w:t>), Fall (Sept, Oct, Nov = 20,786 L/</w:t>
      </w:r>
      <w:proofErr w:type="spellStart"/>
      <w:r w:rsidRPr="00A90E7E">
        <w:rPr>
          <w:rFonts w:cs="Arial"/>
        </w:rPr>
        <w:t>hr</w:t>
      </w:r>
      <w:proofErr w:type="spellEnd"/>
      <w:r w:rsidRPr="00A90E7E">
        <w:rPr>
          <w:rFonts w:cs="Arial"/>
        </w:rPr>
        <w:t>) and Winter (Dec, Jan, Feb = 23,586 L/</w:t>
      </w:r>
      <w:proofErr w:type="spellStart"/>
      <w:r w:rsidRPr="00A90E7E">
        <w:rPr>
          <w:rFonts w:cs="Arial"/>
        </w:rPr>
        <w:t>hr</w:t>
      </w:r>
      <w:proofErr w:type="spellEnd"/>
      <w:r w:rsidRPr="00A90E7E">
        <w:rPr>
          <w:rFonts w:cs="Arial"/>
        </w:rPr>
        <w:t xml:space="preserve">).  The average system effluent flow rate for each season was used to calculate mass loading for individual storm events for C6out: Spring (March, April, </w:t>
      </w:r>
      <w:proofErr w:type="gramStart"/>
      <w:r w:rsidRPr="00A90E7E">
        <w:rPr>
          <w:rFonts w:cs="Arial"/>
        </w:rPr>
        <w:t>May</w:t>
      </w:r>
      <w:proofErr w:type="gramEnd"/>
      <w:r w:rsidRPr="00A90E7E">
        <w:rPr>
          <w:rFonts w:cs="Arial"/>
        </w:rPr>
        <w:t xml:space="preserve"> = 24,903 L/</w:t>
      </w:r>
      <w:proofErr w:type="spellStart"/>
      <w:r w:rsidRPr="00A90E7E">
        <w:rPr>
          <w:rFonts w:cs="Arial"/>
        </w:rPr>
        <w:t>hr</w:t>
      </w:r>
      <w:proofErr w:type="spellEnd"/>
      <w:r w:rsidRPr="00A90E7E">
        <w:rPr>
          <w:rFonts w:cs="Arial"/>
        </w:rPr>
        <w:t>), Summer (June, July, Aug = 24,415 L/</w:t>
      </w:r>
      <w:proofErr w:type="spellStart"/>
      <w:r w:rsidRPr="00A90E7E">
        <w:rPr>
          <w:rFonts w:cs="Arial"/>
        </w:rPr>
        <w:t>hr</w:t>
      </w:r>
      <w:proofErr w:type="spellEnd"/>
      <w:r w:rsidRPr="00A90E7E">
        <w:rPr>
          <w:rFonts w:cs="Arial"/>
        </w:rPr>
        <w:t>), Fall (Sept, Oct, Nov = 22,001 L/</w:t>
      </w:r>
      <w:proofErr w:type="spellStart"/>
      <w:r w:rsidRPr="00A90E7E">
        <w:rPr>
          <w:rFonts w:cs="Arial"/>
        </w:rPr>
        <w:t>hr</w:t>
      </w:r>
      <w:proofErr w:type="spellEnd"/>
      <w:r w:rsidRPr="00A90E7E">
        <w:rPr>
          <w:rFonts w:cs="Arial"/>
        </w:rPr>
        <w:t>) and Winter (Dec, Jan, Feb = 27,497 L/</w:t>
      </w:r>
      <w:proofErr w:type="spellStart"/>
      <w:r w:rsidRPr="00A90E7E">
        <w:rPr>
          <w:rFonts w:cs="Arial"/>
        </w:rPr>
        <w:t>hr</w:t>
      </w:r>
      <w:proofErr w:type="spellEnd"/>
      <w:r w:rsidRPr="00A90E7E">
        <w:rPr>
          <w:rFonts w:cs="Arial"/>
        </w:rPr>
        <w:t xml:space="preserve">).  </w:t>
      </w:r>
    </w:p>
    <w:p w14:paraId="3DD0797F" w14:textId="77777777" w:rsidR="00A90E7E" w:rsidRPr="00A90E7E" w:rsidRDefault="00A90E7E" w:rsidP="00A90E7E">
      <w:pPr>
        <w:keepNext/>
        <w:keepLines/>
        <w:spacing w:before="40" w:after="0"/>
        <w:outlineLvl w:val="1"/>
        <w:rPr>
          <w:rFonts w:asciiTheme="majorHAnsi" w:eastAsiaTheme="majorEastAsia" w:hAnsiTheme="majorHAnsi" w:cstheme="majorBidi"/>
          <w:b/>
          <w:sz w:val="24"/>
          <w:szCs w:val="26"/>
        </w:rPr>
      </w:pPr>
    </w:p>
    <w:p w14:paraId="01D1DF99" w14:textId="77777777" w:rsidR="00A90E7E" w:rsidRPr="00A90E7E" w:rsidRDefault="00A90E7E" w:rsidP="00A90E7E">
      <w:pPr>
        <w:keepNext/>
        <w:keepLines/>
        <w:spacing w:before="40" w:after="0"/>
        <w:outlineLvl w:val="3"/>
        <w:rPr>
          <w:rFonts w:asciiTheme="majorHAnsi" w:eastAsiaTheme="majorEastAsia" w:hAnsiTheme="majorHAnsi" w:cstheme="majorBidi"/>
          <w:i/>
          <w:iCs/>
        </w:rPr>
      </w:pPr>
      <w:r w:rsidRPr="00A90E7E">
        <w:rPr>
          <w:rFonts w:asciiTheme="majorHAnsi" w:eastAsiaTheme="majorEastAsia" w:hAnsiTheme="majorHAnsi" w:cstheme="majorBidi"/>
          <w:i/>
          <w:iCs/>
        </w:rPr>
        <w:t>Sample Collection and Processing</w:t>
      </w:r>
    </w:p>
    <w:p w14:paraId="6B7B979E" w14:textId="77777777" w:rsidR="00A90E7E" w:rsidRPr="00A90E7E" w:rsidRDefault="00A90E7E" w:rsidP="00A90E7E"/>
    <w:p w14:paraId="7F747A97" w14:textId="7657656B" w:rsidR="00A90E7E" w:rsidRPr="00A90E7E" w:rsidRDefault="00A90E7E" w:rsidP="00A90E7E">
      <w:pPr>
        <w:spacing w:line="480" w:lineRule="auto"/>
        <w:jc w:val="both"/>
        <w:rPr>
          <w:rFonts w:cs="Arial"/>
          <w:color w:val="000000"/>
        </w:rPr>
      </w:pPr>
      <w:r w:rsidRPr="00A90E7E">
        <w:rPr>
          <w:rFonts w:cs="Arial"/>
        </w:rPr>
        <w:t xml:space="preserve">Within one week of the completion of the 30+hr sample collection event, HDPE </w:t>
      </w:r>
      <w:proofErr w:type="spellStart"/>
      <w:r w:rsidRPr="00A90E7E">
        <w:rPr>
          <w:rFonts w:cs="Arial"/>
        </w:rPr>
        <w:t>autosampler</w:t>
      </w:r>
      <w:proofErr w:type="spellEnd"/>
      <w:r w:rsidRPr="00A90E7E">
        <w:rPr>
          <w:rFonts w:cs="Arial"/>
        </w:rPr>
        <w:t xml:space="preserve"> bottles were exchanged with a spare set of acid-washed bottles to minimize instrument downtime between site visits.  All 24 samples were acidified with concentrated nitric acid, capped, and placed in a cooler for transport back to the laboratory. Precipitation data were logged in 15-minute increments over the duration of each storm transport event, and were downloaded while samples were prepared for transport. At the laboratory, each </w:t>
      </w:r>
      <w:proofErr w:type="spellStart"/>
      <w:r w:rsidRPr="00A90E7E">
        <w:rPr>
          <w:rFonts w:cs="Arial"/>
        </w:rPr>
        <w:t>autosampler</w:t>
      </w:r>
      <w:proofErr w:type="spellEnd"/>
      <w:r w:rsidRPr="00A90E7E">
        <w:rPr>
          <w:rFonts w:cs="Arial"/>
        </w:rPr>
        <w:t xml:space="preserve"> bottle was repeatedly inverted to ensure uniform mixing before the contents were transferred to 250-mL HDPE bottles. A transfer duplicate was included with each set of samples to evaluate the reproducibility of the transfer process. The </w:t>
      </w:r>
      <w:proofErr w:type="spellStart"/>
      <w:r w:rsidRPr="00A90E7E">
        <w:rPr>
          <w:rFonts w:cs="Arial"/>
        </w:rPr>
        <w:t>autosampler</w:t>
      </w:r>
      <w:proofErr w:type="spellEnd"/>
      <w:r w:rsidRPr="00A90E7E">
        <w:rPr>
          <w:rFonts w:cs="Arial"/>
        </w:rPr>
        <w:t xml:space="preserve"> bottles and caps were acid washed, dried, and packaged for field deployment while the transferred samples were digested via EPA Method 3015A with a CEM </w:t>
      </w:r>
      <w:proofErr w:type="spellStart"/>
      <w:r w:rsidRPr="00A90E7E">
        <w:rPr>
          <w:rFonts w:cs="Arial"/>
        </w:rPr>
        <w:t>MARSXpress</w:t>
      </w:r>
      <w:proofErr w:type="spellEnd"/>
      <w:r w:rsidRPr="00A90E7E">
        <w:rPr>
          <w:rFonts w:cs="Arial"/>
        </w:rPr>
        <w:t xml:space="preserve"> V unit and analyzed with a </w:t>
      </w:r>
      <w:r w:rsidRPr="00A90E7E">
        <w:t>Varian Vista-PRO Simultaneous Axial Inductively Coupled Plasma-Optical Emission Spectrophotometer</w:t>
      </w:r>
      <w:r w:rsidRPr="00A90E7E">
        <w:rPr>
          <w:rFonts w:cs="Arial"/>
        </w:rPr>
        <w:t xml:space="preserve"> (ICP-OES; EPA Method 6010A) for total metals concentrations (Al, As, Ca, </w:t>
      </w:r>
      <w:r w:rsidRPr="00A90E7E">
        <w:rPr>
          <w:rFonts w:cs="Arial"/>
        </w:rPr>
        <w:lastRenderedPageBreak/>
        <w:t xml:space="preserve">Cd, Co, Cr, Cu, Fe, K, Mg, </w:t>
      </w:r>
      <w:proofErr w:type="spellStart"/>
      <w:r w:rsidRPr="00A90E7E">
        <w:rPr>
          <w:rFonts w:cs="Arial"/>
        </w:rPr>
        <w:t>Mn</w:t>
      </w:r>
      <w:proofErr w:type="spellEnd"/>
      <w:r w:rsidRPr="00A90E7E">
        <w:rPr>
          <w:rFonts w:cs="Arial"/>
        </w:rPr>
        <w:t xml:space="preserve">, Na, Ni, </w:t>
      </w:r>
      <w:proofErr w:type="spellStart"/>
      <w:r w:rsidRPr="00A90E7E">
        <w:rPr>
          <w:rFonts w:cs="Arial"/>
        </w:rPr>
        <w:t>Pb</w:t>
      </w:r>
      <w:proofErr w:type="spellEnd"/>
      <w:r w:rsidRPr="00A90E7E">
        <w:rPr>
          <w:rFonts w:cs="Arial"/>
        </w:rPr>
        <w:t>, Zn). QAQC standard operating procedures dictated the inclusion of laboratory blanks, duplicates, and standard spikes for the aqueous digestion and total metals analysis. Instrument calibration and verification via check standards (</w:t>
      </w:r>
      <w:r w:rsidR="00C3441C">
        <w:rPr>
          <w:rFonts w:cs="Arial"/>
        </w:rPr>
        <w:t>1 ppm and 10 pp</w:t>
      </w:r>
      <w:r w:rsidRPr="00A90E7E">
        <w:rPr>
          <w:rFonts w:cs="Arial"/>
        </w:rPr>
        <w:t>m) was also included.</w:t>
      </w:r>
    </w:p>
    <w:p w14:paraId="328FDCE1" w14:textId="77777777" w:rsidR="00A90E7E" w:rsidRPr="00A90E7E" w:rsidRDefault="00A90E7E" w:rsidP="00A90E7E">
      <w:pPr>
        <w:keepNext/>
        <w:keepLines/>
        <w:spacing w:before="40" w:after="0"/>
        <w:outlineLvl w:val="3"/>
        <w:rPr>
          <w:rFonts w:asciiTheme="majorHAnsi" w:eastAsiaTheme="majorEastAsia" w:hAnsiTheme="majorHAnsi" w:cstheme="majorBidi"/>
          <w:i/>
          <w:iCs/>
        </w:rPr>
      </w:pPr>
      <w:r w:rsidRPr="00A90E7E">
        <w:rPr>
          <w:rFonts w:asciiTheme="majorHAnsi" w:eastAsiaTheme="majorEastAsia" w:hAnsiTheme="majorHAnsi" w:cstheme="majorBidi"/>
          <w:i/>
          <w:iCs/>
        </w:rPr>
        <w:t>Storm Classification and Transport</w:t>
      </w:r>
    </w:p>
    <w:p w14:paraId="54197E7A" w14:textId="77777777" w:rsidR="00A90E7E" w:rsidRPr="00A90E7E" w:rsidRDefault="00A90E7E" w:rsidP="00A90E7E"/>
    <w:p w14:paraId="7115E6E2" w14:textId="77777777" w:rsidR="00A90E7E" w:rsidRPr="00A90E7E" w:rsidRDefault="00A90E7E" w:rsidP="00A90E7E">
      <w:pPr>
        <w:spacing w:line="480" w:lineRule="auto"/>
        <w:jc w:val="both"/>
        <w:rPr>
          <w:rFonts w:cs="Arial"/>
        </w:rPr>
      </w:pPr>
      <w:r w:rsidRPr="00A90E7E">
        <w:rPr>
          <w:rFonts w:cs="Arial"/>
        </w:rPr>
        <w:t xml:space="preserve">Precipitation data obtained from the Oklahoma </w:t>
      </w:r>
      <w:proofErr w:type="spellStart"/>
      <w:r w:rsidRPr="00A90E7E">
        <w:rPr>
          <w:rFonts w:cs="Arial"/>
        </w:rPr>
        <w:t>Mesonet</w:t>
      </w:r>
      <w:proofErr w:type="spellEnd"/>
      <w:r w:rsidRPr="00A90E7E">
        <w:rPr>
          <w:rFonts w:cs="Arial"/>
        </w:rPr>
        <w:t xml:space="preserve"> (Station 65, Miami, OK) from 1998-2008 (pre-system construction) were used to develop storm classification criteria based on rainfall intensity: Low (0.25-0.99 cm/</w:t>
      </w:r>
      <w:proofErr w:type="spellStart"/>
      <w:r w:rsidRPr="00A90E7E">
        <w:rPr>
          <w:rFonts w:cs="Arial"/>
        </w:rPr>
        <w:t>hr</w:t>
      </w:r>
      <w:proofErr w:type="spellEnd"/>
      <w:r w:rsidRPr="00A90E7E">
        <w:rPr>
          <w:rFonts w:cs="Arial"/>
        </w:rPr>
        <w:t>), Moderate (1.00-1.99 cm/</w:t>
      </w:r>
      <w:proofErr w:type="spellStart"/>
      <w:r w:rsidRPr="00A90E7E">
        <w:rPr>
          <w:rFonts w:cs="Arial"/>
        </w:rPr>
        <w:t>hr</w:t>
      </w:r>
      <w:proofErr w:type="spellEnd"/>
      <w:r w:rsidRPr="00A90E7E">
        <w:rPr>
          <w:rFonts w:cs="Arial"/>
        </w:rPr>
        <w:t>), High (2.00-2.99 cm/</w:t>
      </w:r>
      <w:proofErr w:type="spellStart"/>
      <w:r w:rsidRPr="00A90E7E">
        <w:rPr>
          <w:rFonts w:cs="Arial"/>
        </w:rPr>
        <w:t>hr</w:t>
      </w:r>
      <w:proofErr w:type="spellEnd"/>
      <w:r w:rsidRPr="00A90E7E">
        <w:rPr>
          <w:rFonts w:cs="Arial"/>
        </w:rPr>
        <w:t>), and Extreme (≥3.00 cm/</w:t>
      </w:r>
      <w:proofErr w:type="spellStart"/>
      <w:r w:rsidRPr="00A90E7E">
        <w:rPr>
          <w:rFonts w:cs="Arial"/>
        </w:rPr>
        <w:t>hr</w:t>
      </w:r>
      <w:proofErr w:type="spellEnd"/>
      <w:r w:rsidRPr="00A90E7E">
        <w:rPr>
          <w:rFonts w:cs="Arial"/>
        </w:rPr>
        <w:t xml:space="preserve">).  </w:t>
      </w:r>
    </w:p>
    <w:p w14:paraId="704760C3" w14:textId="77777777" w:rsidR="00A90E7E" w:rsidRPr="00A90E7E" w:rsidRDefault="00A90E7E" w:rsidP="00A90E7E">
      <w:pPr>
        <w:spacing w:line="480" w:lineRule="auto"/>
        <w:jc w:val="both"/>
        <w:rPr>
          <w:rFonts w:cs="Arial"/>
        </w:rPr>
      </w:pPr>
      <w:r w:rsidRPr="00A90E7E">
        <w:rPr>
          <w:rFonts w:cs="Arial"/>
        </w:rPr>
        <w:t xml:space="preserve">Mass loading of iron into and out of each cell was calculated by multiplying the concentration of iron in each sample by the average seasonal flow rate corresponding to the rainfall event, and the distribution of mass loadings over the 30+hr sampling period were plotted. The area under each curve represents gross iron transport, which is a composite of the baseline transport that would have happened regardless of storm disturbance and the storm-induced transport (net transport) which can be found by subtracting the baseline transport from the measured gross transport.  Baseline transport was determined using the minimum value of each mass transport profile to define baseline transport conditions that had been restored after the disturbance event. The baseline mass transport was applied uniformly over the 30+hr time interval (simulating conditions in which no storm event had occurred). Mass transport of iron (kg/storm intensity classification) was calculated for individual storm events covering the full range of storm intensity categories. Comparisons were made between the total amount of iron transported for each classification of storm event with respect to storm intensity, duration, and yield.  Statistical significance of net iron transport with respect to baseline </w:t>
      </w:r>
      <w:r w:rsidRPr="00A90E7E">
        <w:rPr>
          <w:rFonts w:cs="Arial"/>
        </w:rPr>
        <w:lastRenderedPageBreak/>
        <w:t>transport was evaluated over all rainfall intensity classifications with the t-test of two unpaired data series of unequal variance (</w:t>
      </w:r>
      <w:r w:rsidRPr="00A90E7E">
        <w:rPr>
          <w:rFonts w:cstheme="minorHAnsi"/>
        </w:rPr>
        <w:t>α</w:t>
      </w:r>
      <w:r w:rsidRPr="00A90E7E">
        <w:rPr>
          <w:rFonts w:cs="Arial"/>
        </w:rPr>
        <w:t xml:space="preserve"> = 0.05) in Microsoft Excel 2016.</w:t>
      </w:r>
    </w:p>
    <w:p w14:paraId="7D5811FF" w14:textId="77777777" w:rsidR="00A90E7E" w:rsidRPr="00A90E7E" w:rsidRDefault="00A90E7E" w:rsidP="00A90E7E">
      <w:pPr>
        <w:keepNext/>
        <w:keepLines/>
        <w:spacing w:before="240" w:after="0"/>
        <w:outlineLvl w:val="0"/>
        <w:rPr>
          <w:rFonts w:asciiTheme="majorHAnsi" w:eastAsiaTheme="majorEastAsia" w:hAnsiTheme="majorHAnsi" w:cstheme="majorBidi"/>
          <w:b/>
          <w:sz w:val="24"/>
          <w:szCs w:val="32"/>
        </w:rPr>
      </w:pPr>
      <w:r w:rsidRPr="00A90E7E">
        <w:rPr>
          <w:rFonts w:asciiTheme="majorHAnsi" w:eastAsiaTheme="majorEastAsia" w:hAnsiTheme="majorHAnsi" w:cstheme="majorBidi"/>
          <w:b/>
          <w:sz w:val="24"/>
          <w:szCs w:val="32"/>
        </w:rPr>
        <w:t>Results and Discussion</w:t>
      </w:r>
    </w:p>
    <w:p w14:paraId="36B758E7" w14:textId="77777777" w:rsidR="00A90E7E" w:rsidRPr="00A90E7E" w:rsidRDefault="00A90E7E" w:rsidP="00A90E7E"/>
    <w:p w14:paraId="32DA53BC" w14:textId="2A2AB238" w:rsidR="00A90E7E" w:rsidRPr="00A90E7E" w:rsidRDefault="00A90E7E" w:rsidP="00A90E7E">
      <w:pPr>
        <w:spacing w:line="480" w:lineRule="auto"/>
        <w:jc w:val="both"/>
        <w:rPr>
          <w:rFonts w:cs="Arial"/>
        </w:rPr>
      </w:pPr>
      <w:r w:rsidRPr="00A90E7E">
        <w:rPr>
          <w:rFonts w:cs="Arial"/>
        </w:rPr>
        <w:t xml:space="preserve">Performance of the Mayer Ranch Passive Treatment System oxidative unit is summarized in Table 3.1 as a series of discrete measurements averaged over a five-year period.  Cell 1 performs within design expectations for iron removal via oxidation and hydrolysis, achieving the target surface area adjusted removal rate of </w:t>
      </w:r>
      <w:r w:rsidR="00144BB5">
        <w:rPr>
          <w:rFonts w:cs="Arial"/>
        </w:rPr>
        <w:t xml:space="preserve">19 </w:t>
      </w:r>
      <w:r w:rsidRPr="00A90E7E">
        <w:rPr>
          <w:rFonts w:cs="Arial"/>
        </w:rPr>
        <w:t>g/m</w:t>
      </w:r>
      <w:r w:rsidRPr="00A90E7E">
        <w:rPr>
          <w:rFonts w:cs="Arial"/>
          <w:vertAlign w:val="superscript"/>
        </w:rPr>
        <w:t>2</w:t>
      </w:r>
      <w:r w:rsidRPr="00A90E7E">
        <w:rPr>
          <w:rFonts w:cs="Arial"/>
        </w:rPr>
        <w:t>/day. However, 21.3% of the iron loaded into Cell 1 is transported into Cell 2N and 2S. The secondary oxidation cells</w:t>
      </w:r>
      <w:r w:rsidR="00C3441C">
        <w:rPr>
          <w:rFonts w:cs="Arial"/>
        </w:rPr>
        <w:t xml:space="preserve"> (2N/S)</w:t>
      </w:r>
      <w:r w:rsidRPr="00A90E7E">
        <w:rPr>
          <w:rFonts w:cs="Arial"/>
        </w:rPr>
        <w:t xml:space="preserve"> perform consistently with each other with an average total (gross) iron transport approaching 18%. Cell 6 is transporting 33.8% of its loaded iron, however this is 107 kg/year out of the 36,036 kg/year loaded into Cell 1 for treatment (0.30% system transport with respect to loading). </w:t>
      </w:r>
    </w:p>
    <w:p w14:paraId="7CCB2783" w14:textId="77777777" w:rsidR="00A90E7E" w:rsidRPr="00A90E7E" w:rsidRDefault="00A90E7E" w:rsidP="00A90E7E">
      <w:pPr>
        <w:spacing w:line="240" w:lineRule="auto"/>
        <w:rPr>
          <w:rFonts w:cs="Arial"/>
          <w:sz w:val="20"/>
        </w:rPr>
      </w:pPr>
      <w:r w:rsidRPr="00A90E7E">
        <w:rPr>
          <w:rFonts w:cs="Arial"/>
          <w:sz w:val="20"/>
        </w:rPr>
        <w:t>Table 3.1: Comparison of MRPTS iron removal and transport (2011-2013)</w:t>
      </w:r>
    </w:p>
    <w:tbl>
      <w:tblPr>
        <w:tblW w:w="7920" w:type="dxa"/>
        <w:tblBorders>
          <w:top w:val="single" w:sz="4" w:space="0" w:color="auto"/>
          <w:bottom w:val="single" w:sz="4" w:space="0" w:color="auto"/>
        </w:tblBorders>
        <w:tblLayout w:type="fixed"/>
        <w:tblLook w:val="04A0" w:firstRow="1" w:lastRow="0" w:firstColumn="1" w:lastColumn="0" w:noHBand="0" w:noVBand="1"/>
      </w:tblPr>
      <w:tblGrid>
        <w:gridCol w:w="900"/>
        <w:gridCol w:w="1080"/>
        <w:gridCol w:w="1440"/>
        <w:gridCol w:w="1260"/>
        <w:gridCol w:w="1891"/>
        <w:gridCol w:w="1349"/>
      </w:tblGrid>
      <w:tr w:rsidR="00A90E7E" w:rsidRPr="00A90E7E" w14:paraId="40D74807" w14:textId="77777777" w:rsidTr="00A90E7E">
        <w:trPr>
          <w:trHeight w:val="827"/>
        </w:trPr>
        <w:tc>
          <w:tcPr>
            <w:tcW w:w="900" w:type="dxa"/>
            <w:tcBorders>
              <w:top w:val="single" w:sz="4" w:space="0" w:color="auto"/>
              <w:bottom w:val="double" w:sz="4" w:space="0" w:color="auto"/>
            </w:tcBorders>
            <w:shd w:val="clear" w:color="auto" w:fill="auto"/>
            <w:vAlign w:val="bottom"/>
            <w:hideMark/>
          </w:tcPr>
          <w:p w14:paraId="18B7D317" w14:textId="77777777" w:rsidR="00A90E7E" w:rsidRPr="00A90E7E" w:rsidRDefault="00A90E7E" w:rsidP="00A90E7E">
            <w:pPr>
              <w:spacing w:after="0" w:line="240" w:lineRule="auto"/>
              <w:rPr>
                <w:rFonts w:ascii="Calibri" w:eastAsia="Times New Roman" w:hAnsi="Calibri" w:cs="Times New Roman"/>
                <w:color w:val="000000"/>
                <w:sz w:val="20"/>
              </w:rPr>
            </w:pPr>
            <w:r w:rsidRPr="00A90E7E">
              <w:rPr>
                <w:rFonts w:ascii="Calibri" w:eastAsia="Times New Roman" w:hAnsi="Calibri" w:cs="Times New Roman"/>
                <w:color w:val="000000"/>
                <w:sz w:val="20"/>
              </w:rPr>
              <w:t> MRPTS Cell</w:t>
            </w:r>
          </w:p>
        </w:tc>
        <w:tc>
          <w:tcPr>
            <w:tcW w:w="1080" w:type="dxa"/>
            <w:tcBorders>
              <w:top w:val="single" w:sz="4" w:space="0" w:color="auto"/>
              <w:bottom w:val="double" w:sz="4" w:space="0" w:color="auto"/>
            </w:tcBorders>
            <w:shd w:val="clear" w:color="auto" w:fill="auto"/>
            <w:vAlign w:val="bottom"/>
            <w:hideMark/>
          </w:tcPr>
          <w:p w14:paraId="5F29CEA1"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Fe Loading (kg/year)</w:t>
            </w:r>
          </w:p>
        </w:tc>
        <w:tc>
          <w:tcPr>
            <w:tcW w:w="1440" w:type="dxa"/>
            <w:tcBorders>
              <w:top w:val="single" w:sz="4" w:space="0" w:color="auto"/>
              <w:bottom w:val="double" w:sz="4" w:space="0" w:color="auto"/>
            </w:tcBorders>
            <w:shd w:val="clear" w:color="auto" w:fill="auto"/>
            <w:vAlign w:val="bottom"/>
            <w:hideMark/>
          </w:tcPr>
          <w:p w14:paraId="61E8D5F2"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Total Fe Exported (kg/year)</w:t>
            </w:r>
          </w:p>
        </w:tc>
        <w:tc>
          <w:tcPr>
            <w:tcW w:w="1260" w:type="dxa"/>
            <w:tcBorders>
              <w:top w:val="single" w:sz="4" w:space="0" w:color="auto"/>
              <w:bottom w:val="double" w:sz="4" w:space="0" w:color="auto"/>
            </w:tcBorders>
            <w:shd w:val="clear" w:color="auto" w:fill="auto"/>
            <w:vAlign w:val="bottom"/>
            <w:hideMark/>
          </w:tcPr>
          <w:p w14:paraId="3C648E7D"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Total Fe Retention (kg/year)</w:t>
            </w:r>
          </w:p>
        </w:tc>
        <w:tc>
          <w:tcPr>
            <w:tcW w:w="1891" w:type="dxa"/>
            <w:tcBorders>
              <w:top w:val="single" w:sz="4" w:space="0" w:color="auto"/>
              <w:bottom w:val="double" w:sz="4" w:space="0" w:color="auto"/>
            </w:tcBorders>
            <w:shd w:val="clear" w:color="auto" w:fill="auto"/>
            <w:vAlign w:val="bottom"/>
            <w:hideMark/>
          </w:tcPr>
          <w:p w14:paraId="78BB28A0"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Surface Area Adjusted Removal Rate (g/m</w:t>
            </w:r>
            <w:r w:rsidRPr="00A90E7E">
              <w:rPr>
                <w:rFonts w:ascii="Calibri" w:eastAsia="Times New Roman" w:hAnsi="Calibri" w:cs="Times New Roman"/>
                <w:color w:val="000000"/>
                <w:sz w:val="20"/>
                <w:vertAlign w:val="superscript"/>
              </w:rPr>
              <w:t>2</w:t>
            </w:r>
            <w:r w:rsidRPr="00A90E7E">
              <w:rPr>
                <w:rFonts w:ascii="Calibri" w:eastAsia="Times New Roman" w:hAnsi="Calibri" w:cs="Times New Roman"/>
                <w:color w:val="000000"/>
                <w:sz w:val="20"/>
              </w:rPr>
              <w:t>/day)</w:t>
            </w:r>
          </w:p>
        </w:tc>
        <w:tc>
          <w:tcPr>
            <w:tcW w:w="1349" w:type="dxa"/>
            <w:tcBorders>
              <w:top w:val="single" w:sz="4" w:space="0" w:color="auto"/>
              <w:bottom w:val="double" w:sz="4" w:space="0" w:color="auto"/>
            </w:tcBorders>
            <w:shd w:val="clear" w:color="auto" w:fill="auto"/>
            <w:vAlign w:val="bottom"/>
            <w:hideMark/>
          </w:tcPr>
          <w:p w14:paraId="3F126C73"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 of Influent Fe Exported in Effluent</w:t>
            </w:r>
          </w:p>
        </w:tc>
      </w:tr>
      <w:tr w:rsidR="00A90E7E" w:rsidRPr="00A90E7E" w14:paraId="32F32B36" w14:textId="77777777" w:rsidTr="00A90E7E">
        <w:trPr>
          <w:trHeight w:val="300"/>
        </w:trPr>
        <w:tc>
          <w:tcPr>
            <w:tcW w:w="900" w:type="dxa"/>
            <w:tcBorders>
              <w:top w:val="double" w:sz="4" w:space="0" w:color="auto"/>
            </w:tcBorders>
            <w:shd w:val="clear" w:color="auto" w:fill="auto"/>
            <w:noWrap/>
            <w:vAlign w:val="bottom"/>
            <w:hideMark/>
          </w:tcPr>
          <w:p w14:paraId="1DF2FCA0" w14:textId="77777777" w:rsidR="00A90E7E" w:rsidRPr="00A90E7E" w:rsidRDefault="00A90E7E" w:rsidP="00A90E7E">
            <w:pPr>
              <w:spacing w:after="0" w:line="240" w:lineRule="auto"/>
              <w:rPr>
                <w:rFonts w:ascii="Calibri" w:eastAsia="Times New Roman" w:hAnsi="Calibri" w:cs="Times New Roman"/>
                <w:color w:val="000000"/>
                <w:sz w:val="20"/>
              </w:rPr>
            </w:pPr>
            <w:r w:rsidRPr="00A90E7E">
              <w:rPr>
                <w:rFonts w:ascii="Calibri" w:eastAsia="Times New Roman" w:hAnsi="Calibri" w:cs="Times New Roman"/>
                <w:color w:val="000000"/>
                <w:sz w:val="20"/>
              </w:rPr>
              <w:t>Cell 1</w:t>
            </w:r>
          </w:p>
        </w:tc>
        <w:tc>
          <w:tcPr>
            <w:tcW w:w="1080" w:type="dxa"/>
            <w:tcBorders>
              <w:top w:val="double" w:sz="4" w:space="0" w:color="auto"/>
            </w:tcBorders>
            <w:shd w:val="clear" w:color="auto" w:fill="auto"/>
            <w:noWrap/>
            <w:vAlign w:val="bottom"/>
            <w:hideMark/>
          </w:tcPr>
          <w:p w14:paraId="0DD255ED"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36,036</w:t>
            </w:r>
          </w:p>
        </w:tc>
        <w:tc>
          <w:tcPr>
            <w:tcW w:w="1440" w:type="dxa"/>
            <w:tcBorders>
              <w:top w:val="double" w:sz="4" w:space="0" w:color="auto"/>
            </w:tcBorders>
            <w:shd w:val="clear" w:color="auto" w:fill="auto"/>
            <w:noWrap/>
            <w:vAlign w:val="bottom"/>
            <w:hideMark/>
          </w:tcPr>
          <w:p w14:paraId="593729BB"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7682</w:t>
            </w:r>
          </w:p>
        </w:tc>
        <w:tc>
          <w:tcPr>
            <w:tcW w:w="1260" w:type="dxa"/>
            <w:tcBorders>
              <w:top w:val="double" w:sz="4" w:space="0" w:color="auto"/>
            </w:tcBorders>
            <w:shd w:val="clear" w:color="auto" w:fill="auto"/>
            <w:noWrap/>
            <w:vAlign w:val="bottom"/>
            <w:hideMark/>
          </w:tcPr>
          <w:p w14:paraId="3448D376"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28,354</w:t>
            </w:r>
          </w:p>
        </w:tc>
        <w:tc>
          <w:tcPr>
            <w:tcW w:w="1891" w:type="dxa"/>
            <w:tcBorders>
              <w:top w:val="double" w:sz="4" w:space="0" w:color="auto"/>
            </w:tcBorders>
            <w:shd w:val="clear" w:color="auto" w:fill="auto"/>
            <w:noWrap/>
            <w:vAlign w:val="bottom"/>
            <w:hideMark/>
          </w:tcPr>
          <w:p w14:paraId="68E51840"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19.02</w:t>
            </w:r>
          </w:p>
        </w:tc>
        <w:tc>
          <w:tcPr>
            <w:tcW w:w="1349" w:type="dxa"/>
            <w:tcBorders>
              <w:top w:val="double" w:sz="4" w:space="0" w:color="auto"/>
            </w:tcBorders>
            <w:shd w:val="clear" w:color="auto" w:fill="auto"/>
            <w:noWrap/>
            <w:vAlign w:val="bottom"/>
            <w:hideMark/>
          </w:tcPr>
          <w:p w14:paraId="37E04CE8"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21.3%</w:t>
            </w:r>
          </w:p>
        </w:tc>
      </w:tr>
      <w:tr w:rsidR="00A90E7E" w:rsidRPr="00A90E7E" w14:paraId="44241740" w14:textId="77777777" w:rsidTr="00A90E7E">
        <w:trPr>
          <w:trHeight w:val="300"/>
        </w:trPr>
        <w:tc>
          <w:tcPr>
            <w:tcW w:w="900" w:type="dxa"/>
            <w:shd w:val="clear" w:color="auto" w:fill="auto"/>
            <w:noWrap/>
            <w:vAlign w:val="bottom"/>
            <w:hideMark/>
          </w:tcPr>
          <w:p w14:paraId="35CD82AC" w14:textId="77777777" w:rsidR="00A90E7E" w:rsidRPr="00A90E7E" w:rsidRDefault="00A90E7E" w:rsidP="00A90E7E">
            <w:pPr>
              <w:spacing w:after="0" w:line="240" w:lineRule="auto"/>
              <w:rPr>
                <w:rFonts w:ascii="Calibri" w:eastAsia="Times New Roman" w:hAnsi="Calibri" w:cs="Times New Roman"/>
                <w:color w:val="000000"/>
                <w:sz w:val="20"/>
              </w:rPr>
            </w:pPr>
            <w:r w:rsidRPr="00A90E7E">
              <w:rPr>
                <w:rFonts w:ascii="Calibri" w:eastAsia="Times New Roman" w:hAnsi="Calibri" w:cs="Times New Roman"/>
                <w:color w:val="000000"/>
                <w:sz w:val="20"/>
              </w:rPr>
              <w:t>C2N</w:t>
            </w:r>
          </w:p>
        </w:tc>
        <w:tc>
          <w:tcPr>
            <w:tcW w:w="1080" w:type="dxa"/>
            <w:shd w:val="clear" w:color="auto" w:fill="auto"/>
            <w:noWrap/>
            <w:vAlign w:val="bottom"/>
            <w:hideMark/>
          </w:tcPr>
          <w:p w14:paraId="281AC1F9"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7682</w:t>
            </w:r>
          </w:p>
        </w:tc>
        <w:tc>
          <w:tcPr>
            <w:tcW w:w="1440" w:type="dxa"/>
            <w:shd w:val="clear" w:color="auto" w:fill="auto"/>
            <w:noWrap/>
            <w:vAlign w:val="bottom"/>
            <w:hideMark/>
          </w:tcPr>
          <w:p w14:paraId="25903DDB"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1381</w:t>
            </w:r>
          </w:p>
        </w:tc>
        <w:tc>
          <w:tcPr>
            <w:tcW w:w="1260" w:type="dxa"/>
            <w:shd w:val="clear" w:color="auto" w:fill="auto"/>
            <w:noWrap/>
            <w:vAlign w:val="bottom"/>
            <w:hideMark/>
          </w:tcPr>
          <w:p w14:paraId="29A1D094"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6301</w:t>
            </w:r>
          </w:p>
        </w:tc>
        <w:tc>
          <w:tcPr>
            <w:tcW w:w="1891" w:type="dxa"/>
            <w:shd w:val="clear" w:color="auto" w:fill="auto"/>
            <w:noWrap/>
            <w:vAlign w:val="bottom"/>
            <w:hideMark/>
          </w:tcPr>
          <w:p w14:paraId="3FCB8553"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11.51</w:t>
            </w:r>
          </w:p>
        </w:tc>
        <w:tc>
          <w:tcPr>
            <w:tcW w:w="1349" w:type="dxa"/>
            <w:shd w:val="clear" w:color="auto" w:fill="auto"/>
            <w:noWrap/>
            <w:vAlign w:val="bottom"/>
            <w:hideMark/>
          </w:tcPr>
          <w:p w14:paraId="7DC68688"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18.0%</w:t>
            </w:r>
          </w:p>
        </w:tc>
      </w:tr>
      <w:tr w:rsidR="00A90E7E" w:rsidRPr="00A90E7E" w14:paraId="3F0A3F84" w14:textId="77777777" w:rsidTr="00A90E7E">
        <w:trPr>
          <w:trHeight w:val="300"/>
        </w:trPr>
        <w:tc>
          <w:tcPr>
            <w:tcW w:w="900" w:type="dxa"/>
            <w:shd w:val="clear" w:color="auto" w:fill="auto"/>
            <w:noWrap/>
            <w:vAlign w:val="bottom"/>
            <w:hideMark/>
          </w:tcPr>
          <w:p w14:paraId="379CD83A" w14:textId="77777777" w:rsidR="00A90E7E" w:rsidRPr="00A90E7E" w:rsidRDefault="00A90E7E" w:rsidP="00A90E7E">
            <w:pPr>
              <w:spacing w:after="0" w:line="240" w:lineRule="auto"/>
              <w:rPr>
                <w:rFonts w:ascii="Calibri" w:eastAsia="Times New Roman" w:hAnsi="Calibri" w:cs="Times New Roman"/>
                <w:color w:val="000000"/>
                <w:sz w:val="20"/>
              </w:rPr>
            </w:pPr>
            <w:r w:rsidRPr="00A90E7E">
              <w:rPr>
                <w:rFonts w:ascii="Calibri" w:eastAsia="Times New Roman" w:hAnsi="Calibri" w:cs="Times New Roman"/>
                <w:color w:val="000000"/>
                <w:sz w:val="20"/>
              </w:rPr>
              <w:t>C2S</w:t>
            </w:r>
          </w:p>
        </w:tc>
        <w:tc>
          <w:tcPr>
            <w:tcW w:w="1080" w:type="dxa"/>
            <w:shd w:val="clear" w:color="auto" w:fill="auto"/>
            <w:noWrap/>
            <w:vAlign w:val="bottom"/>
            <w:hideMark/>
          </w:tcPr>
          <w:p w14:paraId="17200B14"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7682</w:t>
            </w:r>
          </w:p>
        </w:tc>
        <w:tc>
          <w:tcPr>
            <w:tcW w:w="1440" w:type="dxa"/>
            <w:shd w:val="clear" w:color="auto" w:fill="auto"/>
            <w:noWrap/>
            <w:vAlign w:val="bottom"/>
            <w:hideMark/>
          </w:tcPr>
          <w:p w14:paraId="4355C838"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1358</w:t>
            </w:r>
          </w:p>
        </w:tc>
        <w:tc>
          <w:tcPr>
            <w:tcW w:w="1260" w:type="dxa"/>
            <w:shd w:val="clear" w:color="auto" w:fill="auto"/>
            <w:noWrap/>
            <w:vAlign w:val="bottom"/>
            <w:hideMark/>
          </w:tcPr>
          <w:p w14:paraId="4CEEF0E6"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6324</w:t>
            </w:r>
          </w:p>
        </w:tc>
        <w:tc>
          <w:tcPr>
            <w:tcW w:w="1891" w:type="dxa"/>
            <w:shd w:val="clear" w:color="auto" w:fill="auto"/>
            <w:noWrap/>
            <w:vAlign w:val="bottom"/>
            <w:hideMark/>
          </w:tcPr>
          <w:p w14:paraId="059C7842"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11.55</w:t>
            </w:r>
          </w:p>
        </w:tc>
        <w:tc>
          <w:tcPr>
            <w:tcW w:w="1349" w:type="dxa"/>
            <w:shd w:val="clear" w:color="auto" w:fill="auto"/>
            <w:noWrap/>
            <w:vAlign w:val="bottom"/>
            <w:hideMark/>
          </w:tcPr>
          <w:p w14:paraId="5EBE2124"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17.7%</w:t>
            </w:r>
          </w:p>
        </w:tc>
      </w:tr>
      <w:tr w:rsidR="00A90E7E" w:rsidRPr="00A90E7E" w14:paraId="59BAC8BB" w14:textId="77777777" w:rsidTr="00A90E7E">
        <w:trPr>
          <w:trHeight w:val="300"/>
        </w:trPr>
        <w:tc>
          <w:tcPr>
            <w:tcW w:w="900" w:type="dxa"/>
            <w:shd w:val="clear" w:color="auto" w:fill="auto"/>
            <w:noWrap/>
            <w:vAlign w:val="bottom"/>
            <w:hideMark/>
          </w:tcPr>
          <w:p w14:paraId="073371D7" w14:textId="77777777" w:rsidR="00A90E7E" w:rsidRPr="00A90E7E" w:rsidRDefault="00A90E7E" w:rsidP="00A90E7E">
            <w:pPr>
              <w:spacing w:after="0" w:line="240" w:lineRule="auto"/>
              <w:rPr>
                <w:rFonts w:ascii="Calibri" w:eastAsia="Times New Roman" w:hAnsi="Calibri" w:cs="Times New Roman"/>
                <w:color w:val="000000"/>
                <w:sz w:val="20"/>
              </w:rPr>
            </w:pPr>
            <w:r w:rsidRPr="00A90E7E">
              <w:rPr>
                <w:rFonts w:ascii="Calibri" w:eastAsia="Times New Roman" w:hAnsi="Calibri" w:cs="Times New Roman"/>
                <w:color w:val="000000"/>
                <w:sz w:val="20"/>
              </w:rPr>
              <w:t>Cell 6</w:t>
            </w:r>
          </w:p>
        </w:tc>
        <w:tc>
          <w:tcPr>
            <w:tcW w:w="1080" w:type="dxa"/>
            <w:shd w:val="clear" w:color="auto" w:fill="auto"/>
            <w:noWrap/>
            <w:vAlign w:val="bottom"/>
            <w:hideMark/>
          </w:tcPr>
          <w:p w14:paraId="5BA2F223"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317</w:t>
            </w:r>
          </w:p>
        </w:tc>
        <w:tc>
          <w:tcPr>
            <w:tcW w:w="1440" w:type="dxa"/>
            <w:shd w:val="clear" w:color="auto" w:fill="auto"/>
            <w:noWrap/>
            <w:vAlign w:val="bottom"/>
            <w:hideMark/>
          </w:tcPr>
          <w:p w14:paraId="153008ED"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107</w:t>
            </w:r>
          </w:p>
        </w:tc>
        <w:tc>
          <w:tcPr>
            <w:tcW w:w="1260" w:type="dxa"/>
            <w:shd w:val="clear" w:color="auto" w:fill="auto"/>
            <w:noWrap/>
            <w:vAlign w:val="bottom"/>
            <w:hideMark/>
          </w:tcPr>
          <w:p w14:paraId="6ED32843"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210</w:t>
            </w:r>
          </w:p>
        </w:tc>
        <w:tc>
          <w:tcPr>
            <w:tcW w:w="1891" w:type="dxa"/>
            <w:shd w:val="clear" w:color="auto" w:fill="auto"/>
            <w:noWrap/>
            <w:vAlign w:val="bottom"/>
            <w:hideMark/>
          </w:tcPr>
          <w:p w14:paraId="35BC8D13" w14:textId="27AAC44B"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0.53</w:t>
            </w:r>
            <w:r w:rsidR="00C3441C">
              <w:rPr>
                <w:rFonts w:ascii="Calibri" w:eastAsia="Times New Roman" w:hAnsi="Calibri" w:cs="Times New Roman"/>
                <w:color w:val="000000"/>
                <w:sz w:val="20"/>
              </w:rPr>
              <w:t>*</w:t>
            </w:r>
          </w:p>
        </w:tc>
        <w:tc>
          <w:tcPr>
            <w:tcW w:w="1349" w:type="dxa"/>
            <w:shd w:val="clear" w:color="auto" w:fill="auto"/>
            <w:noWrap/>
            <w:vAlign w:val="bottom"/>
            <w:hideMark/>
          </w:tcPr>
          <w:p w14:paraId="1D7CD9C3"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32.1%</w:t>
            </w:r>
          </w:p>
        </w:tc>
      </w:tr>
    </w:tbl>
    <w:p w14:paraId="6DB3A54B" w14:textId="2CC5732F" w:rsidR="00A90E7E" w:rsidRDefault="00C3441C" w:rsidP="00A90E7E">
      <w:pPr>
        <w:keepNext/>
        <w:keepLines/>
        <w:spacing w:before="40" w:after="0"/>
        <w:outlineLvl w:val="1"/>
        <w:rPr>
          <w:rFonts w:asciiTheme="majorHAnsi" w:eastAsiaTheme="majorEastAsia" w:hAnsiTheme="majorHAnsi" w:cstheme="majorBidi"/>
          <w:sz w:val="20"/>
          <w:szCs w:val="20"/>
        </w:rPr>
      </w:pPr>
      <w:r w:rsidRPr="00C3441C">
        <w:rPr>
          <w:rFonts w:asciiTheme="majorHAnsi" w:eastAsiaTheme="majorEastAsia" w:hAnsiTheme="majorHAnsi" w:cstheme="majorBidi"/>
          <w:sz w:val="20"/>
          <w:szCs w:val="20"/>
        </w:rPr>
        <w:t>*</w:t>
      </w:r>
      <w:r>
        <w:rPr>
          <w:rFonts w:asciiTheme="majorHAnsi" w:eastAsiaTheme="majorEastAsia" w:hAnsiTheme="majorHAnsi" w:cstheme="majorBidi"/>
          <w:sz w:val="20"/>
          <w:szCs w:val="20"/>
        </w:rPr>
        <w:t>value is load limited.</w:t>
      </w:r>
    </w:p>
    <w:p w14:paraId="2DE098F5" w14:textId="77777777" w:rsidR="00C3441C" w:rsidRPr="00C3441C" w:rsidRDefault="00C3441C" w:rsidP="00A90E7E">
      <w:pPr>
        <w:keepNext/>
        <w:keepLines/>
        <w:spacing w:before="40" w:after="0"/>
        <w:outlineLvl w:val="1"/>
        <w:rPr>
          <w:rFonts w:asciiTheme="majorHAnsi" w:eastAsiaTheme="majorEastAsia" w:hAnsiTheme="majorHAnsi" w:cstheme="majorBidi"/>
          <w:sz w:val="20"/>
          <w:szCs w:val="20"/>
        </w:rPr>
      </w:pPr>
    </w:p>
    <w:p w14:paraId="1FD915A6" w14:textId="77777777" w:rsidR="00A90E7E" w:rsidRPr="00A90E7E" w:rsidRDefault="00A90E7E" w:rsidP="00A90E7E">
      <w:pPr>
        <w:keepNext/>
        <w:keepLines/>
        <w:spacing w:before="40" w:after="0"/>
        <w:outlineLvl w:val="3"/>
        <w:rPr>
          <w:rFonts w:asciiTheme="majorHAnsi" w:eastAsiaTheme="majorEastAsia" w:hAnsiTheme="majorHAnsi" w:cstheme="majorBidi"/>
          <w:i/>
          <w:iCs/>
        </w:rPr>
      </w:pPr>
      <w:r w:rsidRPr="00A90E7E">
        <w:rPr>
          <w:rFonts w:asciiTheme="majorHAnsi" w:eastAsiaTheme="majorEastAsia" w:hAnsiTheme="majorHAnsi" w:cstheme="majorBidi"/>
          <w:i/>
          <w:iCs/>
        </w:rPr>
        <w:t>Storm Classification</w:t>
      </w:r>
    </w:p>
    <w:p w14:paraId="66204E41" w14:textId="77777777" w:rsidR="00A90E7E" w:rsidRPr="00A90E7E" w:rsidRDefault="00A90E7E" w:rsidP="00A90E7E"/>
    <w:p w14:paraId="0067025D" w14:textId="43F9CE53" w:rsidR="00A90E7E" w:rsidRPr="00A90E7E" w:rsidRDefault="00A90E7E" w:rsidP="00A90E7E">
      <w:pPr>
        <w:spacing w:line="480" w:lineRule="auto"/>
        <w:jc w:val="both"/>
        <w:rPr>
          <w:rFonts w:cs="Arial"/>
        </w:rPr>
      </w:pPr>
      <w:r w:rsidRPr="00A90E7E">
        <w:rPr>
          <w:rFonts w:cs="Arial"/>
        </w:rPr>
        <w:t>There was an average of 109 storms per year (σ = 25.5) between 2011-2013 with each month including storms of measurable precipitation (&gt;0.25 cm/</w:t>
      </w:r>
      <w:proofErr w:type="spellStart"/>
      <w:r w:rsidRPr="00A90E7E">
        <w:rPr>
          <w:rFonts w:cs="Arial"/>
        </w:rPr>
        <w:t>hr</w:t>
      </w:r>
      <w:proofErr w:type="spellEnd"/>
      <w:r w:rsidRPr="00A90E7E">
        <w:rPr>
          <w:rFonts w:cs="Arial"/>
        </w:rPr>
        <w:t>) (Figure 3.3). Applying the storm classification system of Low (0.25-0.99 cm/</w:t>
      </w:r>
      <w:proofErr w:type="spellStart"/>
      <w:r w:rsidRPr="00A90E7E">
        <w:rPr>
          <w:rFonts w:cs="Arial"/>
        </w:rPr>
        <w:t>hr</w:t>
      </w:r>
      <w:proofErr w:type="spellEnd"/>
      <w:r w:rsidRPr="00A90E7E">
        <w:rPr>
          <w:rFonts w:cs="Arial"/>
        </w:rPr>
        <w:t>), Moderate (1.00-1.99 cm/</w:t>
      </w:r>
      <w:proofErr w:type="spellStart"/>
      <w:r w:rsidRPr="00A90E7E">
        <w:rPr>
          <w:rFonts w:cs="Arial"/>
        </w:rPr>
        <w:t>hr</w:t>
      </w:r>
      <w:proofErr w:type="spellEnd"/>
      <w:r w:rsidRPr="00A90E7E">
        <w:rPr>
          <w:rFonts w:cs="Arial"/>
        </w:rPr>
        <w:t>), High (2.00-2.99 cm/</w:t>
      </w:r>
      <w:proofErr w:type="spellStart"/>
      <w:r w:rsidRPr="00A90E7E">
        <w:rPr>
          <w:rFonts w:cs="Arial"/>
        </w:rPr>
        <w:t>hr</w:t>
      </w:r>
      <w:proofErr w:type="spellEnd"/>
      <w:r w:rsidRPr="00A90E7E">
        <w:rPr>
          <w:rFonts w:cs="Arial"/>
        </w:rPr>
        <w:t>), and Extreme (≥3.00 cm/</w:t>
      </w:r>
      <w:proofErr w:type="spellStart"/>
      <w:r w:rsidRPr="00A90E7E">
        <w:rPr>
          <w:rFonts w:cs="Arial"/>
        </w:rPr>
        <w:t>hr</w:t>
      </w:r>
      <w:proofErr w:type="spellEnd"/>
      <w:r w:rsidRPr="00A90E7E">
        <w:rPr>
          <w:rFonts w:cs="Arial"/>
        </w:rPr>
        <w:t xml:space="preserve">) storm intensity events in Figure 3.4 indicates that the </w:t>
      </w:r>
      <w:r w:rsidRPr="00A90E7E">
        <w:rPr>
          <w:rFonts w:cs="Arial"/>
        </w:rPr>
        <w:lastRenderedPageBreak/>
        <w:t>majority (60%) of storms observed are considered low intensity. Extreme intensity storms compose approximately 20% of the frequency distribution with moderate (10%) and high (10%) intensity events occurring less frequently.  A total of 40 storms were sampled for iron transport profiles with an intensity distribution as follows: 4 Extreme, 10 High, 13 Moderate, and 13 Low intensity storms. Storm intensity classifications of Low, Moderate, High, and Extreme were sampled at all four locations except C2Sout, which does not have low intensity storms represented in the dataset</w:t>
      </w:r>
      <w:r w:rsidR="00C3441C">
        <w:rPr>
          <w:rFonts w:cs="Arial"/>
        </w:rPr>
        <w:t xml:space="preserve"> due to an extended </w:t>
      </w:r>
      <w:proofErr w:type="spellStart"/>
      <w:r w:rsidR="00C3441C">
        <w:rPr>
          <w:rFonts w:cs="Arial"/>
        </w:rPr>
        <w:t>autosampler</w:t>
      </w:r>
      <w:proofErr w:type="spellEnd"/>
      <w:r w:rsidR="00C3441C">
        <w:rPr>
          <w:rFonts w:cs="Arial"/>
        </w:rPr>
        <w:t xml:space="preserve"> malfunction</w:t>
      </w:r>
      <w:r w:rsidRPr="00A90E7E">
        <w:rPr>
          <w:rFonts w:cs="Arial"/>
        </w:rPr>
        <w:t>.  The average storm intensity distribution observed each month is depicted in Figure 3.4 with a monthly average of five low intensity storms (0.25-0.99 cm/</w:t>
      </w:r>
      <w:proofErr w:type="spellStart"/>
      <w:r w:rsidRPr="00A90E7E">
        <w:rPr>
          <w:rFonts w:cs="Arial"/>
        </w:rPr>
        <w:t>hr</w:t>
      </w:r>
      <w:proofErr w:type="spellEnd"/>
      <w:r w:rsidRPr="00A90E7E">
        <w:rPr>
          <w:rFonts w:cs="Arial"/>
        </w:rPr>
        <w:t>), one moderate intensity (1.00-1.99 cm/</w:t>
      </w:r>
      <w:proofErr w:type="spellStart"/>
      <w:r w:rsidRPr="00A90E7E">
        <w:rPr>
          <w:rFonts w:cs="Arial"/>
        </w:rPr>
        <w:t>hr</w:t>
      </w:r>
      <w:proofErr w:type="spellEnd"/>
      <w:r w:rsidRPr="00A90E7E">
        <w:rPr>
          <w:rFonts w:cs="Arial"/>
        </w:rPr>
        <w:t>), one high intensity (2.00-2.99 cm/</w:t>
      </w:r>
      <w:proofErr w:type="spellStart"/>
      <w:r w:rsidRPr="00A90E7E">
        <w:rPr>
          <w:rFonts w:cs="Arial"/>
        </w:rPr>
        <w:t>hr</w:t>
      </w:r>
      <w:proofErr w:type="spellEnd"/>
      <w:r w:rsidRPr="00A90E7E">
        <w:rPr>
          <w:rFonts w:cs="Arial"/>
        </w:rPr>
        <w:t>), and two extreme intensity storms (&gt;3.00 cm/</w:t>
      </w:r>
      <w:proofErr w:type="spellStart"/>
      <w:r w:rsidRPr="00A90E7E">
        <w:rPr>
          <w:rFonts w:cs="Arial"/>
        </w:rPr>
        <w:t>hr</w:t>
      </w:r>
      <w:proofErr w:type="spellEnd"/>
      <w:r w:rsidRPr="00A90E7E">
        <w:rPr>
          <w:rFonts w:cs="Arial"/>
        </w:rPr>
        <w:t xml:space="preserve">).  </w:t>
      </w:r>
    </w:p>
    <w:p w14:paraId="0AD248BC" w14:textId="77777777" w:rsidR="00A90E7E" w:rsidRPr="00A90E7E" w:rsidRDefault="00A90E7E" w:rsidP="00A90E7E">
      <w:pPr>
        <w:spacing w:line="240" w:lineRule="auto"/>
        <w:jc w:val="both"/>
        <w:rPr>
          <w:rFonts w:cs="Arial"/>
        </w:rPr>
      </w:pPr>
      <w:r w:rsidRPr="00A90E7E">
        <w:rPr>
          <w:noProof/>
        </w:rPr>
        <w:drawing>
          <wp:inline distT="0" distB="0" distL="0" distR="0" wp14:anchorId="1A9CBCB7" wp14:editId="683D9487">
            <wp:extent cx="5257800" cy="3457575"/>
            <wp:effectExtent l="0" t="0" r="0" b="9525"/>
            <wp:docPr id="214" name="Chart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03D0873" w14:textId="77777777" w:rsidR="00A90E7E" w:rsidRPr="00A90E7E" w:rsidRDefault="00A90E7E" w:rsidP="00A90E7E">
      <w:pPr>
        <w:spacing w:line="240" w:lineRule="auto"/>
        <w:jc w:val="both"/>
        <w:rPr>
          <w:rFonts w:cs="Arial"/>
          <w:sz w:val="20"/>
        </w:rPr>
      </w:pPr>
      <w:r w:rsidRPr="00A90E7E">
        <w:rPr>
          <w:rFonts w:cs="Arial"/>
          <w:sz w:val="20"/>
        </w:rPr>
        <w:t xml:space="preserve">Figure 3.3: Monthly storm frequency distributions for Miami, OK from 2011-2013 indicate that there is an inconsistent distribution of storms from month to month, yet each month has at least two storm events. </w:t>
      </w:r>
    </w:p>
    <w:p w14:paraId="0079F5D2" w14:textId="77777777" w:rsidR="00A90E7E" w:rsidRPr="00A90E7E" w:rsidRDefault="00A90E7E" w:rsidP="00A90E7E">
      <w:pPr>
        <w:spacing w:line="240" w:lineRule="auto"/>
        <w:jc w:val="both"/>
        <w:rPr>
          <w:rFonts w:cs="Arial"/>
        </w:rPr>
      </w:pPr>
      <w:r w:rsidRPr="00A90E7E">
        <w:rPr>
          <w:noProof/>
        </w:rPr>
        <w:lastRenderedPageBreak/>
        <w:drawing>
          <wp:inline distT="0" distB="0" distL="0" distR="0" wp14:anchorId="4FDB096A" wp14:editId="2ECA5686">
            <wp:extent cx="5257800" cy="3429000"/>
            <wp:effectExtent l="0" t="0" r="0" b="0"/>
            <wp:docPr id="215" name="Chart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1D81982" w14:textId="77777777" w:rsidR="00A90E7E" w:rsidRPr="00A90E7E" w:rsidRDefault="00A90E7E" w:rsidP="00A90E7E">
      <w:pPr>
        <w:spacing w:line="240" w:lineRule="auto"/>
        <w:jc w:val="both"/>
        <w:rPr>
          <w:rFonts w:cs="Arial"/>
          <w:sz w:val="20"/>
        </w:rPr>
      </w:pPr>
      <w:r w:rsidRPr="00A90E7E">
        <w:rPr>
          <w:rFonts w:cs="Arial"/>
          <w:sz w:val="20"/>
        </w:rPr>
        <w:t xml:space="preserve">Figure 3.4: Frequency of storm events classified based on maximum rainfall intensity for Miami, OK (2011-2013). Note that low intensity storms are more frequent than all other storm categories combined. </w:t>
      </w:r>
    </w:p>
    <w:p w14:paraId="3A576E1D" w14:textId="77777777" w:rsidR="00A90E7E" w:rsidRPr="00A90E7E" w:rsidRDefault="00A90E7E" w:rsidP="00A90E7E">
      <w:pPr>
        <w:spacing w:line="240" w:lineRule="auto"/>
        <w:jc w:val="both"/>
        <w:rPr>
          <w:rFonts w:cs="Arial"/>
        </w:rPr>
      </w:pPr>
      <w:r w:rsidRPr="00A90E7E">
        <w:rPr>
          <w:noProof/>
        </w:rPr>
        <w:drawing>
          <wp:inline distT="0" distB="0" distL="0" distR="0" wp14:anchorId="57370ED5" wp14:editId="47939566">
            <wp:extent cx="5257800" cy="356235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7279" t="39012" r="22178" b="14533"/>
                    <a:stretch/>
                  </pic:blipFill>
                  <pic:spPr bwMode="auto">
                    <a:xfrm>
                      <a:off x="0" y="0"/>
                      <a:ext cx="5262835" cy="3565761"/>
                    </a:xfrm>
                    <a:prstGeom prst="rect">
                      <a:avLst/>
                    </a:prstGeom>
                    <a:ln>
                      <a:noFill/>
                    </a:ln>
                    <a:extLst>
                      <a:ext uri="{53640926-AAD7-44D8-BBD7-CCE9431645EC}">
                        <a14:shadowObscured xmlns:a14="http://schemas.microsoft.com/office/drawing/2010/main"/>
                      </a:ext>
                    </a:extLst>
                  </pic:spPr>
                </pic:pic>
              </a:graphicData>
            </a:graphic>
          </wp:inline>
        </w:drawing>
      </w:r>
    </w:p>
    <w:p w14:paraId="47282454" w14:textId="77777777" w:rsidR="00A90E7E" w:rsidRPr="00A90E7E" w:rsidRDefault="00A90E7E" w:rsidP="00A90E7E">
      <w:pPr>
        <w:spacing w:line="240" w:lineRule="auto"/>
        <w:jc w:val="both"/>
        <w:rPr>
          <w:rFonts w:cs="Arial"/>
          <w:sz w:val="20"/>
        </w:rPr>
      </w:pPr>
      <w:r w:rsidRPr="00A90E7E">
        <w:rPr>
          <w:rFonts w:cs="Arial"/>
          <w:sz w:val="20"/>
        </w:rPr>
        <w:t>Figure 3.5: Average monthly storm frequency distribution for 2011-2013 based on storm intensity classification</w:t>
      </w:r>
    </w:p>
    <w:p w14:paraId="16F0CA28" w14:textId="4F929522" w:rsidR="00A90E7E" w:rsidRPr="00A90E7E" w:rsidRDefault="00A90E7E" w:rsidP="00A90E7E">
      <w:pPr>
        <w:spacing w:line="480" w:lineRule="auto"/>
        <w:jc w:val="both"/>
        <w:rPr>
          <w:rFonts w:cs="Arial"/>
        </w:rPr>
      </w:pPr>
      <w:r w:rsidRPr="00A90E7E">
        <w:rPr>
          <w:noProof/>
        </w:rPr>
        <w:lastRenderedPageBreak/>
        <w:drawing>
          <wp:anchor distT="0" distB="0" distL="114300" distR="114300" simplePos="0" relativeHeight="251668480" behindDoc="0" locked="0" layoutInCell="1" allowOverlap="1" wp14:anchorId="3206FAEE" wp14:editId="709003F9">
            <wp:simplePos x="0" y="0"/>
            <wp:positionH relativeFrom="column">
              <wp:posOffset>0</wp:posOffset>
            </wp:positionH>
            <wp:positionV relativeFrom="paragraph">
              <wp:posOffset>1716405</wp:posOffset>
            </wp:positionV>
            <wp:extent cx="5143500" cy="2933700"/>
            <wp:effectExtent l="0" t="0" r="0" b="0"/>
            <wp:wrapSquare wrapText="bothSides"/>
            <wp:docPr id="221" name="Chart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anchor>
        </w:drawing>
      </w:r>
      <w:r w:rsidRPr="00A90E7E">
        <w:rPr>
          <w:rFonts w:cs="Arial"/>
        </w:rPr>
        <w:t>The average annual precipitation from 2011-2013 was 107 cm (σ = 16.5 cm) with a disproportionate amount of the total rainfall accumulation originating from extreme intensity storms (65.5 cm/</w:t>
      </w:r>
      <w:proofErr w:type="spellStart"/>
      <w:r w:rsidRPr="00A90E7E">
        <w:rPr>
          <w:rFonts w:cs="Arial"/>
        </w:rPr>
        <w:t>yr</w:t>
      </w:r>
      <w:proofErr w:type="spellEnd"/>
      <w:r w:rsidRPr="00A90E7E">
        <w:rPr>
          <w:rFonts w:cs="Arial"/>
        </w:rPr>
        <w:t xml:space="preserve">; 61% of average yield).  Storms of all four intensity categories are observed seasonally, however, </w:t>
      </w:r>
      <w:r w:rsidR="009878C4">
        <w:rPr>
          <w:rFonts w:cs="Arial"/>
        </w:rPr>
        <w:t>extreme</w:t>
      </w:r>
      <w:r w:rsidRPr="00A90E7E">
        <w:rPr>
          <w:rFonts w:cs="Arial"/>
        </w:rPr>
        <w:t xml:space="preserve"> intensity storms in the spring deliver the greatest yield of rainfall.</w:t>
      </w:r>
    </w:p>
    <w:p w14:paraId="2E881A87" w14:textId="10F11F8D" w:rsidR="00A90E7E" w:rsidRPr="00A90E7E" w:rsidRDefault="00144BB5" w:rsidP="00A90E7E">
      <w:pPr>
        <w:spacing w:line="480" w:lineRule="auto"/>
        <w:jc w:val="both"/>
        <w:rPr>
          <w:rFonts w:cs="Arial"/>
          <w:sz w:val="20"/>
        </w:rPr>
      </w:pPr>
      <w:r w:rsidRPr="00A90E7E">
        <w:rPr>
          <w:noProof/>
        </w:rPr>
        <w:drawing>
          <wp:anchor distT="0" distB="0" distL="114300" distR="114300" simplePos="0" relativeHeight="251670528" behindDoc="0" locked="0" layoutInCell="1" allowOverlap="1" wp14:anchorId="211DB383" wp14:editId="713E52FD">
            <wp:simplePos x="0" y="0"/>
            <wp:positionH relativeFrom="column">
              <wp:posOffset>3810</wp:posOffset>
            </wp:positionH>
            <wp:positionV relativeFrom="paragraph">
              <wp:posOffset>3249930</wp:posOffset>
            </wp:positionV>
            <wp:extent cx="5143500" cy="2714625"/>
            <wp:effectExtent l="0" t="0" r="0" b="9525"/>
            <wp:wrapSquare wrapText="bothSides"/>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l="10854" t="33557" r="26541" b="12180"/>
                    <a:stretch/>
                  </pic:blipFill>
                  <pic:spPr bwMode="auto">
                    <a:xfrm>
                      <a:off x="0" y="0"/>
                      <a:ext cx="5143500" cy="2714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0E7E" w:rsidRPr="00A90E7E">
        <w:rPr>
          <w:rFonts w:cs="Arial"/>
          <w:sz w:val="20"/>
        </w:rPr>
        <w:t>Figure 3.6: Monthly distribution of precipitation yield for Miami, OK from 2011-2013</w:t>
      </w:r>
    </w:p>
    <w:p w14:paraId="366E7726" w14:textId="7E0B4208" w:rsidR="00A90E7E" w:rsidRDefault="00A90E7E" w:rsidP="00A90E7E">
      <w:pPr>
        <w:spacing w:line="480" w:lineRule="auto"/>
        <w:jc w:val="both"/>
        <w:rPr>
          <w:rFonts w:cs="Arial"/>
          <w:sz w:val="20"/>
        </w:rPr>
      </w:pPr>
      <w:r w:rsidRPr="00A90E7E">
        <w:rPr>
          <w:rFonts w:cs="Arial"/>
          <w:sz w:val="20"/>
        </w:rPr>
        <w:t>Figure 3.7: Average precipitation yield distribution by month from 2011-2013 for Miami, OK</w:t>
      </w:r>
    </w:p>
    <w:p w14:paraId="4509C95D" w14:textId="77777777" w:rsidR="00CE1CC3" w:rsidRDefault="00CE1CC3" w:rsidP="00CE1CC3">
      <w:pPr>
        <w:pStyle w:val="Heading4"/>
        <w:jc w:val="both"/>
      </w:pPr>
      <w:r>
        <w:lastRenderedPageBreak/>
        <w:t>Seasonal Flow Rates</w:t>
      </w:r>
    </w:p>
    <w:p w14:paraId="237EDDFD" w14:textId="77777777" w:rsidR="00CE1CC3" w:rsidRPr="00B17506" w:rsidRDefault="00CE1CC3" w:rsidP="00CE1CC3">
      <w:pPr>
        <w:jc w:val="both"/>
      </w:pPr>
    </w:p>
    <w:p w14:paraId="5516E749" w14:textId="73848D9C" w:rsidR="00CE1CC3" w:rsidRDefault="00CE1CC3" w:rsidP="00CE1CC3">
      <w:pPr>
        <w:spacing w:line="480" w:lineRule="auto"/>
        <w:jc w:val="both"/>
      </w:pPr>
      <w:r>
        <w:t>There was no statistical difference between the average and median flow rates for the Oxidative Unit (Average = 22,560 L/</w:t>
      </w:r>
      <w:proofErr w:type="spellStart"/>
      <w:r>
        <w:t>hr</w:t>
      </w:r>
      <w:proofErr w:type="spellEnd"/>
      <w:r>
        <w:t xml:space="preserve">; Median = 22,988 L/h; t-stat = -0.182; t-Critical = 2.31; </w:t>
      </w:r>
      <w:r>
        <w:rPr>
          <w:rFonts w:cs="Calibri"/>
        </w:rPr>
        <w:t>α=</w:t>
      </w:r>
      <w:r>
        <w:t>0.05) indicating that flow rates into the MRPTS are normally distributed about the mean. Average flowrates were evaluated for statistical significance (Table 3</w:t>
      </w:r>
      <w:r w:rsidR="00FB5916">
        <w:t>.2</w:t>
      </w:r>
      <w:r>
        <w:t>) with respect to the five-year average (2009-2013) based on seasonal, annual, and the three-year duration of the storm event driven transport dynamic study (2011-2013).</w:t>
      </w:r>
    </w:p>
    <w:p w14:paraId="6AB3B415" w14:textId="3D7B9403" w:rsidR="00CE1CC3" w:rsidRPr="00B17506" w:rsidRDefault="00CE1CC3" w:rsidP="00CE1CC3">
      <w:pPr>
        <w:spacing w:line="240" w:lineRule="auto"/>
        <w:jc w:val="both"/>
        <w:rPr>
          <w:rFonts w:cs="Calibri"/>
          <w:sz w:val="20"/>
          <w:szCs w:val="20"/>
        </w:rPr>
      </w:pPr>
      <w:r w:rsidRPr="00B17506">
        <w:rPr>
          <w:rFonts w:cs="Calibri"/>
          <w:sz w:val="20"/>
          <w:szCs w:val="20"/>
        </w:rPr>
        <w:t xml:space="preserve">Table </w:t>
      </w:r>
      <w:r>
        <w:rPr>
          <w:rFonts w:cs="Calibri"/>
          <w:sz w:val="20"/>
          <w:szCs w:val="20"/>
        </w:rPr>
        <w:t>3</w:t>
      </w:r>
      <w:r w:rsidR="00FB5916">
        <w:rPr>
          <w:rFonts w:cs="Calibri"/>
          <w:sz w:val="20"/>
          <w:szCs w:val="20"/>
        </w:rPr>
        <w:t>.2</w:t>
      </w:r>
      <w:r w:rsidRPr="00B17506">
        <w:rPr>
          <w:rFonts w:cs="Calibri"/>
          <w:sz w:val="20"/>
          <w:szCs w:val="20"/>
        </w:rPr>
        <w:t>: Statistical Analysis of the Influent System Flow Rate for the Oxidative Unit of the MRPTS</w:t>
      </w:r>
    </w:p>
    <w:tbl>
      <w:tblPr>
        <w:tblW w:w="8280" w:type="dxa"/>
        <w:tblLayout w:type="fixed"/>
        <w:tblLook w:val="04A0" w:firstRow="1" w:lastRow="0" w:firstColumn="1" w:lastColumn="0" w:noHBand="0" w:noVBand="1"/>
      </w:tblPr>
      <w:tblGrid>
        <w:gridCol w:w="1350"/>
        <w:gridCol w:w="1170"/>
        <w:gridCol w:w="900"/>
        <w:gridCol w:w="720"/>
        <w:gridCol w:w="450"/>
        <w:gridCol w:w="810"/>
        <w:gridCol w:w="900"/>
        <w:gridCol w:w="900"/>
        <w:gridCol w:w="1080"/>
      </w:tblGrid>
      <w:tr w:rsidR="00CE1CC3" w:rsidRPr="00B17506" w14:paraId="7BFF6239" w14:textId="77777777" w:rsidTr="000B63E4">
        <w:trPr>
          <w:trHeight w:val="485"/>
        </w:trPr>
        <w:tc>
          <w:tcPr>
            <w:tcW w:w="1350" w:type="dxa"/>
            <w:tcBorders>
              <w:top w:val="single" w:sz="4" w:space="0" w:color="auto"/>
              <w:left w:val="nil"/>
              <w:bottom w:val="double" w:sz="6" w:space="0" w:color="auto"/>
              <w:right w:val="nil"/>
            </w:tcBorders>
            <w:vAlign w:val="bottom"/>
            <w:hideMark/>
          </w:tcPr>
          <w:p w14:paraId="0B107E4C" w14:textId="77777777" w:rsidR="00CE1CC3" w:rsidRPr="00B17506" w:rsidRDefault="00CE1CC3" w:rsidP="000B63E4">
            <w:pPr>
              <w:spacing w:after="0" w:line="240" w:lineRule="auto"/>
              <w:jc w:val="both"/>
              <w:rPr>
                <w:rFonts w:cs="Calibri"/>
                <w:color w:val="000000"/>
                <w:sz w:val="20"/>
                <w:szCs w:val="20"/>
              </w:rPr>
            </w:pPr>
          </w:p>
        </w:tc>
        <w:tc>
          <w:tcPr>
            <w:tcW w:w="1170" w:type="dxa"/>
            <w:tcBorders>
              <w:top w:val="single" w:sz="4" w:space="0" w:color="auto"/>
              <w:left w:val="nil"/>
              <w:bottom w:val="double" w:sz="6" w:space="0" w:color="auto"/>
              <w:right w:val="nil"/>
            </w:tcBorders>
            <w:vAlign w:val="bottom"/>
            <w:hideMark/>
          </w:tcPr>
          <w:p w14:paraId="12C9D5F8" w14:textId="77777777" w:rsidR="00CE1CC3" w:rsidRPr="00B17506" w:rsidRDefault="00CE1CC3" w:rsidP="000B63E4">
            <w:pPr>
              <w:spacing w:after="0" w:line="240" w:lineRule="auto"/>
              <w:jc w:val="center"/>
              <w:rPr>
                <w:rFonts w:cs="Calibri"/>
                <w:color w:val="000000"/>
                <w:sz w:val="20"/>
                <w:szCs w:val="20"/>
              </w:rPr>
            </w:pPr>
            <w:r>
              <w:rPr>
                <w:rFonts w:cs="Calibri"/>
                <w:color w:val="000000"/>
                <w:sz w:val="20"/>
                <w:szCs w:val="20"/>
              </w:rPr>
              <w:t>Mean</w:t>
            </w:r>
            <w:r w:rsidRPr="00B17506">
              <w:rPr>
                <w:rFonts w:cs="Calibri"/>
                <w:color w:val="000000"/>
                <w:sz w:val="20"/>
                <w:szCs w:val="20"/>
              </w:rPr>
              <w:t xml:space="preserve"> Flow Rate (L/</w:t>
            </w:r>
            <w:proofErr w:type="spellStart"/>
            <w:r w:rsidRPr="00B17506">
              <w:rPr>
                <w:rFonts w:cs="Calibri"/>
                <w:color w:val="000000"/>
                <w:sz w:val="20"/>
                <w:szCs w:val="20"/>
              </w:rPr>
              <w:t>hr</w:t>
            </w:r>
            <w:proofErr w:type="spellEnd"/>
            <w:r w:rsidRPr="00B17506">
              <w:rPr>
                <w:rFonts w:cs="Calibri"/>
                <w:color w:val="000000"/>
                <w:sz w:val="20"/>
                <w:szCs w:val="20"/>
              </w:rPr>
              <w:t>)</w:t>
            </w:r>
          </w:p>
        </w:tc>
        <w:tc>
          <w:tcPr>
            <w:tcW w:w="900" w:type="dxa"/>
            <w:tcBorders>
              <w:top w:val="single" w:sz="4" w:space="0" w:color="auto"/>
              <w:left w:val="nil"/>
              <w:bottom w:val="double" w:sz="6" w:space="0" w:color="auto"/>
              <w:right w:val="nil"/>
            </w:tcBorders>
            <w:vAlign w:val="bottom"/>
            <w:hideMark/>
          </w:tcPr>
          <w:p w14:paraId="642252F3" w14:textId="77777777" w:rsidR="00CE1CC3" w:rsidRPr="00B17506" w:rsidRDefault="00CE1CC3" w:rsidP="000B63E4">
            <w:pPr>
              <w:spacing w:after="0" w:line="240" w:lineRule="auto"/>
              <w:jc w:val="center"/>
              <w:rPr>
                <w:rFonts w:cs="Calibri"/>
                <w:color w:val="000000"/>
                <w:sz w:val="20"/>
                <w:szCs w:val="20"/>
              </w:rPr>
            </w:pPr>
            <w:r>
              <w:rPr>
                <w:rFonts w:cs="Calibri"/>
                <w:color w:val="000000"/>
                <w:sz w:val="20"/>
                <w:szCs w:val="20"/>
              </w:rPr>
              <w:t>STDEV</w:t>
            </w:r>
            <w:r>
              <w:rPr>
                <w:rFonts w:cs="Calibri"/>
                <w:color w:val="000000"/>
                <w:sz w:val="20"/>
                <w:szCs w:val="20"/>
              </w:rPr>
              <w:br/>
            </w:r>
            <w:r w:rsidRPr="00B17506">
              <w:rPr>
                <w:rFonts w:cs="Calibri"/>
                <w:color w:val="000000"/>
                <w:sz w:val="20"/>
                <w:szCs w:val="20"/>
              </w:rPr>
              <w:t>(L/</w:t>
            </w:r>
            <w:proofErr w:type="spellStart"/>
            <w:r w:rsidRPr="00B17506">
              <w:rPr>
                <w:rFonts w:cs="Calibri"/>
                <w:color w:val="000000"/>
                <w:sz w:val="20"/>
                <w:szCs w:val="20"/>
              </w:rPr>
              <w:t>hr</w:t>
            </w:r>
            <w:proofErr w:type="spellEnd"/>
            <w:r w:rsidRPr="00B17506">
              <w:rPr>
                <w:rFonts w:cs="Calibri"/>
                <w:color w:val="000000"/>
                <w:sz w:val="20"/>
                <w:szCs w:val="20"/>
              </w:rPr>
              <w:t>)</w:t>
            </w:r>
          </w:p>
        </w:tc>
        <w:tc>
          <w:tcPr>
            <w:tcW w:w="720" w:type="dxa"/>
            <w:tcBorders>
              <w:top w:val="single" w:sz="4" w:space="0" w:color="auto"/>
              <w:left w:val="nil"/>
              <w:bottom w:val="double" w:sz="6" w:space="0" w:color="auto"/>
              <w:right w:val="nil"/>
            </w:tcBorders>
            <w:vAlign w:val="bottom"/>
            <w:hideMark/>
          </w:tcPr>
          <w:p w14:paraId="13D5158A" w14:textId="77777777" w:rsidR="00CE1CC3" w:rsidRPr="00B17506" w:rsidRDefault="00CE1CC3" w:rsidP="000B63E4">
            <w:pPr>
              <w:spacing w:after="0" w:line="240" w:lineRule="auto"/>
              <w:jc w:val="center"/>
              <w:rPr>
                <w:rFonts w:cs="Calibri"/>
                <w:color w:val="000000"/>
                <w:sz w:val="20"/>
                <w:szCs w:val="20"/>
              </w:rPr>
            </w:pPr>
            <w:r w:rsidRPr="00B17506">
              <w:rPr>
                <w:rFonts w:cs="Calibri"/>
                <w:color w:val="000000"/>
                <w:sz w:val="20"/>
                <w:szCs w:val="20"/>
              </w:rPr>
              <w:t>%RSD</w:t>
            </w:r>
          </w:p>
        </w:tc>
        <w:tc>
          <w:tcPr>
            <w:tcW w:w="450" w:type="dxa"/>
            <w:tcBorders>
              <w:top w:val="single" w:sz="4" w:space="0" w:color="auto"/>
              <w:left w:val="nil"/>
              <w:bottom w:val="double" w:sz="6" w:space="0" w:color="auto"/>
              <w:right w:val="nil"/>
            </w:tcBorders>
            <w:vAlign w:val="bottom"/>
            <w:hideMark/>
          </w:tcPr>
          <w:p w14:paraId="70A7F9C4" w14:textId="77777777" w:rsidR="00CE1CC3" w:rsidRPr="00B17506" w:rsidRDefault="00CE1CC3" w:rsidP="000B63E4">
            <w:pPr>
              <w:spacing w:after="0" w:line="240" w:lineRule="auto"/>
              <w:jc w:val="center"/>
              <w:rPr>
                <w:rFonts w:cs="Calibri"/>
                <w:color w:val="000000"/>
                <w:sz w:val="20"/>
                <w:szCs w:val="20"/>
              </w:rPr>
            </w:pPr>
            <w:r w:rsidRPr="00B17506">
              <w:rPr>
                <w:rFonts w:cs="Calibri"/>
                <w:color w:val="000000"/>
                <w:sz w:val="20"/>
                <w:szCs w:val="20"/>
              </w:rPr>
              <w:t>n</w:t>
            </w:r>
          </w:p>
        </w:tc>
        <w:tc>
          <w:tcPr>
            <w:tcW w:w="810" w:type="dxa"/>
            <w:tcBorders>
              <w:top w:val="single" w:sz="4" w:space="0" w:color="auto"/>
              <w:left w:val="nil"/>
              <w:bottom w:val="double" w:sz="6" w:space="0" w:color="auto"/>
              <w:right w:val="nil"/>
            </w:tcBorders>
            <w:vAlign w:val="bottom"/>
            <w:hideMark/>
          </w:tcPr>
          <w:p w14:paraId="7725BB9A" w14:textId="77777777" w:rsidR="00CE1CC3" w:rsidRPr="00B17506" w:rsidRDefault="00CE1CC3" w:rsidP="000B63E4">
            <w:pPr>
              <w:spacing w:after="0" w:line="240" w:lineRule="auto"/>
              <w:jc w:val="center"/>
              <w:rPr>
                <w:rFonts w:cs="Calibri"/>
                <w:color w:val="000000"/>
                <w:sz w:val="20"/>
                <w:szCs w:val="20"/>
              </w:rPr>
            </w:pPr>
            <w:r w:rsidRPr="00B17506">
              <w:rPr>
                <w:rFonts w:cs="Calibri"/>
                <w:color w:val="000000"/>
                <w:sz w:val="20"/>
                <w:szCs w:val="20"/>
              </w:rPr>
              <w:t>t value</w:t>
            </w:r>
          </w:p>
        </w:tc>
        <w:tc>
          <w:tcPr>
            <w:tcW w:w="900" w:type="dxa"/>
            <w:tcBorders>
              <w:top w:val="single" w:sz="4" w:space="0" w:color="auto"/>
              <w:left w:val="nil"/>
              <w:bottom w:val="double" w:sz="6" w:space="0" w:color="auto"/>
              <w:right w:val="nil"/>
            </w:tcBorders>
            <w:noWrap/>
            <w:vAlign w:val="bottom"/>
            <w:hideMark/>
          </w:tcPr>
          <w:p w14:paraId="7D9AF642" w14:textId="77777777" w:rsidR="00CE1CC3" w:rsidRPr="00B17506" w:rsidRDefault="00CE1CC3" w:rsidP="000B63E4">
            <w:pPr>
              <w:spacing w:after="0" w:line="240" w:lineRule="auto"/>
              <w:jc w:val="center"/>
              <w:rPr>
                <w:rFonts w:cs="Calibri"/>
                <w:color w:val="000000"/>
                <w:sz w:val="20"/>
                <w:szCs w:val="20"/>
              </w:rPr>
            </w:pPr>
            <w:r w:rsidRPr="00B17506">
              <w:rPr>
                <w:rFonts w:cs="Calibri"/>
                <w:color w:val="000000"/>
                <w:sz w:val="20"/>
                <w:szCs w:val="20"/>
              </w:rPr>
              <w:t>P(T&lt;=t) two-tail</w:t>
            </w:r>
          </w:p>
        </w:tc>
        <w:tc>
          <w:tcPr>
            <w:tcW w:w="900" w:type="dxa"/>
            <w:tcBorders>
              <w:top w:val="single" w:sz="4" w:space="0" w:color="auto"/>
              <w:left w:val="nil"/>
              <w:bottom w:val="double" w:sz="6" w:space="0" w:color="auto"/>
              <w:right w:val="nil"/>
            </w:tcBorders>
            <w:noWrap/>
            <w:vAlign w:val="bottom"/>
            <w:hideMark/>
          </w:tcPr>
          <w:p w14:paraId="3CE630CC" w14:textId="77777777" w:rsidR="00CE1CC3" w:rsidRPr="00B17506" w:rsidRDefault="00CE1CC3" w:rsidP="000B63E4">
            <w:pPr>
              <w:spacing w:after="0" w:line="240" w:lineRule="auto"/>
              <w:jc w:val="center"/>
              <w:rPr>
                <w:rFonts w:cs="Calibri"/>
                <w:color w:val="000000"/>
                <w:sz w:val="20"/>
                <w:szCs w:val="20"/>
              </w:rPr>
            </w:pPr>
            <w:r w:rsidRPr="00B17506">
              <w:rPr>
                <w:rFonts w:cs="Calibri"/>
                <w:color w:val="000000"/>
                <w:sz w:val="20"/>
                <w:szCs w:val="20"/>
              </w:rPr>
              <w:t>t Critical two-tail</w:t>
            </w:r>
          </w:p>
        </w:tc>
        <w:tc>
          <w:tcPr>
            <w:tcW w:w="1080" w:type="dxa"/>
            <w:tcBorders>
              <w:top w:val="single" w:sz="4" w:space="0" w:color="auto"/>
              <w:left w:val="nil"/>
              <w:bottom w:val="double" w:sz="6" w:space="0" w:color="auto"/>
              <w:right w:val="nil"/>
            </w:tcBorders>
            <w:vAlign w:val="bottom"/>
            <w:hideMark/>
          </w:tcPr>
          <w:p w14:paraId="65EACE76" w14:textId="77777777" w:rsidR="00CE1CC3" w:rsidRPr="00B17506" w:rsidRDefault="00CE1CC3" w:rsidP="000B63E4">
            <w:pPr>
              <w:spacing w:after="0" w:line="240" w:lineRule="auto"/>
              <w:jc w:val="center"/>
              <w:rPr>
                <w:rFonts w:cs="Calibri"/>
                <w:color w:val="000000"/>
                <w:sz w:val="20"/>
                <w:szCs w:val="20"/>
              </w:rPr>
            </w:pPr>
            <w:r>
              <w:rPr>
                <w:rFonts w:cs="Calibri"/>
                <w:color w:val="000000"/>
                <w:sz w:val="20"/>
                <w:szCs w:val="20"/>
              </w:rPr>
              <w:t>Based on 5 Year Mean</w:t>
            </w:r>
          </w:p>
        </w:tc>
      </w:tr>
      <w:tr w:rsidR="00CE1CC3" w:rsidRPr="00B17506" w14:paraId="08892F2A" w14:textId="77777777" w:rsidTr="000B63E4">
        <w:trPr>
          <w:trHeight w:val="330"/>
        </w:trPr>
        <w:tc>
          <w:tcPr>
            <w:tcW w:w="1350" w:type="dxa"/>
            <w:tcBorders>
              <w:top w:val="nil"/>
              <w:left w:val="nil"/>
              <w:bottom w:val="nil"/>
              <w:right w:val="nil"/>
            </w:tcBorders>
            <w:noWrap/>
            <w:vAlign w:val="bottom"/>
            <w:hideMark/>
          </w:tcPr>
          <w:p w14:paraId="0F68315A" w14:textId="77777777" w:rsidR="00CE1CC3" w:rsidRPr="00B17506" w:rsidRDefault="00CE1CC3" w:rsidP="000B63E4">
            <w:pPr>
              <w:spacing w:after="0" w:line="360" w:lineRule="auto"/>
              <w:jc w:val="center"/>
              <w:rPr>
                <w:rFonts w:cs="Calibri"/>
                <w:sz w:val="18"/>
                <w:szCs w:val="20"/>
              </w:rPr>
            </w:pPr>
            <w:r w:rsidRPr="00B17506">
              <w:rPr>
                <w:rFonts w:cs="Calibri"/>
                <w:sz w:val="18"/>
                <w:szCs w:val="20"/>
              </w:rPr>
              <w:t>5 Year</w:t>
            </w:r>
            <w:r w:rsidRPr="00B17506">
              <w:rPr>
                <w:rFonts w:cs="Calibri"/>
                <w:sz w:val="18"/>
                <w:szCs w:val="20"/>
              </w:rPr>
              <w:br/>
              <w:t xml:space="preserve">  (2009-2013)</w:t>
            </w:r>
          </w:p>
        </w:tc>
        <w:tc>
          <w:tcPr>
            <w:tcW w:w="1170" w:type="dxa"/>
            <w:tcBorders>
              <w:top w:val="nil"/>
              <w:left w:val="nil"/>
              <w:bottom w:val="nil"/>
              <w:right w:val="nil"/>
            </w:tcBorders>
            <w:noWrap/>
            <w:vAlign w:val="bottom"/>
            <w:hideMark/>
          </w:tcPr>
          <w:p w14:paraId="2B39FAED" w14:textId="77777777" w:rsidR="00CE1CC3" w:rsidRPr="00B17506" w:rsidRDefault="00CE1CC3" w:rsidP="000B63E4">
            <w:pPr>
              <w:spacing w:after="0" w:line="360" w:lineRule="auto"/>
              <w:jc w:val="center"/>
              <w:rPr>
                <w:rFonts w:cs="Calibri"/>
                <w:sz w:val="18"/>
                <w:szCs w:val="20"/>
              </w:rPr>
            </w:pPr>
            <w:r w:rsidRPr="00B17506">
              <w:rPr>
                <w:rFonts w:cs="Calibri"/>
                <w:sz w:val="18"/>
                <w:szCs w:val="20"/>
              </w:rPr>
              <w:t>23970</w:t>
            </w:r>
          </w:p>
        </w:tc>
        <w:tc>
          <w:tcPr>
            <w:tcW w:w="900" w:type="dxa"/>
            <w:tcBorders>
              <w:top w:val="nil"/>
              <w:left w:val="nil"/>
              <w:bottom w:val="nil"/>
              <w:right w:val="nil"/>
            </w:tcBorders>
            <w:noWrap/>
            <w:vAlign w:val="bottom"/>
            <w:hideMark/>
          </w:tcPr>
          <w:p w14:paraId="6A5C1689" w14:textId="77777777" w:rsidR="00CE1CC3" w:rsidRPr="00B17506" w:rsidRDefault="00CE1CC3" w:rsidP="000B63E4">
            <w:pPr>
              <w:spacing w:after="0" w:line="360" w:lineRule="auto"/>
              <w:jc w:val="center"/>
              <w:rPr>
                <w:rFonts w:cs="Calibri"/>
                <w:sz w:val="18"/>
                <w:szCs w:val="20"/>
              </w:rPr>
            </w:pPr>
            <w:r w:rsidRPr="00B17506">
              <w:rPr>
                <w:rFonts w:cs="Calibri"/>
                <w:sz w:val="18"/>
                <w:szCs w:val="20"/>
              </w:rPr>
              <w:t>4095</w:t>
            </w:r>
          </w:p>
        </w:tc>
        <w:tc>
          <w:tcPr>
            <w:tcW w:w="720" w:type="dxa"/>
            <w:tcBorders>
              <w:top w:val="nil"/>
              <w:left w:val="nil"/>
              <w:bottom w:val="nil"/>
              <w:right w:val="nil"/>
            </w:tcBorders>
            <w:noWrap/>
            <w:vAlign w:val="bottom"/>
            <w:hideMark/>
          </w:tcPr>
          <w:p w14:paraId="69D967B3" w14:textId="77777777" w:rsidR="00CE1CC3" w:rsidRPr="00B17506" w:rsidRDefault="00CE1CC3" w:rsidP="000B63E4">
            <w:pPr>
              <w:spacing w:after="0" w:line="360" w:lineRule="auto"/>
              <w:jc w:val="center"/>
              <w:rPr>
                <w:rFonts w:cs="Calibri"/>
                <w:sz w:val="18"/>
                <w:szCs w:val="20"/>
              </w:rPr>
            </w:pPr>
            <w:r w:rsidRPr="00B17506">
              <w:rPr>
                <w:rFonts w:cs="Calibri"/>
                <w:sz w:val="18"/>
                <w:szCs w:val="20"/>
              </w:rPr>
              <w:t>17.1</w:t>
            </w:r>
          </w:p>
        </w:tc>
        <w:tc>
          <w:tcPr>
            <w:tcW w:w="450" w:type="dxa"/>
            <w:tcBorders>
              <w:top w:val="nil"/>
              <w:left w:val="nil"/>
              <w:bottom w:val="nil"/>
              <w:right w:val="nil"/>
            </w:tcBorders>
            <w:noWrap/>
            <w:vAlign w:val="bottom"/>
            <w:hideMark/>
          </w:tcPr>
          <w:p w14:paraId="546C2760" w14:textId="77777777" w:rsidR="00CE1CC3" w:rsidRPr="00B17506" w:rsidRDefault="00CE1CC3" w:rsidP="000B63E4">
            <w:pPr>
              <w:spacing w:after="0" w:line="360" w:lineRule="auto"/>
              <w:jc w:val="center"/>
              <w:rPr>
                <w:rFonts w:cs="Calibri"/>
                <w:sz w:val="18"/>
                <w:szCs w:val="20"/>
              </w:rPr>
            </w:pPr>
            <w:r w:rsidRPr="00B17506">
              <w:rPr>
                <w:rFonts w:cs="Calibri"/>
                <w:sz w:val="18"/>
                <w:szCs w:val="20"/>
              </w:rPr>
              <w:t>28</w:t>
            </w:r>
          </w:p>
        </w:tc>
        <w:tc>
          <w:tcPr>
            <w:tcW w:w="810" w:type="dxa"/>
            <w:tcBorders>
              <w:top w:val="nil"/>
              <w:left w:val="nil"/>
              <w:bottom w:val="nil"/>
              <w:right w:val="nil"/>
            </w:tcBorders>
            <w:noWrap/>
            <w:vAlign w:val="bottom"/>
            <w:hideMark/>
          </w:tcPr>
          <w:p w14:paraId="542F768D" w14:textId="77777777" w:rsidR="00CE1CC3" w:rsidRPr="00B17506" w:rsidRDefault="00CE1CC3" w:rsidP="000B63E4">
            <w:pPr>
              <w:spacing w:after="0" w:line="360" w:lineRule="auto"/>
              <w:jc w:val="center"/>
              <w:rPr>
                <w:rFonts w:cs="Calibri"/>
                <w:b/>
                <w:bCs/>
                <w:sz w:val="18"/>
                <w:szCs w:val="20"/>
              </w:rPr>
            </w:pPr>
            <w:r w:rsidRPr="00B17506">
              <w:rPr>
                <w:rFonts w:cs="Calibri"/>
                <w:b/>
                <w:bCs/>
                <w:sz w:val="18"/>
                <w:szCs w:val="20"/>
              </w:rPr>
              <w:t>--</w:t>
            </w:r>
          </w:p>
        </w:tc>
        <w:tc>
          <w:tcPr>
            <w:tcW w:w="900" w:type="dxa"/>
            <w:tcBorders>
              <w:top w:val="nil"/>
              <w:left w:val="nil"/>
              <w:bottom w:val="nil"/>
              <w:right w:val="nil"/>
            </w:tcBorders>
            <w:noWrap/>
            <w:vAlign w:val="bottom"/>
            <w:hideMark/>
          </w:tcPr>
          <w:p w14:paraId="3BE3CF8C" w14:textId="77777777" w:rsidR="00CE1CC3" w:rsidRPr="00B17506" w:rsidRDefault="00CE1CC3" w:rsidP="000B63E4">
            <w:pPr>
              <w:spacing w:after="0" w:line="360" w:lineRule="auto"/>
              <w:jc w:val="center"/>
              <w:rPr>
                <w:rFonts w:cs="Calibri"/>
                <w:b/>
                <w:bCs/>
                <w:sz w:val="18"/>
                <w:szCs w:val="20"/>
              </w:rPr>
            </w:pPr>
            <w:r w:rsidRPr="00B17506">
              <w:rPr>
                <w:rFonts w:cs="Calibri"/>
                <w:b/>
                <w:bCs/>
                <w:sz w:val="18"/>
                <w:szCs w:val="20"/>
              </w:rPr>
              <w:t>--</w:t>
            </w:r>
          </w:p>
        </w:tc>
        <w:tc>
          <w:tcPr>
            <w:tcW w:w="900" w:type="dxa"/>
            <w:tcBorders>
              <w:top w:val="nil"/>
              <w:left w:val="nil"/>
              <w:bottom w:val="nil"/>
              <w:right w:val="nil"/>
            </w:tcBorders>
            <w:noWrap/>
            <w:vAlign w:val="bottom"/>
            <w:hideMark/>
          </w:tcPr>
          <w:p w14:paraId="2D9DFCE9" w14:textId="77777777" w:rsidR="00CE1CC3" w:rsidRPr="00B17506" w:rsidRDefault="00CE1CC3" w:rsidP="000B63E4">
            <w:pPr>
              <w:spacing w:after="0" w:line="360" w:lineRule="auto"/>
              <w:ind w:left="-14"/>
              <w:jc w:val="center"/>
              <w:rPr>
                <w:rFonts w:cs="Calibri"/>
                <w:b/>
                <w:bCs/>
                <w:sz w:val="18"/>
                <w:szCs w:val="20"/>
              </w:rPr>
            </w:pPr>
            <w:r w:rsidRPr="00B17506">
              <w:rPr>
                <w:rFonts w:cs="Calibri"/>
                <w:b/>
                <w:bCs/>
                <w:sz w:val="18"/>
                <w:szCs w:val="20"/>
              </w:rPr>
              <w:t>--</w:t>
            </w:r>
          </w:p>
        </w:tc>
        <w:tc>
          <w:tcPr>
            <w:tcW w:w="1080" w:type="dxa"/>
            <w:tcBorders>
              <w:top w:val="nil"/>
              <w:left w:val="nil"/>
              <w:bottom w:val="nil"/>
              <w:right w:val="nil"/>
            </w:tcBorders>
            <w:noWrap/>
            <w:vAlign w:val="bottom"/>
            <w:hideMark/>
          </w:tcPr>
          <w:p w14:paraId="20FC4253" w14:textId="77777777" w:rsidR="00CE1CC3" w:rsidRPr="00B17506" w:rsidRDefault="00CE1CC3" w:rsidP="000B63E4">
            <w:pPr>
              <w:spacing w:after="0" w:line="360" w:lineRule="auto"/>
              <w:jc w:val="center"/>
              <w:rPr>
                <w:rFonts w:cs="Calibri"/>
                <w:b/>
                <w:bCs/>
                <w:sz w:val="18"/>
                <w:szCs w:val="20"/>
              </w:rPr>
            </w:pPr>
            <w:r w:rsidRPr="00B17506">
              <w:rPr>
                <w:rFonts w:cs="Calibri"/>
                <w:b/>
                <w:bCs/>
                <w:sz w:val="18"/>
                <w:szCs w:val="20"/>
              </w:rPr>
              <w:t>--</w:t>
            </w:r>
          </w:p>
        </w:tc>
      </w:tr>
      <w:tr w:rsidR="00CE1CC3" w:rsidRPr="00B17506" w14:paraId="0787A050" w14:textId="77777777" w:rsidTr="000B63E4">
        <w:trPr>
          <w:trHeight w:val="300"/>
        </w:trPr>
        <w:tc>
          <w:tcPr>
            <w:tcW w:w="1350" w:type="dxa"/>
            <w:tcBorders>
              <w:top w:val="nil"/>
              <w:left w:val="nil"/>
              <w:bottom w:val="nil"/>
              <w:right w:val="nil"/>
            </w:tcBorders>
            <w:noWrap/>
            <w:vAlign w:val="bottom"/>
            <w:hideMark/>
          </w:tcPr>
          <w:p w14:paraId="11E31CE7"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3 Year</w:t>
            </w:r>
            <w:r w:rsidRPr="00B17506">
              <w:rPr>
                <w:rFonts w:cs="Calibri"/>
                <w:color w:val="000000"/>
                <w:sz w:val="18"/>
                <w:szCs w:val="20"/>
              </w:rPr>
              <w:br/>
              <w:t xml:space="preserve">  (2011-2013)</w:t>
            </w:r>
          </w:p>
        </w:tc>
        <w:tc>
          <w:tcPr>
            <w:tcW w:w="1170" w:type="dxa"/>
            <w:tcBorders>
              <w:top w:val="nil"/>
              <w:left w:val="nil"/>
              <w:bottom w:val="nil"/>
              <w:right w:val="nil"/>
            </w:tcBorders>
            <w:noWrap/>
            <w:vAlign w:val="bottom"/>
            <w:hideMark/>
          </w:tcPr>
          <w:p w14:paraId="50D877B3"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20131</w:t>
            </w:r>
          </w:p>
        </w:tc>
        <w:tc>
          <w:tcPr>
            <w:tcW w:w="900" w:type="dxa"/>
            <w:tcBorders>
              <w:top w:val="nil"/>
              <w:left w:val="nil"/>
              <w:bottom w:val="nil"/>
              <w:right w:val="nil"/>
            </w:tcBorders>
            <w:noWrap/>
            <w:vAlign w:val="bottom"/>
            <w:hideMark/>
          </w:tcPr>
          <w:p w14:paraId="1B74E732"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3786</w:t>
            </w:r>
          </w:p>
        </w:tc>
        <w:tc>
          <w:tcPr>
            <w:tcW w:w="720" w:type="dxa"/>
            <w:tcBorders>
              <w:top w:val="nil"/>
              <w:left w:val="nil"/>
              <w:bottom w:val="nil"/>
              <w:right w:val="nil"/>
            </w:tcBorders>
            <w:noWrap/>
            <w:vAlign w:val="bottom"/>
            <w:hideMark/>
          </w:tcPr>
          <w:p w14:paraId="6ED6227B"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18.8</w:t>
            </w:r>
          </w:p>
        </w:tc>
        <w:tc>
          <w:tcPr>
            <w:tcW w:w="450" w:type="dxa"/>
            <w:tcBorders>
              <w:top w:val="nil"/>
              <w:left w:val="nil"/>
              <w:bottom w:val="nil"/>
              <w:right w:val="nil"/>
            </w:tcBorders>
            <w:noWrap/>
            <w:vAlign w:val="bottom"/>
            <w:hideMark/>
          </w:tcPr>
          <w:p w14:paraId="27F5C72A"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9</w:t>
            </w:r>
          </w:p>
        </w:tc>
        <w:tc>
          <w:tcPr>
            <w:tcW w:w="810" w:type="dxa"/>
            <w:tcBorders>
              <w:top w:val="nil"/>
              <w:left w:val="nil"/>
              <w:bottom w:val="nil"/>
              <w:right w:val="nil"/>
            </w:tcBorders>
            <w:noWrap/>
            <w:vAlign w:val="bottom"/>
            <w:hideMark/>
          </w:tcPr>
          <w:p w14:paraId="1AE6611D"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2.593</w:t>
            </w:r>
          </w:p>
        </w:tc>
        <w:tc>
          <w:tcPr>
            <w:tcW w:w="900" w:type="dxa"/>
            <w:tcBorders>
              <w:top w:val="nil"/>
              <w:left w:val="nil"/>
              <w:bottom w:val="nil"/>
              <w:right w:val="nil"/>
            </w:tcBorders>
            <w:noWrap/>
            <w:vAlign w:val="bottom"/>
            <w:hideMark/>
          </w:tcPr>
          <w:p w14:paraId="13285A9F"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0.020</w:t>
            </w:r>
          </w:p>
        </w:tc>
        <w:tc>
          <w:tcPr>
            <w:tcW w:w="900" w:type="dxa"/>
            <w:tcBorders>
              <w:top w:val="nil"/>
              <w:left w:val="nil"/>
              <w:bottom w:val="nil"/>
              <w:right w:val="nil"/>
            </w:tcBorders>
            <w:noWrap/>
            <w:vAlign w:val="bottom"/>
            <w:hideMark/>
          </w:tcPr>
          <w:p w14:paraId="0E294B60"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2.13</w:t>
            </w:r>
          </w:p>
        </w:tc>
        <w:tc>
          <w:tcPr>
            <w:tcW w:w="1080" w:type="dxa"/>
            <w:tcBorders>
              <w:top w:val="nil"/>
              <w:left w:val="nil"/>
              <w:bottom w:val="nil"/>
              <w:right w:val="nil"/>
            </w:tcBorders>
            <w:noWrap/>
            <w:vAlign w:val="bottom"/>
            <w:hideMark/>
          </w:tcPr>
          <w:p w14:paraId="613D4B89"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Significant</w:t>
            </w:r>
          </w:p>
        </w:tc>
      </w:tr>
      <w:tr w:rsidR="00CE1CC3" w:rsidRPr="00B17506" w14:paraId="7E0E6405" w14:textId="77777777" w:rsidTr="000B63E4">
        <w:trPr>
          <w:trHeight w:val="300"/>
        </w:trPr>
        <w:tc>
          <w:tcPr>
            <w:tcW w:w="1350" w:type="dxa"/>
            <w:tcBorders>
              <w:top w:val="nil"/>
              <w:left w:val="nil"/>
              <w:bottom w:val="nil"/>
              <w:right w:val="nil"/>
            </w:tcBorders>
            <w:noWrap/>
            <w:vAlign w:val="bottom"/>
            <w:hideMark/>
          </w:tcPr>
          <w:p w14:paraId="791DD2DC"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 xml:space="preserve">Spring </w:t>
            </w:r>
            <w:r w:rsidRPr="00B17506">
              <w:rPr>
                <w:rFonts w:cs="Calibri"/>
                <w:color w:val="000000"/>
                <w:sz w:val="18"/>
                <w:szCs w:val="20"/>
              </w:rPr>
              <w:br/>
              <w:t xml:space="preserve"> (2009-2013)</w:t>
            </w:r>
          </w:p>
        </w:tc>
        <w:tc>
          <w:tcPr>
            <w:tcW w:w="1170" w:type="dxa"/>
            <w:tcBorders>
              <w:top w:val="nil"/>
              <w:left w:val="nil"/>
              <w:bottom w:val="nil"/>
              <w:right w:val="nil"/>
            </w:tcBorders>
            <w:noWrap/>
            <w:vAlign w:val="bottom"/>
            <w:hideMark/>
          </w:tcPr>
          <w:p w14:paraId="082F2BCD"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27639</w:t>
            </w:r>
          </w:p>
        </w:tc>
        <w:tc>
          <w:tcPr>
            <w:tcW w:w="900" w:type="dxa"/>
            <w:tcBorders>
              <w:top w:val="nil"/>
              <w:left w:val="nil"/>
              <w:bottom w:val="nil"/>
              <w:right w:val="nil"/>
            </w:tcBorders>
            <w:noWrap/>
            <w:vAlign w:val="bottom"/>
            <w:hideMark/>
          </w:tcPr>
          <w:p w14:paraId="14AFFDEA"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2018</w:t>
            </w:r>
          </w:p>
        </w:tc>
        <w:tc>
          <w:tcPr>
            <w:tcW w:w="720" w:type="dxa"/>
            <w:tcBorders>
              <w:top w:val="nil"/>
              <w:left w:val="nil"/>
              <w:bottom w:val="nil"/>
              <w:right w:val="nil"/>
            </w:tcBorders>
            <w:noWrap/>
            <w:vAlign w:val="bottom"/>
            <w:hideMark/>
          </w:tcPr>
          <w:p w14:paraId="3EACB474"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7.3</w:t>
            </w:r>
          </w:p>
        </w:tc>
        <w:tc>
          <w:tcPr>
            <w:tcW w:w="450" w:type="dxa"/>
            <w:tcBorders>
              <w:top w:val="nil"/>
              <w:left w:val="nil"/>
              <w:bottom w:val="nil"/>
              <w:right w:val="nil"/>
            </w:tcBorders>
            <w:noWrap/>
            <w:vAlign w:val="bottom"/>
            <w:hideMark/>
          </w:tcPr>
          <w:p w14:paraId="029393B2"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7</w:t>
            </w:r>
          </w:p>
        </w:tc>
        <w:tc>
          <w:tcPr>
            <w:tcW w:w="810" w:type="dxa"/>
            <w:tcBorders>
              <w:top w:val="nil"/>
              <w:left w:val="nil"/>
              <w:bottom w:val="nil"/>
              <w:right w:val="nil"/>
            </w:tcBorders>
            <w:noWrap/>
            <w:vAlign w:val="bottom"/>
            <w:hideMark/>
          </w:tcPr>
          <w:p w14:paraId="7295C710"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3.377</w:t>
            </w:r>
          </w:p>
        </w:tc>
        <w:tc>
          <w:tcPr>
            <w:tcW w:w="900" w:type="dxa"/>
            <w:tcBorders>
              <w:top w:val="nil"/>
              <w:left w:val="nil"/>
              <w:bottom w:val="nil"/>
              <w:right w:val="nil"/>
            </w:tcBorders>
            <w:noWrap/>
            <w:vAlign w:val="bottom"/>
            <w:hideMark/>
          </w:tcPr>
          <w:p w14:paraId="7702A1E1"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0.003</w:t>
            </w:r>
          </w:p>
        </w:tc>
        <w:tc>
          <w:tcPr>
            <w:tcW w:w="900" w:type="dxa"/>
            <w:tcBorders>
              <w:top w:val="nil"/>
              <w:left w:val="nil"/>
              <w:bottom w:val="nil"/>
              <w:right w:val="nil"/>
            </w:tcBorders>
            <w:noWrap/>
            <w:vAlign w:val="bottom"/>
            <w:hideMark/>
          </w:tcPr>
          <w:p w14:paraId="3B092941"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2.086</w:t>
            </w:r>
          </w:p>
        </w:tc>
        <w:tc>
          <w:tcPr>
            <w:tcW w:w="1080" w:type="dxa"/>
            <w:tcBorders>
              <w:top w:val="nil"/>
              <w:left w:val="nil"/>
              <w:bottom w:val="nil"/>
              <w:right w:val="nil"/>
            </w:tcBorders>
            <w:noWrap/>
            <w:vAlign w:val="bottom"/>
            <w:hideMark/>
          </w:tcPr>
          <w:p w14:paraId="69806778"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Significant</w:t>
            </w:r>
          </w:p>
        </w:tc>
      </w:tr>
      <w:tr w:rsidR="00CE1CC3" w:rsidRPr="00B17506" w14:paraId="07302115" w14:textId="77777777" w:rsidTr="000B63E4">
        <w:trPr>
          <w:trHeight w:val="300"/>
        </w:trPr>
        <w:tc>
          <w:tcPr>
            <w:tcW w:w="1350" w:type="dxa"/>
            <w:tcBorders>
              <w:top w:val="nil"/>
              <w:left w:val="nil"/>
              <w:right w:val="nil"/>
            </w:tcBorders>
            <w:noWrap/>
            <w:vAlign w:val="bottom"/>
            <w:hideMark/>
          </w:tcPr>
          <w:p w14:paraId="09201692"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 xml:space="preserve">Summer </w:t>
            </w:r>
            <w:r w:rsidRPr="00B17506">
              <w:rPr>
                <w:rFonts w:cs="Calibri"/>
                <w:color w:val="000000"/>
                <w:sz w:val="18"/>
                <w:szCs w:val="20"/>
              </w:rPr>
              <w:br/>
              <w:t xml:space="preserve"> (2009-2013)</w:t>
            </w:r>
          </w:p>
        </w:tc>
        <w:tc>
          <w:tcPr>
            <w:tcW w:w="1170" w:type="dxa"/>
            <w:tcBorders>
              <w:top w:val="nil"/>
              <w:left w:val="nil"/>
              <w:right w:val="nil"/>
            </w:tcBorders>
            <w:noWrap/>
            <w:vAlign w:val="bottom"/>
            <w:hideMark/>
          </w:tcPr>
          <w:p w14:paraId="2F0E912B"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23467</w:t>
            </w:r>
          </w:p>
        </w:tc>
        <w:tc>
          <w:tcPr>
            <w:tcW w:w="900" w:type="dxa"/>
            <w:tcBorders>
              <w:top w:val="nil"/>
              <w:left w:val="nil"/>
              <w:right w:val="nil"/>
            </w:tcBorders>
            <w:noWrap/>
            <w:vAlign w:val="bottom"/>
            <w:hideMark/>
          </w:tcPr>
          <w:p w14:paraId="5CE3E5F4"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2716</w:t>
            </w:r>
          </w:p>
        </w:tc>
        <w:tc>
          <w:tcPr>
            <w:tcW w:w="720" w:type="dxa"/>
            <w:tcBorders>
              <w:top w:val="nil"/>
              <w:left w:val="nil"/>
              <w:right w:val="nil"/>
            </w:tcBorders>
            <w:noWrap/>
            <w:vAlign w:val="bottom"/>
            <w:hideMark/>
          </w:tcPr>
          <w:p w14:paraId="2DF9987C"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11.6</w:t>
            </w:r>
          </w:p>
        </w:tc>
        <w:tc>
          <w:tcPr>
            <w:tcW w:w="450" w:type="dxa"/>
            <w:tcBorders>
              <w:top w:val="nil"/>
              <w:left w:val="nil"/>
              <w:right w:val="nil"/>
            </w:tcBorders>
            <w:noWrap/>
            <w:vAlign w:val="bottom"/>
            <w:hideMark/>
          </w:tcPr>
          <w:p w14:paraId="5B5B9487"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7</w:t>
            </w:r>
          </w:p>
        </w:tc>
        <w:tc>
          <w:tcPr>
            <w:tcW w:w="810" w:type="dxa"/>
            <w:tcBorders>
              <w:top w:val="nil"/>
              <w:left w:val="nil"/>
              <w:right w:val="nil"/>
            </w:tcBorders>
            <w:noWrap/>
            <w:vAlign w:val="bottom"/>
            <w:hideMark/>
          </w:tcPr>
          <w:p w14:paraId="635DE3D2"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0.391</w:t>
            </w:r>
          </w:p>
        </w:tc>
        <w:tc>
          <w:tcPr>
            <w:tcW w:w="900" w:type="dxa"/>
            <w:tcBorders>
              <w:top w:val="nil"/>
              <w:left w:val="nil"/>
              <w:right w:val="nil"/>
            </w:tcBorders>
            <w:noWrap/>
            <w:vAlign w:val="bottom"/>
            <w:hideMark/>
          </w:tcPr>
          <w:p w14:paraId="23F9D4E5"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0.702</w:t>
            </w:r>
          </w:p>
        </w:tc>
        <w:tc>
          <w:tcPr>
            <w:tcW w:w="900" w:type="dxa"/>
            <w:tcBorders>
              <w:top w:val="nil"/>
              <w:left w:val="nil"/>
              <w:right w:val="nil"/>
            </w:tcBorders>
            <w:noWrap/>
            <w:vAlign w:val="bottom"/>
            <w:hideMark/>
          </w:tcPr>
          <w:p w14:paraId="4269145B"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2.145</w:t>
            </w:r>
          </w:p>
        </w:tc>
        <w:tc>
          <w:tcPr>
            <w:tcW w:w="1080" w:type="dxa"/>
            <w:tcBorders>
              <w:top w:val="nil"/>
              <w:left w:val="nil"/>
              <w:right w:val="nil"/>
            </w:tcBorders>
            <w:noWrap/>
            <w:vAlign w:val="bottom"/>
            <w:hideMark/>
          </w:tcPr>
          <w:p w14:paraId="543EC59E"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Not Significant</w:t>
            </w:r>
          </w:p>
        </w:tc>
      </w:tr>
      <w:tr w:rsidR="00CE1CC3" w:rsidRPr="00B17506" w14:paraId="07422996" w14:textId="77777777" w:rsidTr="000B63E4">
        <w:trPr>
          <w:trHeight w:val="300"/>
        </w:trPr>
        <w:tc>
          <w:tcPr>
            <w:tcW w:w="1350" w:type="dxa"/>
            <w:tcBorders>
              <w:top w:val="nil"/>
              <w:left w:val="nil"/>
              <w:bottom w:val="nil"/>
              <w:right w:val="nil"/>
            </w:tcBorders>
            <w:noWrap/>
            <w:vAlign w:val="bottom"/>
            <w:hideMark/>
          </w:tcPr>
          <w:p w14:paraId="5C71DE92"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 xml:space="preserve">Fall </w:t>
            </w:r>
            <w:r w:rsidRPr="00B17506">
              <w:rPr>
                <w:rFonts w:cs="Calibri"/>
                <w:color w:val="000000"/>
                <w:sz w:val="18"/>
                <w:szCs w:val="20"/>
              </w:rPr>
              <w:br/>
              <w:t xml:space="preserve"> (2009-2013)</w:t>
            </w:r>
          </w:p>
        </w:tc>
        <w:tc>
          <w:tcPr>
            <w:tcW w:w="1170" w:type="dxa"/>
            <w:tcBorders>
              <w:top w:val="nil"/>
              <w:left w:val="nil"/>
              <w:bottom w:val="nil"/>
              <w:right w:val="nil"/>
            </w:tcBorders>
            <w:noWrap/>
            <w:vAlign w:val="bottom"/>
            <w:hideMark/>
          </w:tcPr>
          <w:p w14:paraId="17746CDF"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20786</w:t>
            </w:r>
          </w:p>
        </w:tc>
        <w:tc>
          <w:tcPr>
            <w:tcW w:w="900" w:type="dxa"/>
            <w:tcBorders>
              <w:top w:val="nil"/>
              <w:left w:val="nil"/>
              <w:bottom w:val="nil"/>
              <w:right w:val="nil"/>
            </w:tcBorders>
            <w:noWrap/>
            <w:vAlign w:val="bottom"/>
            <w:hideMark/>
          </w:tcPr>
          <w:p w14:paraId="688154B7"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3985</w:t>
            </w:r>
          </w:p>
        </w:tc>
        <w:tc>
          <w:tcPr>
            <w:tcW w:w="720" w:type="dxa"/>
            <w:tcBorders>
              <w:top w:val="nil"/>
              <w:left w:val="nil"/>
              <w:bottom w:val="nil"/>
              <w:right w:val="nil"/>
            </w:tcBorders>
            <w:noWrap/>
            <w:vAlign w:val="bottom"/>
            <w:hideMark/>
          </w:tcPr>
          <w:p w14:paraId="449BE90A"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19.2</w:t>
            </w:r>
          </w:p>
        </w:tc>
        <w:tc>
          <w:tcPr>
            <w:tcW w:w="450" w:type="dxa"/>
            <w:tcBorders>
              <w:top w:val="nil"/>
              <w:left w:val="nil"/>
              <w:bottom w:val="nil"/>
              <w:right w:val="nil"/>
            </w:tcBorders>
            <w:noWrap/>
            <w:vAlign w:val="bottom"/>
            <w:hideMark/>
          </w:tcPr>
          <w:p w14:paraId="2C480870"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6</w:t>
            </w:r>
          </w:p>
        </w:tc>
        <w:tc>
          <w:tcPr>
            <w:tcW w:w="810" w:type="dxa"/>
            <w:tcBorders>
              <w:top w:val="nil"/>
              <w:left w:val="nil"/>
              <w:bottom w:val="nil"/>
              <w:right w:val="nil"/>
            </w:tcBorders>
            <w:noWrap/>
            <w:vAlign w:val="bottom"/>
            <w:hideMark/>
          </w:tcPr>
          <w:p w14:paraId="6278886D"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1.767</w:t>
            </w:r>
          </w:p>
        </w:tc>
        <w:tc>
          <w:tcPr>
            <w:tcW w:w="900" w:type="dxa"/>
            <w:tcBorders>
              <w:top w:val="nil"/>
              <w:left w:val="nil"/>
              <w:bottom w:val="nil"/>
              <w:right w:val="nil"/>
            </w:tcBorders>
            <w:noWrap/>
            <w:vAlign w:val="bottom"/>
            <w:hideMark/>
          </w:tcPr>
          <w:p w14:paraId="4516B256"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0.121</w:t>
            </w:r>
          </w:p>
        </w:tc>
        <w:tc>
          <w:tcPr>
            <w:tcW w:w="900" w:type="dxa"/>
            <w:tcBorders>
              <w:top w:val="nil"/>
              <w:left w:val="nil"/>
              <w:bottom w:val="nil"/>
              <w:right w:val="nil"/>
            </w:tcBorders>
            <w:noWrap/>
            <w:vAlign w:val="bottom"/>
            <w:hideMark/>
          </w:tcPr>
          <w:p w14:paraId="12C466EF"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2.365</w:t>
            </w:r>
          </w:p>
        </w:tc>
        <w:tc>
          <w:tcPr>
            <w:tcW w:w="1080" w:type="dxa"/>
            <w:tcBorders>
              <w:top w:val="nil"/>
              <w:left w:val="nil"/>
              <w:bottom w:val="nil"/>
              <w:right w:val="nil"/>
            </w:tcBorders>
            <w:noWrap/>
            <w:vAlign w:val="bottom"/>
            <w:hideMark/>
          </w:tcPr>
          <w:p w14:paraId="13ADA290"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Not Significant</w:t>
            </w:r>
          </w:p>
        </w:tc>
      </w:tr>
      <w:tr w:rsidR="00CE1CC3" w:rsidRPr="00B17506" w14:paraId="7FA20D53" w14:textId="77777777" w:rsidTr="000B63E4">
        <w:trPr>
          <w:trHeight w:val="315"/>
        </w:trPr>
        <w:tc>
          <w:tcPr>
            <w:tcW w:w="1350" w:type="dxa"/>
            <w:tcBorders>
              <w:top w:val="nil"/>
              <w:left w:val="nil"/>
              <w:right w:val="nil"/>
            </w:tcBorders>
            <w:noWrap/>
            <w:vAlign w:val="bottom"/>
            <w:hideMark/>
          </w:tcPr>
          <w:p w14:paraId="1042069C"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 xml:space="preserve">Winter </w:t>
            </w:r>
            <w:r w:rsidRPr="00B17506">
              <w:rPr>
                <w:rFonts w:cs="Calibri"/>
                <w:color w:val="000000"/>
                <w:sz w:val="18"/>
                <w:szCs w:val="20"/>
              </w:rPr>
              <w:br/>
              <w:t xml:space="preserve"> (2009-2013)</w:t>
            </w:r>
          </w:p>
        </w:tc>
        <w:tc>
          <w:tcPr>
            <w:tcW w:w="1170" w:type="dxa"/>
            <w:tcBorders>
              <w:top w:val="nil"/>
              <w:left w:val="nil"/>
              <w:right w:val="nil"/>
            </w:tcBorders>
            <w:noWrap/>
            <w:vAlign w:val="bottom"/>
            <w:hideMark/>
          </w:tcPr>
          <w:p w14:paraId="50043B1B"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23586</w:t>
            </w:r>
          </w:p>
        </w:tc>
        <w:tc>
          <w:tcPr>
            <w:tcW w:w="900" w:type="dxa"/>
            <w:tcBorders>
              <w:top w:val="nil"/>
              <w:left w:val="nil"/>
              <w:right w:val="nil"/>
            </w:tcBorders>
            <w:noWrap/>
            <w:vAlign w:val="bottom"/>
            <w:hideMark/>
          </w:tcPr>
          <w:p w14:paraId="4D5C49A2"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4578</w:t>
            </w:r>
          </w:p>
        </w:tc>
        <w:tc>
          <w:tcPr>
            <w:tcW w:w="720" w:type="dxa"/>
            <w:tcBorders>
              <w:top w:val="nil"/>
              <w:left w:val="nil"/>
              <w:right w:val="nil"/>
            </w:tcBorders>
            <w:noWrap/>
            <w:vAlign w:val="bottom"/>
            <w:hideMark/>
          </w:tcPr>
          <w:p w14:paraId="6881A8FC"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19.4</w:t>
            </w:r>
          </w:p>
        </w:tc>
        <w:tc>
          <w:tcPr>
            <w:tcW w:w="450" w:type="dxa"/>
            <w:tcBorders>
              <w:top w:val="nil"/>
              <w:left w:val="nil"/>
              <w:right w:val="nil"/>
            </w:tcBorders>
            <w:noWrap/>
            <w:vAlign w:val="bottom"/>
            <w:hideMark/>
          </w:tcPr>
          <w:p w14:paraId="513CC348"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8</w:t>
            </w:r>
          </w:p>
        </w:tc>
        <w:tc>
          <w:tcPr>
            <w:tcW w:w="810" w:type="dxa"/>
            <w:tcBorders>
              <w:top w:val="nil"/>
              <w:left w:val="nil"/>
              <w:right w:val="nil"/>
            </w:tcBorders>
            <w:noWrap/>
            <w:vAlign w:val="bottom"/>
            <w:hideMark/>
          </w:tcPr>
          <w:p w14:paraId="231C850A"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0.214</w:t>
            </w:r>
          </w:p>
        </w:tc>
        <w:tc>
          <w:tcPr>
            <w:tcW w:w="900" w:type="dxa"/>
            <w:tcBorders>
              <w:top w:val="nil"/>
              <w:left w:val="nil"/>
              <w:right w:val="nil"/>
            </w:tcBorders>
            <w:noWrap/>
            <w:vAlign w:val="bottom"/>
            <w:hideMark/>
          </w:tcPr>
          <w:p w14:paraId="182888FB"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0.835</w:t>
            </w:r>
          </w:p>
        </w:tc>
        <w:tc>
          <w:tcPr>
            <w:tcW w:w="900" w:type="dxa"/>
            <w:tcBorders>
              <w:top w:val="nil"/>
              <w:left w:val="nil"/>
              <w:right w:val="nil"/>
            </w:tcBorders>
            <w:noWrap/>
            <w:vAlign w:val="bottom"/>
            <w:hideMark/>
          </w:tcPr>
          <w:p w14:paraId="661BCF6F"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2.228</w:t>
            </w:r>
          </w:p>
        </w:tc>
        <w:tc>
          <w:tcPr>
            <w:tcW w:w="1080" w:type="dxa"/>
            <w:tcBorders>
              <w:top w:val="nil"/>
              <w:left w:val="nil"/>
              <w:right w:val="nil"/>
            </w:tcBorders>
            <w:noWrap/>
            <w:vAlign w:val="bottom"/>
            <w:hideMark/>
          </w:tcPr>
          <w:p w14:paraId="53F1D5C0"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Not Significant</w:t>
            </w:r>
          </w:p>
        </w:tc>
      </w:tr>
      <w:tr w:rsidR="00CE1CC3" w:rsidRPr="00B17506" w14:paraId="16072E1D" w14:textId="77777777" w:rsidTr="000B63E4">
        <w:trPr>
          <w:trHeight w:val="300"/>
        </w:trPr>
        <w:tc>
          <w:tcPr>
            <w:tcW w:w="1350" w:type="dxa"/>
            <w:tcBorders>
              <w:top w:val="nil"/>
              <w:left w:val="nil"/>
              <w:bottom w:val="nil"/>
              <w:right w:val="nil"/>
            </w:tcBorders>
            <w:noWrap/>
            <w:vAlign w:val="bottom"/>
            <w:hideMark/>
          </w:tcPr>
          <w:p w14:paraId="06E61C8C" w14:textId="77777777" w:rsidR="00CE1CC3" w:rsidRPr="00B17506" w:rsidRDefault="00CE1CC3" w:rsidP="000B63E4">
            <w:pPr>
              <w:spacing w:after="0" w:line="360" w:lineRule="auto"/>
              <w:jc w:val="center"/>
              <w:rPr>
                <w:rFonts w:cs="Calibri"/>
                <w:color w:val="000000"/>
                <w:sz w:val="18"/>
                <w:szCs w:val="20"/>
              </w:rPr>
            </w:pPr>
          </w:p>
          <w:p w14:paraId="44E1CFD8"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2009</w:t>
            </w:r>
          </w:p>
        </w:tc>
        <w:tc>
          <w:tcPr>
            <w:tcW w:w="1170" w:type="dxa"/>
            <w:tcBorders>
              <w:top w:val="nil"/>
              <w:left w:val="nil"/>
              <w:bottom w:val="nil"/>
              <w:right w:val="nil"/>
            </w:tcBorders>
            <w:noWrap/>
            <w:vAlign w:val="bottom"/>
            <w:hideMark/>
          </w:tcPr>
          <w:p w14:paraId="25EF7906"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24621</w:t>
            </w:r>
          </w:p>
        </w:tc>
        <w:tc>
          <w:tcPr>
            <w:tcW w:w="900" w:type="dxa"/>
            <w:tcBorders>
              <w:top w:val="nil"/>
              <w:left w:val="nil"/>
              <w:bottom w:val="nil"/>
              <w:right w:val="nil"/>
            </w:tcBorders>
            <w:noWrap/>
            <w:vAlign w:val="bottom"/>
            <w:hideMark/>
          </w:tcPr>
          <w:p w14:paraId="6F028FB4"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2700</w:t>
            </w:r>
          </w:p>
        </w:tc>
        <w:tc>
          <w:tcPr>
            <w:tcW w:w="720" w:type="dxa"/>
            <w:tcBorders>
              <w:top w:val="nil"/>
              <w:left w:val="nil"/>
              <w:bottom w:val="nil"/>
              <w:right w:val="nil"/>
            </w:tcBorders>
            <w:noWrap/>
            <w:vAlign w:val="bottom"/>
            <w:hideMark/>
          </w:tcPr>
          <w:p w14:paraId="504FD2E4"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11.0</w:t>
            </w:r>
          </w:p>
        </w:tc>
        <w:tc>
          <w:tcPr>
            <w:tcW w:w="450" w:type="dxa"/>
            <w:tcBorders>
              <w:top w:val="nil"/>
              <w:left w:val="nil"/>
              <w:bottom w:val="nil"/>
              <w:right w:val="nil"/>
            </w:tcBorders>
            <w:noWrap/>
            <w:vAlign w:val="bottom"/>
            <w:hideMark/>
          </w:tcPr>
          <w:p w14:paraId="215A6140"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12</w:t>
            </w:r>
          </w:p>
        </w:tc>
        <w:tc>
          <w:tcPr>
            <w:tcW w:w="810" w:type="dxa"/>
            <w:tcBorders>
              <w:top w:val="nil"/>
              <w:left w:val="nil"/>
              <w:bottom w:val="nil"/>
              <w:right w:val="nil"/>
            </w:tcBorders>
            <w:noWrap/>
            <w:vAlign w:val="bottom"/>
            <w:hideMark/>
          </w:tcPr>
          <w:p w14:paraId="2351A7B9"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0.593</w:t>
            </w:r>
          </w:p>
        </w:tc>
        <w:tc>
          <w:tcPr>
            <w:tcW w:w="900" w:type="dxa"/>
            <w:tcBorders>
              <w:top w:val="nil"/>
              <w:left w:val="nil"/>
              <w:bottom w:val="nil"/>
              <w:right w:val="nil"/>
            </w:tcBorders>
            <w:noWrap/>
            <w:vAlign w:val="bottom"/>
            <w:hideMark/>
          </w:tcPr>
          <w:p w14:paraId="0E9C2506"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0.558</w:t>
            </w:r>
          </w:p>
        </w:tc>
        <w:tc>
          <w:tcPr>
            <w:tcW w:w="900" w:type="dxa"/>
            <w:tcBorders>
              <w:top w:val="nil"/>
              <w:left w:val="nil"/>
              <w:bottom w:val="nil"/>
              <w:right w:val="nil"/>
            </w:tcBorders>
            <w:noWrap/>
            <w:vAlign w:val="bottom"/>
            <w:hideMark/>
          </w:tcPr>
          <w:p w14:paraId="17450F3B"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2.040</w:t>
            </w:r>
          </w:p>
        </w:tc>
        <w:tc>
          <w:tcPr>
            <w:tcW w:w="1080" w:type="dxa"/>
            <w:tcBorders>
              <w:top w:val="nil"/>
              <w:left w:val="nil"/>
              <w:bottom w:val="nil"/>
              <w:right w:val="nil"/>
            </w:tcBorders>
            <w:noWrap/>
            <w:vAlign w:val="bottom"/>
            <w:hideMark/>
          </w:tcPr>
          <w:p w14:paraId="4F65F8D0"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Not Significant</w:t>
            </w:r>
          </w:p>
        </w:tc>
      </w:tr>
      <w:tr w:rsidR="00CE1CC3" w:rsidRPr="00B17506" w14:paraId="625F6731" w14:textId="77777777" w:rsidTr="000B63E4">
        <w:trPr>
          <w:trHeight w:val="300"/>
        </w:trPr>
        <w:tc>
          <w:tcPr>
            <w:tcW w:w="1350" w:type="dxa"/>
            <w:tcBorders>
              <w:top w:val="nil"/>
              <w:left w:val="nil"/>
              <w:bottom w:val="nil"/>
              <w:right w:val="nil"/>
            </w:tcBorders>
            <w:noWrap/>
            <w:vAlign w:val="bottom"/>
            <w:hideMark/>
          </w:tcPr>
          <w:p w14:paraId="2C80CD40"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2010</w:t>
            </w:r>
          </w:p>
        </w:tc>
        <w:tc>
          <w:tcPr>
            <w:tcW w:w="1170" w:type="dxa"/>
            <w:tcBorders>
              <w:top w:val="nil"/>
              <w:left w:val="nil"/>
              <w:bottom w:val="nil"/>
              <w:right w:val="nil"/>
            </w:tcBorders>
            <w:noWrap/>
            <w:vAlign w:val="bottom"/>
            <w:hideMark/>
          </w:tcPr>
          <w:p w14:paraId="644EEB5C"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27789</w:t>
            </w:r>
          </w:p>
        </w:tc>
        <w:tc>
          <w:tcPr>
            <w:tcW w:w="900" w:type="dxa"/>
            <w:tcBorders>
              <w:top w:val="nil"/>
              <w:left w:val="nil"/>
              <w:bottom w:val="nil"/>
              <w:right w:val="nil"/>
            </w:tcBorders>
            <w:noWrap/>
            <w:vAlign w:val="bottom"/>
            <w:hideMark/>
          </w:tcPr>
          <w:p w14:paraId="42A823D4"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1740</w:t>
            </w:r>
          </w:p>
        </w:tc>
        <w:tc>
          <w:tcPr>
            <w:tcW w:w="720" w:type="dxa"/>
            <w:tcBorders>
              <w:top w:val="nil"/>
              <w:left w:val="nil"/>
              <w:bottom w:val="nil"/>
              <w:right w:val="nil"/>
            </w:tcBorders>
            <w:noWrap/>
            <w:vAlign w:val="bottom"/>
            <w:hideMark/>
          </w:tcPr>
          <w:p w14:paraId="47735C13"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6.3</w:t>
            </w:r>
          </w:p>
        </w:tc>
        <w:tc>
          <w:tcPr>
            <w:tcW w:w="450" w:type="dxa"/>
            <w:tcBorders>
              <w:top w:val="nil"/>
              <w:left w:val="nil"/>
              <w:bottom w:val="nil"/>
              <w:right w:val="nil"/>
            </w:tcBorders>
            <w:noWrap/>
            <w:vAlign w:val="bottom"/>
            <w:hideMark/>
          </w:tcPr>
          <w:p w14:paraId="2FA0197F"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7</w:t>
            </w:r>
          </w:p>
        </w:tc>
        <w:tc>
          <w:tcPr>
            <w:tcW w:w="810" w:type="dxa"/>
            <w:tcBorders>
              <w:top w:val="nil"/>
              <w:left w:val="nil"/>
              <w:bottom w:val="nil"/>
              <w:right w:val="nil"/>
            </w:tcBorders>
            <w:noWrap/>
            <w:vAlign w:val="bottom"/>
            <w:hideMark/>
          </w:tcPr>
          <w:p w14:paraId="2BFEF9C0"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3.761</w:t>
            </w:r>
          </w:p>
        </w:tc>
        <w:tc>
          <w:tcPr>
            <w:tcW w:w="900" w:type="dxa"/>
            <w:tcBorders>
              <w:top w:val="nil"/>
              <w:left w:val="nil"/>
              <w:bottom w:val="nil"/>
              <w:right w:val="nil"/>
            </w:tcBorders>
            <w:noWrap/>
            <w:vAlign w:val="bottom"/>
            <w:hideMark/>
          </w:tcPr>
          <w:p w14:paraId="6FC001B4"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0.001</w:t>
            </w:r>
          </w:p>
        </w:tc>
        <w:tc>
          <w:tcPr>
            <w:tcW w:w="900" w:type="dxa"/>
            <w:tcBorders>
              <w:top w:val="nil"/>
              <w:left w:val="nil"/>
              <w:bottom w:val="nil"/>
              <w:right w:val="nil"/>
            </w:tcBorders>
            <w:noWrap/>
            <w:vAlign w:val="bottom"/>
            <w:hideMark/>
          </w:tcPr>
          <w:p w14:paraId="340E571E"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2.064</w:t>
            </w:r>
          </w:p>
        </w:tc>
        <w:tc>
          <w:tcPr>
            <w:tcW w:w="1080" w:type="dxa"/>
            <w:tcBorders>
              <w:top w:val="nil"/>
              <w:left w:val="nil"/>
              <w:bottom w:val="nil"/>
              <w:right w:val="nil"/>
            </w:tcBorders>
            <w:noWrap/>
            <w:vAlign w:val="bottom"/>
            <w:hideMark/>
          </w:tcPr>
          <w:p w14:paraId="2530F623"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Significant</w:t>
            </w:r>
          </w:p>
        </w:tc>
      </w:tr>
      <w:tr w:rsidR="00CE1CC3" w:rsidRPr="00B17506" w14:paraId="5B15C6C2" w14:textId="77777777" w:rsidTr="000B63E4">
        <w:trPr>
          <w:trHeight w:val="300"/>
        </w:trPr>
        <w:tc>
          <w:tcPr>
            <w:tcW w:w="1350" w:type="dxa"/>
            <w:tcBorders>
              <w:top w:val="nil"/>
              <w:left w:val="nil"/>
              <w:bottom w:val="nil"/>
              <w:right w:val="nil"/>
            </w:tcBorders>
            <w:noWrap/>
            <w:vAlign w:val="bottom"/>
            <w:hideMark/>
          </w:tcPr>
          <w:p w14:paraId="0106B1C6"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2011</w:t>
            </w:r>
          </w:p>
        </w:tc>
        <w:tc>
          <w:tcPr>
            <w:tcW w:w="1170" w:type="dxa"/>
            <w:tcBorders>
              <w:top w:val="nil"/>
              <w:left w:val="nil"/>
              <w:bottom w:val="nil"/>
              <w:right w:val="nil"/>
            </w:tcBorders>
            <w:noWrap/>
            <w:vAlign w:val="bottom"/>
            <w:hideMark/>
          </w:tcPr>
          <w:p w14:paraId="78DEACC7"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20613</w:t>
            </w:r>
          </w:p>
        </w:tc>
        <w:tc>
          <w:tcPr>
            <w:tcW w:w="900" w:type="dxa"/>
            <w:tcBorders>
              <w:top w:val="nil"/>
              <w:left w:val="nil"/>
              <w:bottom w:val="nil"/>
              <w:right w:val="nil"/>
            </w:tcBorders>
            <w:noWrap/>
            <w:vAlign w:val="bottom"/>
            <w:hideMark/>
          </w:tcPr>
          <w:p w14:paraId="119742D0"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1740</w:t>
            </w:r>
          </w:p>
        </w:tc>
        <w:tc>
          <w:tcPr>
            <w:tcW w:w="720" w:type="dxa"/>
            <w:tcBorders>
              <w:top w:val="nil"/>
              <w:left w:val="nil"/>
              <w:bottom w:val="nil"/>
              <w:right w:val="nil"/>
            </w:tcBorders>
            <w:noWrap/>
            <w:vAlign w:val="bottom"/>
            <w:hideMark/>
          </w:tcPr>
          <w:p w14:paraId="72EACF98"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8.4</w:t>
            </w:r>
          </w:p>
        </w:tc>
        <w:tc>
          <w:tcPr>
            <w:tcW w:w="450" w:type="dxa"/>
            <w:tcBorders>
              <w:top w:val="nil"/>
              <w:left w:val="nil"/>
              <w:bottom w:val="nil"/>
              <w:right w:val="nil"/>
            </w:tcBorders>
            <w:noWrap/>
            <w:vAlign w:val="bottom"/>
            <w:hideMark/>
          </w:tcPr>
          <w:p w14:paraId="352AF69A"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3</w:t>
            </w:r>
          </w:p>
        </w:tc>
        <w:tc>
          <w:tcPr>
            <w:tcW w:w="810" w:type="dxa"/>
            <w:tcBorders>
              <w:top w:val="nil"/>
              <w:left w:val="nil"/>
              <w:bottom w:val="nil"/>
              <w:right w:val="nil"/>
            </w:tcBorders>
            <w:noWrap/>
            <w:vAlign w:val="bottom"/>
            <w:hideMark/>
          </w:tcPr>
          <w:p w14:paraId="4C433980"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2.646</w:t>
            </w:r>
          </w:p>
        </w:tc>
        <w:tc>
          <w:tcPr>
            <w:tcW w:w="900" w:type="dxa"/>
            <w:tcBorders>
              <w:top w:val="nil"/>
              <w:left w:val="nil"/>
              <w:bottom w:val="nil"/>
              <w:right w:val="nil"/>
            </w:tcBorders>
            <w:noWrap/>
            <w:vAlign w:val="bottom"/>
            <w:hideMark/>
          </w:tcPr>
          <w:p w14:paraId="4A01CF3F"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0.046</w:t>
            </w:r>
          </w:p>
        </w:tc>
        <w:tc>
          <w:tcPr>
            <w:tcW w:w="900" w:type="dxa"/>
            <w:tcBorders>
              <w:top w:val="nil"/>
              <w:left w:val="nil"/>
              <w:bottom w:val="nil"/>
              <w:right w:val="nil"/>
            </w:tcBorders>
            <w:noWrap/>
            <w:vAlign w:val="bottom"/>
            <w:hideMark/>
          </w:tcPr>
          <w:p w14:paraId="4278855E"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2.571</w:t>
            </w:r>
          </w:p>
        </w:tc>
        <w:tc>
          <w:tcPr>
            <w:tcW w:w="1080" w:type="dxa"/>
            <w:tcBorders>
              <w:top w:val="nil"/>
              <w:left w:val="nil"/>
              <w:bottom w:val="nil"/>
              <w:right w:val="nil"/>
            </w:tcBorders>
            <w:noWrap/>
            <w:vAlign w:val="bottom"/>
            <w:hideMark/>
          </w:tcPr>
          <w:p w14:paraId="24A14D0E"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Significant</w:t>
            </w:r>
          </w:p>
        </w:tc>
      </w:tr>
      <w:tr w:rsidR="00CE1CC3" w:rsidRPr="00B17506" w14:paraId="6576E054" w14:textId="77777777" w:rsidTr="000B63E4">
        <w:trPr>
          <w:trHeight w:val="300"/>
        </w:trPr>
        <w:tc>
          <w:tcPr>
            <w:tcW w:w="1350" w:type="dxa"/>
            <w:tcBorders>
              <w:top w:val="nil"/>
              <w:left w:val="nil"/>
              <w:right w:val="nil"/>
            </w:tcBorders>
            <w:noWrap/>
            <w:vAlign w:val="bottom"/>
            <w:hideMark/>
          </w:tcPr>
          <w:p w14:paraId="6D76F4EA"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2012</w:t>
            </w:r>
          </w:p>
        </w:tc>
        <w:tc>
          <w:tcPr>
            <w:tcW w:w="1170" w:type="dxa"/>
            <w:tcBorders>
              <w:top w:val="nil"/>
              <w:left w:val="nil"/>
              <w:right w:val="nil"/>
            </w:tcBorders>
            <w:noWrap/>
            <w:vAlign w:val="bottom"/>
            <w:hideMark/>
          </w:tcPr>
          <w:p w14:paraId="079E9931"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22196</w:t>
            </w:r>
          </w:p>
        </w:tc>
        <w:tc>
          <w:tcPr>
            <w:tcW w:w="900" w:type="dxa"/>
            <w:tcBorders>
              <w:top w:val="nil"/>
              <w:left w:val="nil"/>
              <w:right w:val="nil"/>
            </w:tcBorders>
            <w:noWrap/>
            <w:vAlign w:val="bottom"/>
            <w:hideMark/>
          </w:tcPr>
          <w:p w14:paraId="6A679ABB"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5311</w:t>
            </w:r>
          </w:p>
        </w:tc>
        <w:tc>
          <w:tcPr>
            <w:tcW w:w="720" w:type="dxa"/>
            <w:tcBorders>
              <w:top w:val="nil"/>
              <w:left w:val="nil"/>
              <w:right w:val="nil"/>
            </w:tcBorders>
            <w:noWrap/>
            <w:vAlign w:val="bottom"/>
            <w:hideMark/>
          </w:tcPr>
          <w:p w14:paraId="23A7DF09"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23.9</w:t>
            </w:r>
          </w:p>
        </w:tc>
        <w:tc>
          <w:tcPr>
            <w:tcW w:w="450" w:type="dxa"/>
            <w:tcBorders>
              <w:top w:val="nil"/>
              <w:left w:val="nil"/>
              <w:right w:val="nil"/>
            </w:tcBorders>
            <w:noWrap/>
            <w:vAlign w:val="bottom"/>
            <w:hideMark/>
          </w:tcPr>
          <w:p w14:paraId="7A2433B5"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3</w:t>
            </w:r>
          </w:p>
        </w:tc>
        <w:tc>
          <w:tcPr>
            <w:tcW w:w="810" w:type="dxa"/>
            <w:tcBorders>
              <w:top w:val="nil"/>
              <w:left w:val="nil"/>
              <w:right w:val="nil"/>
            </w:tcBorders>
            <w:noWrap/>
            <w:vAlign w:val="bottom"/>
            <w:hideMark/>
          </w:tcPr>
          <w:p w14:paraId="59E0A5FB"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0.561</w:t>
            </w:r>
          </w:p>
        </w:tc>
        <w:tc>
          <w:tcPr>
            <w:tcW w:w="900" w:type="dxa"/>
            <w:tcBorders>
              <w:top w:val="nil"/>
              <w:left w:val="nil"/>
              <w:right w:val="nil"/>
            </w:tcBorders>
            <w:noWrap/>
            <w:vAlign w:val="bottom"/>
            <w:hideMark/>
          </w:tcPr>
          <w:p w14:paraId="1A4C7882"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0.631</w:t>
            </w:r>
          </w:p>
        </w:tc>
        <w:tc>
          <w:tcPr>
            <w:tcW w:w="900" w:type="dxa"/>
            <w:tcBorders>
              <w:top w:val="nil"/>
              <w:left w:val="nil"/>
              <w:right w:val="nil"/>
            </w:tcBorders>
            <w:noWrap/>
            <w:vAlign w:val="bottom"/>
            <w:hideMark/>
          </w:tcPr>
          <w:p w14:paraId="02B7E367"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4.303</w:t>
            </w:r>
          </w:p>
        </w:tc>
        <w:tc>
          <w:tcPr>
            <w:tcW w:w="1080" w:type="dxa"/>
            <w:tcBorders>
              <w:top w:val="nil"/>
              <w:left w:val="nil"/>
              <w:right w:val="nil"/>
            </w:tcBorders>
            <w:noWrap/>
            <w:vAlign w:val="bottom"/>
            <w:hideMark/>
          </w:tcPr>
          <w:p w14:paraId="639BA787"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Not Significant</w:t>
            </w:r>
          </w:p>
        </w:tc>
      </w:tr>
      <w:tr w:rsidR="00CE1CC3" w:rsidRPr="00B17506" w14:paraId="7D1B4624" w14:textId="77777777" w:rsidTr="000B63E4">
        <w:trPr>
          <w:trHeight w:val="300"/>
        </w:trPr>
        <w:tc>
          <w:tcPr>
            <w:tcW w:w="1350" w:type="dxa"/>
            <w:tcBorders>
              <w:top w:val="nil"/>
              <w:left w:val="nil"/>
              <w:bottom w:val="single" w:sz="4" w:space="0" w:color="auto"/>
              <w:right w:val="nil"/>
            </w:tcBorders>
            <w:noWrap/>
            <w:vAlign w:val="bottom"/>
            <w:hideMark/>
          </w:tcPr>
          <w:p w14:paraId="1C88D1C8"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2013</w:t>
            </w:r>
          </w:p>
        </w:tc>
        <w:tc>
          <w:tcPr>
            <w:tcW w:w="1170" w:type="dxa"/>
            <w:tcBorders>
              <w:top w:val="nil"/>
              <w:left w:val="nil"/>
              <w:bottom w:val="single" w:sz="4" w:space="0" w:color="auto"/>
              <w:right w:val="nil"/>
            </w:tcBorders>
            <w:noWrap/>
            <w:vAlign w:val="bottom"/>
            <w:hideMark/>
          </w:tcPr>
          <w:p w14:paraId="47E4A246"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17583</w:t>
            </w:r>
          </w:p>
        </w:tc>
        <w:tc>
          <w:tcPr>
            <w:tcW w:w="900" w:type="dxa"/>
            <w:tcBorders>
              <w:top w:val="nil"/>
              <w:left w:val="nil"/>
              <w:bottom w:val="single" w:sz="4" w:space="0" w:color="auto"/>
              <w:right w:val="nil"/>
            </w:tcBorders>
            <w:noWrap/>
            <w:vAlign w:val="bottom"/>
            <w:hideMark/>
          </w:tcPr>
          <w:p w14:paraId="29322F3F"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3099</w:t>
            </w:r>
          </w:p>
        </w:tc>
        <w:tc>
          <w:tcPr>
            <w:tcW w:w="720" w:type="dxa"/>
            <w:tcBorders>
              <w:top w:val="nil"/>
              <w:left w:val="nil"/>
              <w:bottom w:val="single" w:sz="4" w:space="0" w:color="auto"/>
              <w:right w:val="nil"/>
            </w:tcBorders>
            <w:noWrap/>
            <w:vAlign w:val="bottom"/>
            <w:hideMark/>
          </w:tcPr>
          <w:p w14:paraId="054B593C"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17.6</w:t>
            </w:r>
          </w:p>
        </w:tc>
        <w:tc>
          <w:tcPr>
            <w:tcW w:w="450" w:type="dxa"/>
            <w:tcBorders>
              <w:top w:val="nil"/>
              <w:left w:val="nil"/>
              <w:bottom w:val="single" w:sz="4" w:space="0" w:color="auto"/>
              <w:right w:val="nil"/>
            </w:tcBorders>
            <w:noWrap/>
            <w:vAlign w:val="bottom"/>
            <w:hideMark/>
          </w:tcPr>
          <w:p w14:paraId="36AB0201"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3</w:t>
            </w:r>
          </w:p>
        </w:tc>
        <w:tc>
          <w:tcPr>
            <w:tcW w:w="810" w:type="dxa"/>
            <w:tcBorders>
              <w:top w:val="nil"/>
              <w:left w:val="nil"/>
              <w:bottom w:val="single" w:sz="4" w:space="0" w:color="auto"/>
              <w:right w:val="nil"/>
            </w:tcBorders>
            <w:noWrap/>
            <w:vAlign w:val="bottom"/>
            <w:hideMark/>
          </w:tcPr>
          <w:p w14:paraId="5978A479"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3.276</w:t>
            </w:r>
          </w:p>
        </w:tc>
        <w:tc>
          <w:tcPr>
            <w:tcW w:w="900" w:type="dxa"/>
            <w:tcBorders>
              <w:top w:val="nil"/>
              <w:left w:val="nil"/>
              <w:bottom w:val="single" w:sz="4" w:space="0" w:color="auto"/>
              <w:right w:val="nil"/>
            </w:tcBorders>
            <w:noWrap/>
            <w:vAlign w:val="bottom"/>
            <w:hideMark/>
          </w:tcPr>
          <w:p w14:paraId="044A9412"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0.047</w:t>
            </w:r>
          </w:p>
        </w:tc>
        <w:tc>
          <w:tcPr>
            <w:tcW w:w="900" w:type="dxa"/>
            <w:tcBorders>
              <w:top w:val="nil"/>
              <w:left w:val="nil"/>
              <w:bottom w:val="single" w:sz="4" w:space="0" w:color="auto"/>
              <w:right w:val="nil"/>
            </w:tcBorders>
            <w:noWrap/>
            <w:vAlign w:val="bottom"/>
            <w:hideMark/>
          </w:tcPr>
          <w:p w14:paraId="3C1F2F69"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3.182</w:t>
            </w:r>
          </w:p>
        </w:tc>
        <w:tc>
          <w:tcPr>
            <w:tcW w:w="1080" w:type="dxa"/>
            <w:tcBorders>
              <w:top w:val="nil"/>
              <w:left w:val="nil"/>
              <w:bottom w:val="single" w:sz="4" w:space="0" w:color="auto"/>
              <w:right w:val="nil"/>
            </w:tcBorders>
            <w:noWrap/>
            <w:vAlign w:val="bottom"/>
            <w:hideMark/>
          </w:tcPr>
          <w:p w14:paraId="136AA3D1" w14:textId="77777777" w:rsidR="00CE1CC3" w:rsidRPr="00B17506" w:rsidRDefault="00CE1CC3" w:rsidP="000B63E4">
            <w:pPr>
              <w:spacing w:after="0" w:line="360" w:lineRule="auto"/>
              <w:jc w:val="center"/>
              <w:rPr>
                <w:rFonts w:cs="Calibri"/>
                <w:color w:val="000000"/>
                <w:sz w:val="18"/>
                <w:szCs w:val="20"/>
              </w:rPr>
            </w:pPr>
            <w:r w:rsidRPr="00B17506">
              <w:rPr>
                <w:rFonts w:cs="Calibri"/>
                <w:color w:val="000000"/>
                <w:sz w:val="18"/>
                <w:szCs w:val="20"/>
              </w:rPr>
              <w:t>Significant</w:t>
            </w:r>
          </w:p>
        </w:tc>
      </w:tr>
    </w:tbl>
    <w:p w14:paraId="1A5EBC48" w14:textId="77777777" w:rsidR="00CE1CC3" w:rsidRDefault="00CE1CC3" w:rsidP="00CE1CC3">
      <w:pPr>
        <w:spacing w:line="480" w:lineRule="auto"/>
        <w:jc w:val="both"/>
      </w:pPr>
    </w:p>
    <w:p w14:paraId="3F69CA88" w14:textId="77777777" w:rsidR="00CE1CC3" w:rsidRDefault="00CE1CC3" w:rsidP="00CE1CC3">
      <w:pPr>
        <w:spacing w:line="480" w:lineRule="auto"/>
        <w:jc w:val="both"/>
      </w:pPr>
      <w:r>
        <w:lastRenderedPageBreak/>
        <w:t>The difference between the flow rates for the 3-year average (2011-2013; 20,131 L/</w:t>
      </w:r>
      <w:proofErr w:type="spellStart"/>
      <w:r>
        <w:t>hr</w:t>
      </w:r>
      <w:proofErr w:type="spellEnd"/>
      <w:r>
        <w:t>), 2010 (27,789 L/</w:t>
      </w:r>
      <w:proofErr w:type="spellStart"/>
      <w:r>
        <w:t>hr</w:t>
      </w:r>
      <w:proofErr w:type="spellEnd"/>
      <w:r>
        <w:t>), 2011 (20,613 L/</w:t>
      </w:r>
      <w:proofErr w:type="spellStart"/>
      <w:r>
        <w:t>hr</w:t>
      </w:r>
      <w:proofErr w:type="spellEnd"/>
      <w:r>
        <w:t>), 2013 (17,583 L/</w:t>
      </w:r>
      <w:proofErr w:type="spellStart"/>
      <w:r>
        <w:t>hr</w:t>
      </w:r>
      <w:proofErr w:type="spellEnd"/>
      <w:r>
        <w:t>), were statistically significant in comparison to the 5-year average (23,970 L/</w:t>
      </w:r>
      <w:proofErr w:type="spellStart"/>
      <w:r>
        <w:t>hr</w:t>
      </w:r>
      <w:proofErr w:type="spellEnd"/>
      <w:r>
        <w:t xml:space="preserve">). The statistical significance was present at all three levels of consideration (multiyear average, individual years, and seasonal) with differences for the three-year average, 2011, and 2013 having flows less than the 5-year average. The spring seasonal flow and 2010 both had average flows exceeding the 5-year average by nearly 4,000 L/hour. The average spring flow rate exceeding the 5-year average flow rate is consistent with the average number of extreme intensity storms observed in the spring yielding the largest contribution to precipitation (average of 8 extreme storms; extreme storms contributing to 61% of the total precipitation).  Due to the variability in flow rates, the seasonal flow rate was applied to storm transport profiles collected within the applied seasonal range for the calculation of mass transport between cells and out of the passive treatment system rather than using the 5-year average.).  This mitigates error associated with over/under estimation of total iron mass transport for both the measured profiles of iron transport already collected and the predictions of total iron transport based on rainfall intensities for storms that were not sampled. </w:t>
      </w:r>
    </w:p>
    <w:p w14:paraId="588B9BF8" w14:textId="7CEA3914" w:rsidR="00CE1CC3" w:rsidRDefault="00CE1CC3" w:rsidP="00CE1CC3">
      <w:pPr>
        <w:spacing w:line="480" w:lineRule="auto"/>
        <w:jc w:val="both"/>
      </w:pPr>
      <w:r>
        <w:t>The system effluent flowrate was used to approximate the influent and effluent flows for Cell 6 during storm-event driven iron transport studies. Statistical analysis of the system effluent flow rates (Table 4.2) indicates that the 5-year average system influent flow (Table 3.7 23,970 L/</w:t>
      </w:r>
      <w:proofErr w:type="spellStart"/>
      <w:r>
        <w:t>hr</w:t>
      </w:r>
      <w:proofErr w:type="spellEnd"/>
      <w:r>
        <w:t>) and 5-year average system effluent flow (Table 3</w:t>
      </w:r>
      <w:r w:rsidR="00FB5916">
        <w:t>.3</w:t>
      </w:r>
      <w:r>
        <w:t>; 24,280 L/</w:t>
      </w:r>
      <w:proofErr w:type="spellStart"/>
      <w:r>
        <w:t>hr</w:t>
      </w:r>
      <w:proofErr w:type="spellEnd"/>
      <w:r>
        <w:t>) are consistent with each other. The 310 L/</w:t>
      </w:r>
      <w:proofErr w:type="spellStart"/>
      <w:r>
        <w:t>hr</w:t>
      </w:r>
      <w:proofErr w:type="spellEnd"/>
      <w:r>
        <w:t xml:space="preserve"> difference (1.3%) is within the standard deviation of range of both data sets (</w:t>
      </w:r>
      <w:r>
        <w:rPr>
          <w:rFonts w:cs="Calibri"/>
        </w:rPr>
        <w:t>σ</w:t>
      </w:r>
      <w:r>
        <w:t xml:space="preserve"> = 4095 L/</w:t>
      </w:r>
      <w:proofErr w:type="spellStart"/>
      <w:r>
        <w:t>hr</w:t>
      </w:r>
      <w:proofErr w:type="spellEnd"/>
      <w:r>
        <w:t xml:space="preserve"> influent; </w:t>
      </w:r>
      <w:r>
        <w:rPr>
          <w:rFonts w:cs="Calibri"/>
        </w:rPr>
        <w:t>σ</w:t>
      </w:r>
      <w:r>
        <w:t xml:space="preserve"> = 5835 L/</w:t>
      </w:r>
      <w:proofErr w:type="spellStart"/>
      <w:r>
        <w:t>hr</w:t>
      </w:r>
      <w:proofErr w:type="spellEnd"/>
      <w:r>
        <w:t xml:space="preserve"> effluent).</w:t>
      </w:r>
    </w:p>
    <w:p w14:paraId="4D0DF62E" w14:textId="77777777" w:rsidR="00FB5916" w:rsidRDefault="00FB5916" w:rsidP="00CE1CC3">
      <w:pPr>
        <w:spacing w:line="480" w:lineRule="auto"/>
        <w:jc w:val="both"/>
      </w:pPr>
    </w:p>
    <w:p w14:paraId="7EEB6DC1" w14:textId="75C42D0B" w:rsidR="00CE1CC3" w:rsidRPr="00C32638" w:rsidRDefault="00CE1CC3" w:rsidP="00CE1CC3">
      <w:pPr>
        <w:spacing w:line="240" w:lineRule="auto"/>
        <w:jc w:val="both"/>
        <w:rPr>
          <w:sz w:val="20"/>
          <w:szCs w:val="20"/>
        </w:rPr>
      </w:pPr>
      <w:r w:rsidRPr="00C32638">
        <w:rPr>
          <w:sz w:val="20"/>
          <w:szCs w:val="20"/>
        </w:rPr>
        <w:lastRenderedPageBreak/>
        <w:t>Table 3.</w:t>
      </w:r>
      <w:r w:rsidR="00FB5916">
        <w:rPr>
          <w:sz w:val="20"/>
          <w:szCs w:val="20"/>
        </w:rPr>
        <w:t>3</w:t>
      </w:r>
      <w:r w:rsidRPr="00C32638">
        <w:rPr>
          <w:sz w:val="20"/>
          <w:szCs w:val="20"/>
        </w:rPr>
        <w:t xml:space="preserve">: Statistical Analysis of the MRPTS Effluent Flow Rate Applied to Cell 6 Mass Transport </w:t>
      </w:r>
    </w:p>
    <w:tbl>
      <w:tblPr>
        <w:tblW w:w="8280" w:type="dxa"/>
        <w:tblLayout w:type="fixed"/>
        <w:tblLook w:val="04A0" w:firstRow="1" w:lastRow="0" w:firstColumn="1" w:lastColumn="0" w:noHBand="0" w:noVBand="1"/>
      </w:tblPr>
      <w:tblGrid>
        <w:gridCol w:w="1350"/>
        <w:gridCol w:w="1170"/>
        <w:gridCol w:w="900"/>
        <w:gridCol w:w="720"/>
        <w:gridCol w:w="450"/>
        <w:gridCol w:w="720"/>
        <w:gridCol w:w="900"/>
        <w:gridCol w:w="900"/>
        <w:gridCol w:w="1170"/>
      </w:tblGrid>
      <w:tr w:rsidR="00CE1CC3" w:rsidRPr="00C32638" w14:paraId="3A4F2350" w14:textId="77777777" w:rsidTr="000B63E4">
        <w:trPr>
          <w:trHeight w:val="485"/>
        </w:trPr>
        <w:tc>
          <w:tcPr>
            <w:tcW w:w="1350" w:type="dxa"/>
            <w:tcBorders>
              <w:top w:val="single" w:sz="4" w:space="0" w:color="auto"/>
              <w:left w:val="nil"/>
              <w:bottom w:val="double" w:sz="6" w:space="0" w:color="auto"/>
              <w:right w:val="nil"/>
            </w:tcBorders>
            <w:vAlign w:val="bottom"/>
            <w:hideMark/>
          </w:tcPr>
          <w:p w14:paraId="28DE7E33" w14:textId="77777777" w:rsidR="00CE1CC3" w:rsidRPr="00C32638" w:rsidRDefault="00CE1CC3" w:rsidP="000B63E4">
            <w:pPr>
              <w:spacing w:after="0" w:line="240" w:lineRule="auto"/>
              <w:jc w:val="center"/>
              <w:rPr>
                <w:rFonts w:cs="Calibri"/>
                <w:color w:val="000000"/>
                <w:sz w:val="20"/>
                <w:szCs w:val="20"/>
              </w:rPr>
            </w:pPr>
          </w:p>
        </w:tc>
        <w:tc>
          <w:tcPr>
            <w:tcW w:w="1170" w:type="dxa"/>
            <w:tcBorders>
              <w:top w:val="single" w:sz="4" w:space="0" w:color="auto"/>
              <w:left w:val="nil"/>
              <w:bottom w:val="double" w:sz="6" w:space="0" w:color="auto"/>
              <w:right w:val="nil"/>
            </w:tcBorders>
            <w:vAlign w:val="bottom"/>
            <w:hideMark/>
          </w:tcPr>
          <w:p w14:paraId="7A9C3261"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Mean Flow Rate (L/</w:t>
            </w:r>
            <w:proofErr w:type="spellStart"/>
            <w:r w:rsidRPr="00C32638">
              <w:rPr>
                <w:rFonts w:cs="Calibri"/>
                <w:color w:val="000000"/>
                <w:sz w:val="20"/>
                <w:szCs w:val="20"/>
              </w:rPr>
              <w:t>hr</w:t>
            </w:r>
            <w:proofErr w:type="spellEnd"/>
            <w:r w:rsidRPr="00C32638">
              <w:rPr>
                <w:rFonts w:cs="Calibri"/>
                <w:color w:val="000000"/>
                <w:sz w:val="20"/>
                <w:szCs w:val="20"/>
              </w:rPr>
              <w:t>)</w:t>
            </w:r>
          </w:p>
        </w:tc>
        <w:tc>
          <w:tcPr>
            <w:tcW w:w="900" w:type="dxa"/>
            <w:tcBorders>
              <w:top w:val="single" w:sz="4" w:space="0" w:color="auto"/>
              <w:left w:val="nil"/>
              <w:bottom w:val="double" w:sz="6" w:space="0" w:color="auto"/>
              <w:right w:val="nil"/>
            </w:tcBorders>
            <w:vAlign w:val="bottom"/>
            <w:hideMark/>
          </w:tcPr>
          <w:p w14:paraId="5545BADC"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STDEV</w:t>
            </w:r>
            <w:r w:rsidRPr="00C32638">
              <w:rPr>
                <w:rFonts w:cs="Calibri"/>
                <w:color w:val="000000"/>
                <w:sz w:val="20"/>
                <w:szCs w:val="20"/>
              </w:rPr>
              <w:br/>
              <w:t>(L/</w:t>
            </w:r>
            <w:proofErr w:type="spellStart"/>
            <w:r w:rsidRPr="00C32638">
              <w:rPr>
                <w:rFonts w:cs="Calibri"/>
                <w:color w:val="000000"/>
                <w:sz w:val="20"/>
                <w:szCs w:val="20"/>
              </w:rPr>
              <w:t>hr</w:t>
            </w:r>
            <w:proofErr w:type="spellEnd"/>
            <w:r w:rsidRPr="00C32638">
              <w:rPr>
                <w:rFonts w:cs="Calibri"/>
                <w:color w:val="000000"/>
                <w:sz w:val="20"/>
                <w:szCs w:val="20"/>
              </w:rPr>
              <w:t>)</w:t>
            </w:r>
          </w:p>
        </w:tc>
        <w:tc>
          <w:tcPr>
            <w:tcW w:w="720" w:type="dxa"/>
            <w:tcBorders>
              <w:top w:val="single" w:sz="4" w:space="0" w:color="auto"/>
              <w:left w:val="nil"/>
              <w:bottom w:val="double" w:sz="6" w:space="0" w:color="auto"/>
              <w:right w:val="nil"/>
            </w:tcBorders>
            <w:vAlign w:val="bottom"/>
            <w:hideMark/>
          </w:tcPr>
          <w:p w14:paraId="6F1E5B11"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%RSD</w:t>
            </w:r>
          </w:p>
        </w:tc>
        <w:tc>
          <w:tcPr>
            <w:tcW w:w="450" w:type="dxa"/>
            <w:tcBorders>
              <w:top w:val="single" w:sz="4" w:space="0" w:color="auto"/>
              <w:left w:val="nil"/>
              <w:bottom w:val="double" w:sz="6" w:space="0" w:color="auto"/>
              <w:right w:val="nil"/>
            </w:tcBorders>
            <w:vAlign w:val="bottom"/>
            <w:hideMark/>
          </w:tcPr>
          <w:p w14:paraId="7A989083"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n</w:t>
            </w:r>
          </w:p>
        </w:tc>
        <w:tc>
          <w:tcPr>
            <w:tcW w:w="720" w:type="dxa"/>
            <w:tcBorders>
              <w:top w:val="single" w:sz="4" w:space="0" w:color="auto"/>
              <w:left w:val="nil"/>
              <w:bottom w:val="double" w:sz="6" w:space="0" w:color="auto"/>
              <w:right w:val="nil"/>
            </w:tcBorders>
            <w:vAlign w:val="bottom"/>
            <w:hideMark/>
          </w:tcPr>
          <w:p w14:paraId="49ECDCD0"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t value</w:t>
            </w:r>
          </w:p>
        </w:tc>
        <w:tc>
          <w:tcPr>
            <w:tcW w:w="900" w:type="dxa"/>
            <w:tcBorders>
              <w:top w:val="single" w:sz="4" w:space="0" w:color="auto"/>
              <w:left w:val="nil"/>
              <w:bottom w:val="double" w:sz="6" w:space="0" w:color="auto"/>
              <w:right w:val="nil"/>
            </w:tcBorders>
            <w:noWrap/>
            <w:vAlign w:val="bottom"/>
            <w:hideMark/>
          </w:tcPr>
          <w:p w14:paraId="1EDFEEB5"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P(T&lt;=t) two-tail</w:t>
            </w:r>
          </w:p>
        </w:tc>
        <w:tc>
          <w:tcPr>
            <w:tcW w:w="900" w:type="dxa"/>
            <w:tcBorders>
              <w:top w:val="single" w:sz="4" w:space="0" w:color="auto"/>
              <w:left w:val="nil"/>
              <w:bottom w:val="double" w:sz="6" w:space="0" w:color="auto"/>
              <w:right w:val="nil"/>
            </w:tcBorders>
            <w:noWrap/>
            <w:vAlign w:val="bottom"/>
            <w:hideMark/>
          </w:tcPr>
          <w:p w14:paraId="0FD552C0"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t Critical two-tail</w:t>
            </w:r>
          </w:p>
        </w:tc>
        <w:tc>
          <w:tcPr>
            <w:tcW w:w="1170" w:type="dxa"/>
            <w:tcBorders>
              <w:top w:val="single" w:sz="4" w:space="0" w:color="auto"/>
              <w:left w:val="nil"/>
              <w:bottom w:val="double" w:sz="6" w:space="0" w:color="auto"/>
              <w:right w:val="nil"/>
            </w:tcBorders>
            <w:vAlign w:val="bottom"/>
            <w:hideMark/>
          </w:tcPr>
          <w:p w14:paraId="05D43DAF"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Based on 5 Year Mean</w:t>
            </w:r>
          </w:p>
        </w:tc>
      </w:tr>
      <w:tr w:rsidR="00CE1CC3" w:rsidRPr="00C32638" w14:paraId="2DDBCB58" w14:textId="77777777" w:rsidTr="000B63E4">
        <w:trPr>
          <w:trHeight w:val="330"/>
        </w:trPr>
        <w:tc>
          <w:tcPr>
            <w:tcW w:w="1350" w:type="dxa"/>
            <w:tcBorders>
              <w:top w:val="nil"/>
              <w:left w:val="nil"/>
              <w:bottom w:val="nil"/>
              <w:right w:val="nil"/>
            </w:tcBorders>
            <w:noWrap/>
            <w:vAlign w:val="bottom"/>
            <w:hideMark/>
          </w:tcPr>
          <w:p w14:paraId="090A8B82" w14:textId="77777777" w:rsidR="00CE1CC3" w:rsidRPr="00C32638" w:rsidRDefault="00CE1CC3" w:rsidP="000B63E4">
            <w:pPr>
              <w:spacing w:after="0" w:line="240" w:lineRule="auto"/>
              <w:jc w:val="center"/>
              <w:rPr>
                <w:rFonts w:cs="Calibri"/>
                <w:sz w:val="20"/>
                <w:szCs w:val="20"/>
              </w:rPr>
            </w:pPr>
            <w:r w:rsidRPr="00C32638">
              <w:rPr>
                <w:rFonts w:cs="Calibri"/>
                <w:sz w:val="20"/>
                <w:szCs w:val="20"/>
              </w:rPr>
              <w:t>5 Year</w:t>
            </w:r>
            <w:r w:rsidRPr="00C32638">
              <w:rPr>
                <w:rFonts w:cs="Calibri"/>
                <w:sz w:val="20"/>
                <w:szCs w:val="20"/>
              </w:rPr>
              <w:br/>
              <w:t xml:space="preserve">  (2009-2013)</w:t>
            </w:r>
          </w:p>
        </w:tc>
        <w:tc>
          <w:tcPr>
            <w:tcW w:w="1170" w:type="dxa"/>
            <w:tcBorders>
              <w:top w:val="nil"/>
              <w:left w:val="nil"/>
              <w:bottom w:val="nil"/>
              <w:right w:val="nil"/>
            </w:tcBorders>
            <w:noWrap/>
            <w:vAlign w:val="bottom"/>
            <w:hideMark/>
          </w:tcPr>
          <w:p w14:paraId="7496ACBA" w14:textId="77777777" w:rsidR="00CE1CC3" w:rsidRPr="00C32638" w:rsidRDefault="00CE1CC3" w:rsidP="000B63E4">
            <w:pPr>
              <w:spacing w:after="0" w:line="240" w:lineRule="auto"/>
              <w:jc w:val="center"/>
              <w:rPr>
                <w:rFonts w:cs="Calibri"/>
                <w:sz w:val="20"/>
                <w:szCs w:val="20"/>
              </w:rPr>
            </w:pPr>
            <w:r w:rsidRPr="00C32638">
              <w:rPr>
                <w:rFonts w:cs="Calibri"/>
                <w:sz w:val="20"/>
                <w:szCs w:val="20"/>
              </w:rPr>
              <w:t>24280</w:t>
            </w:r>
          </w:p>
        </w:tc>
        <w:tc>
          <w:tcPr>
            <w:tcW w:w="900" w:type="dxa"/>
            <w:tcBorders>
              <w:top w:val="nil"/>
              <w:left w:val="nil"/>
              <w:bottom w:val="nil"/>
              <w:right w:val="nil"/>
            </w:tcBorders>
            <w:noWrap/>
            <w:vAlign w:val="bottom"/>
            <w:hideMark/>
          </w:tcPr>
          <w:p w14:paraId="536D45BE" w14:textId="77777777" w:rsidR="00CE1CC3" w:rsidRPr="00C32638" w:rsidRDefault="00CE1CC3" w:rsidP="000B63E4">
            <w:pPr>
              <w:spacing w:after="0" w:line="240" w:lineRule="auto"/>
              <w:jc w:val="center"/>
              <w:rPr>
                <w:rFonts w:cs="Calibri"/>
                <w:sz w:val="20"/>
                <w:szCs w:val="20"/>
              </w:rPr>
            </w:pPr>
            <w:r w:rsidRPr="00C32638">
              <w:rPr>
                <w:rFonts w:cs="Calibri"/>
                <w:sz w:val="20"/>
                <w:szCs w:val="20"/>
              </w:rPr>
              <w:t>5835</w:t>
            </w:r>
          </w:p>
        </w:tc>
        <w:tc>
          <w:tcPr>
            <w:tcW w:w="720" w:type="dxa"/>
            <w:tcBorders>
              <w:top w:val="nil"/>
              <w:left w:val="nil"/>
              <w:bottom w:val="nil"/>
              <w:right w:val="nil"/>
            </w:tcBorders>
            <w:noWrap/>
            <w:vAlign w:val="bottom"/>
            <w:hideMark/>
          </w:tcPr>
          <w:p w14:paraId="221972B3" w14:textId="77777777" w:rsidR="00CE1CC3" w:rsidRPr="00C32638" w:rsidRDefault="00CE1CC3" w:rsidP="000B63E4">
            <w:pPr>
              <w:spacing w:after="0" w:line="240" w:lineRule="auto"/>
              <w:jc w:val="center"/>
              <w:rPr>
                <w:rFonts w:cs="Calibri"/>
                <w:sz w:val="20"/>
                <w:szCs w:val="20"/>
              </w:rPr>
            </w:pPr>
            <w:r w:rsidRPr="00C32638">
              <w:rPr>
                <w:rFonts w:cs="Calibri"/>
                <w:sz w:val="20"/>
                <w:szCs w:val="20"/>
              </w:rPr>
              <w:t>24.0</w:t>
            </w:r>
          </w:p>
        </w:tc>
        <w:tc>
          <w:tcPr>
            <w:tcW w:w="450" w:type="dxa"/>
            <w:tcBorders>
              <w:top w:val="nil"/>
              <w:left w:val="nil"/>
              <w:bottom w:val="nil"/>
              <w:right w:val="nil"/>
            </w:tcBorders>
            <w:noWrap/>
            <w:vAlign w:val="bottom"/>
            <w:hideMark/>
          </w:tcPr>
          <w:p w14:paraId="45520D5A" w14:textId="77777777" w:rsidR="00CE1CC3" w:rsidRPr="00C32638" w:rsidRDefault="00CE1CC3" w:rsidP="000B63E4">
            <w:pPr>
              <w:spacing w:after="0" w:line="240" w:lineRule="auto"/>
              <w:jc w:val="center"/>
              <w:rPr>
                <w:rFonts w:cs="Calibri"/>
                <w:sz w:val="20"/>
                <w:szCs w:val="20"/>
              </w:rPr>
            </w:pPr>
            <w:r w:rsidRPr="00C32638">
              <w:rPr>
                <w:rFonts w:cs="Calibri"/>
                <w:sz w:val="20"/>
                <w:szCs w:val="20"/>
              </w:rPr>
              <w:t>27</w:t>
            </w:r>
          </w:p>
        </w:tc>
        <w:tc>
          <w:tcPr>
            <w:tcW w:w="720" w:type="dxa"/>
            <w:tcBorders>
              <w:top w:val="nil"/>
              <w:left w:val="nil"/>
              <w:bottom w:val="nil"/>
              <w:right w:val="nil"/>
            </w:tcBorders>
            <w:noWrap/>
            <w:vAlign w:val="bottom"/>
            <w:hideMark/>
          </w:tcPr>
          <w:p w14:paraId="77D704BE" w14:textId="77777777" w:rsidR="00CE1CC3" w:rsidRPr="00C32638" w:rsidRDefault="00CE1CC3" w:rsidP="000B63E4">
            <w:pPr>
              <w:spacing w:after="0" w:line="240" w:lineRule="auto"/>
              <w:jc w:val="center"/>
              <w:rPr>
                <w:rFonts w:cs="Calibri"/>
                <w:b/>
                <w:bCs/>
                <w:sz w:val="20"/>
                <w:szCs w:val="20"/>
              </w:rPr>
            </w:pPr>
            <w:r w:rsidRPr="00C32638">
              <w:rPr>
                <w:rFonts w:cs="Calibri"/>
                <w:b/>
                <w:bCs/>
                <w:sz w:val="20"/>
                <w:szCs w:val="20"/>
              </w:rPr>
              <w:t>--</w:t>
            </w:r>
          </w:p>
        </w:tc>
        <w:tc>
          <w:tcPr>
            <w:tcW w:w="900" w:type="dxa"/>
            <w:tcBorders>
              <w:top w:val="nil"/>
              <w:left w:val="nil"/>
              <w:bottom w:val="nil"/>
              <w:right w:val="nil"/>
            </w:tcBorders>
            <w:noWrap/>
            <w:vAlign w:val="bottom"/>
            <w:hideMark/>
          </w:tcPr>
          <w:p w14:paraId="0EDDDF11" w14:textId="77777777" w:rsidR="00CE1CC3" w:rsidRPr="00C32638" w:rsidRDefault="00CE1CC3" w:rsidP="000B63E4">
            <w:pPr>
              <w:spacing w:after="0" w:line="240" w:lineRule="auto"/>
              <w:jc w:val="center"/>
              <w:rPr>
                <w:rFonts w:cs="Calibri"/>
                <w:b/>
                <w:bCs/>
                <w:sz w:val="20"/>
                <w:szCs w:val="20"/>
              </w:rPr>
            </w:pPr>
            <w:r w:rsidRPr="00C32638">
              <w:rPr>
                <w:rFonts w:cs="Calibri"/>
                <w:b/>
                <w:bCs/>
                <w:sz w:val="20"/>
                <w:szCs w:val="20"/>
              </w:rPr>
              <w:t>--</w:t>
            </w:r>
          </w:p>
        </w:tc>
        <w:tc>
          <w:tcPr>
            <w:tcW w:w="900" w:type="dxa"/>
            <w:tcBorders>
              <w:top w:val="nil"/>
              <w:left w:val="nil"/>
              <w:bottom w:val="nil"/>
              <w:right w:val="nil"/>
            </w:tcBorders>
            <w:noWrap/>
            <w:vAlign w:val="bottom"/>
            <w:hideMark/>
          </w:tcPr>
          <w:p w14:paraId="70C35455" w14:textId="77777777" w:rsidR="00CE1CC3" w:rsidRPr="00C32638" w:rsidRDefault="00CE1CC3" w:rsidP="000B63E4">
            <w:pPr>
              <w:spacing w:after="0" w:line="240" w:lineRule="auto"/>
              <w:ind w:left="-14"/>
              <w:jc w:val="center"/>
              <w:rPr>
                <w:rFonts w:cs="Calibri"/>
                <w:b/>
                <w:bCs/>
                <w:sz w:val="20"/>
                <w:szCs w:val="20"/>
              </w:rPr>
            </w:pPr>
            <w:r w:rsidRPr="00C32638">
              <w:rPr>
                <w:rFonts w:cs="Calibri"/>
                <w:b/>
                <w:bCs/>
                <w:sz w:val="20"/>
                <w:szCs w:val="20"/>
              </w:rPr>
              <w:t>--</w:t>
            </w:r>
          </w:p>
        </w:tc>
        <w:tc>
          <w:tcPr>
            <w:tcW w:w="1170" w:type="dxa"/>
            <w:tcBorders>
              <w:top w:val="nil"/>
              <w:left w:val="nil"/>
              <w:bottom w:val="nil"/>
              <w:right w:val="nil"/>
            </w:tcBorders>
            <w:noWrap/>
            <w:vAlign w:val="bottom"/>
            <w:hideMark/>
          </w:tcPr>
          <w:p w14:paraId="108733D2" w14:textId="77777777" w:rsidR="00CE1CC3" w:rsidRPr="00C32638" w:rsidRDefault="00CE1CC3" w:rsidP="000B63E4">
            <w:pPr>
              <w:spacing w:after="0" w:line="240" w:lineRule="auto"/>
              <w:jc w:val="center"/>
              <w:rPr>
                <w:rFonts w:cs="Calibri"/>
                <w:b/>
                <w:bCs/>
                <w:sz w:val="20"/>
                <w:szCs w:val="20"/>
              </w:rPr>
            </w:pPr>
            <w:r w:rsidRPr="00C32638">
              <w:rPr>
                <w:rFonts w:cs="Calibri"/>
                <w:b/>
                <w:bCs/>
                <w:sz w:val="20"/>
                <w:szCs w:val="20"/>
              </w:rPr>
              <w:t>--</w:t>
            </w:r>
          </w:p>
        </w:tc>
      </w:tr>
      <w:tr w:rsidR="00CE1CC3" w:rsidRPr="00C32638" w14:paraId="3099B33E" w14:textId="77777777" w:rsidTr="000B63E4">
        <w:trPr>
          <w:trHeight w:val="300"/>
        </w:trPr>
        <w:tc>
          <w:tcPr>
            <w:tcW w:w="1350" w:type="dxa"/>
            <w:tcBorders>
              <w:top w:val="nil"/>
              <w:left w:val="nil"/>
              <w:bottom w:val="nil"/>
              <w:right w:val="nil"/>
            </w:tcBorders>
            <w:noWrap/>
            <w:vAlign w:val="bottom"/>
            <w:hideMark/>
          </w:tcPr>
          <w:p w14:paraId="6414B074"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3 Year</w:t>
            </w:r>
            <w:r w:rsidRPr="00C32638">
              <w:rPr>
                <w:rFonts w:cs="Calibri"/>
                <w:color w:val="000000"/>
                <w:sz w:val="20"/>
                <w:szCs w:val="20"/>
              </w:rPr>
              <w:br/>
              <w:t xml:space="preserve">  (2011-2013)</w:t>
            </w:r>
          </w:p>
        </w:tc>
        <w:tc>
          <w:tcPr>
            <w:tcW w:w="1170" w:type="dxa"/>
            <w:tcBorders>
              <w:top w:val="nil"/>
              <w:left w:val="nil"/>
              <w:bottom w:val="nil"/>
              <w:right w:val="nil"/>
            </w:tcBorders>
            <w:noWrap/>
            <w:vAlign w:val="bottom"/>
            <w:hideMark/>
          </w:tcPr>
          <w:p w14:paraId="08C248E8"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19444</w:t>
            </w:r>
          </w:p>
        </w:tc>
        <w:tc>
          <w:tcPr>
            <w:tcW w:w="900" w:type="dxa"/>
            <w:tcBorders>
              <w:top w:val="nil"/>
              <w:left w:val="nil"/>
              <w:bottom w:val="nil"/>
              <w:right w:val="nil"/>
            </w:tcBorders>
            <w:noWrap/>
            <w:vAlign w:val="bottom"/>
            <w:hideMark/>
          </w:tcPr>
          <w:p w14:paraId="20739BF0"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5540</w:t>
            </w:r>
          </w:p>
        </w:tc>
        <w:tc>
          <w:tcPr>
            <w:tcW w:w="720" w:type="dxa"/>
            <w:tcBorders>
              <w:top w:val="nil"/>
              <w:left w:val="nil"/>
              <w:bottom w:val="nil"/>
              <w:right w:val="nil"/>
            </w:tcBorders>
            <w:noWrap/>
            <w:vAlign w:val="bottom"/>
            <w:hideMark/>
          </w:tcPr>
          <w:p w14:paraId="0E320DBF" w14:textId="77777777" w:rsidR="00CE1CC3" w:rsidRPr="00C32638" w:rsidRDefault="00CE1CC3" w:rsidP="000B63E4">
            <w:pPr>
              <w:spacing w:after="0" w:line="240" w:lineRule="auto"/>
              <w:jc w:val="center"/>
              <w:rPr>
                <w:rFonts w:cs="Calibri"/>
                <w:color w:val="000000"/>
                <w:sz w:val="20"/>
                <w:szCs w:val="20"/>
              </w:rPr>
            </w:pPr>
            <w:r w:rsidRPr="00C32638">
              <w:rPr>
                <w:rFonts w:cs="Calibri"/>
                <w:sz w:val="20"/>
                <w:szCs w:val="20"/>
              </w:rPr>
              <w:t>28.5</w:t>
            </w:r>
          </w:p>
        </w:tc>
        <w:tc>
          <w:tcPr>
            <w:tcW w:w="450" w:type="dxa"/>
            <w:tcBorders>
              <w:top w:val="nil"/>
              <w:left w:val="nil"/>
              <w:bottom w:val="nil"/>
              <w:right w:val="nil"/>
            </w:tcBorders>
            <w:noWrap/>
            <w:vAlign w:val="bottom"/>
            <w:hideMark/>
          </w:tcPr>
          <w:p w14:paraId="31461DC6"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9</w:t>
            </w:r>
          </w:p>
        </w:tc>
        <w:tc>
          <w:tcPr>
            <w:tcW w:w="720" w:type="dxa"/>
            <w:tcBorders>
              <w:top w:val="nil"/>
              <w:left w:val="nil"/>
              <w:bottom w:val="nil"/>
              <w:right w:val="nil"/>
            </w:tcBorders>
            <w:noWrap/>
            <w:vAlign w:val="bottom"/>
            <w:hideMark/>
          </w:tcPr>
          <w:p w14:paraId="69F0F00C"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2.237</w:t>
            </w:r>
          </w:p>
        </w:tc>
        <w:tc>
          <w:tcPr>
            <w:tcW w:w="900" w:type="dxa"/>
            <w:tcBorders>
              <w:top w:val="nil"/>
              <w:left w:val="nil"/>
              <w:bottom w:val="nil"/>
              <w:right w:val="nil"/>
            </w:tcBorders>
            <w:noWrap/>
            <w:vAlign w:val="bottom"/>
            <w:hideMark/>
          </w:tcPr>
          <w:p w14:paraId="5B35E243"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0.0421</w:t>
            </w:r>
          </w:p>
        </w:tc>
        <w:tc>
          <w:tcPr>
            <w:tcW w:w="900" w:type="dxa"/>
            <w:tcBorders>
              <w:top w:val="nil"/>
              <w:left w:val="nil"/>
              <w:bottom w:val="nil"/>
              <w:right w:val="nil"/>
            </w:tcBorders>
            <w:noWrap/>
            <w:vAlign w:val="bottom"/>
            <w:hideMark/>
          </w:tcPr>
          <w:p w14:paraId="3D35FF61"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2.145</w:t>
            </w:r>
          </w:p>
        </w:tc>
        <w:tc>
          <w:tcPr>
            <w:tcW w:w="1170" w:type="dxa"/>
            <w:tcBorders>
              <w:top w:val="nil"/>
              <w:left w:val="nil"/>
              <w:bottom w:val="nil"/>
              <w:right w:val="nil"/>
            </w:tcBorders>
            <w:noWrap/>
            <w:vAlign w:val="bottom"/>
            <w:hideMark/>
          </w:tcPr>
          <w:p w14:paraId="5B92FA50"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Significant</w:t>
            </w:r>
          </w:p>
        </w:tc>
      </w:tr>
      <w:tr w:rsidR="00CE1CC3" w:rsidRPr="00C32638" w14:paraId="0F5FA55D" w14:textId="77777777" w:rsidTr="000B63E4">
        <w:trPr>
          <w:trHeight w:val="300"/>
        </w:trPr>
        <w:tc>
          <w:tcPr>
            <w:tcW w:w="1350" w:type="dxa"/>
            <w:tcBorders>
              <w:top w:val="nil"/>
              <w:left w:val="nil"/>
              <w:bottom w:val="nil"/>
              <w:right w:val="nil"/>
            </w:tcBorders>
            <w:noWrap/>
            <w:vAlign w:val="bottom"/>
            <w:hideMark/>
          </w:tcPr>
          <w:p w14:paraId="137E25BF"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 xml:space="preserve">Spring </w:t>
            </w:r>
            <w:r w:rsidRPr="00C32638">
              <w:rPr>
                <w:rFonts w:cs="Calibri"/>
                <w:color w:val="000000"/>
                <w:sz w:val="20"/>
                <w:szCs w:val="20"/>
              </w:rPr>
              <w:br/>
              <w:t xml:space="preserve"> (2009-2013)</w:t>
            </w:r>
          </w:p>
        </w:tc>
        <w:tc>
          <w:tcPr>
            <w:tcW w:w="1170" w:type="dxa"/>
            <w:tcBorders>
              <w:top w:val="nil"/>
              <w:left w:val="nil"/>
              <w:bottom w:val="nil"/>
              <w:right w:val="nil"/>
            </w:tcBorders>
            <w:noWrap/>
            <w:vAlign w:val="bottom"/>
            <w:hideMark/>
          </w:tcPr>
          <w:p w14:paraId="697ACA27"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25903</w:t>
            </w:r>
          </w:p>
        </w:tc>
        <w:tc>
          <w:tcPr>
            <w:tcW w:w="900" w:type="dxa"/>
            <w:tcBorders>
              <w:top w:val="nil"/>
              <w:left w:val="nil"/>
              <w:bottom w:val="nil"/>
              <w:right w:val="nil"/>
            </w:tcBorders>
            <w:noWrap/>
            <w:vAlign w:val="bottom"/>
            <w:hideMark/>
          </w:tcPr>
          <w:p w14:paraId="26AA3C18"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7525</w:t>
            </w:r>
          </w:p>
        </w:tc>
        <w:tc>
          <w:tcPr>
            <w:tcW w:w="720" w:type="dxa"/>
            <w:tcBorders>
              <w:top w:val="nil"/>
              <w:left w:val="nil"/>
              <w:bottom w:val="nil"/>
              <w:right w:val="nil"/>
            </w:tcBorders>
            <w:noWrap/>
            <w:vAlign w:val="bottom"/>
            <w:hideMark/>
          </w:tcPr>
          <w:p w14:paraId="6BD03D35" w14:textId="77777777" w:rsidR="00CE1CC3" w:rsidRPr="00C32638" w:rsidRDefault="00CE1CC3" w:rsidP="000B63E4">
            <w:pPr>
              <w:spacing w:after="0" w:line="240" w:lineRule="auto"/>
              <w:jc w:val="center"/>
              <w:rPr>
                <w:rFonts w:cs="Calibri"/>
                <w:color w:val="000000"/>
                <w:sz w:val="20"/>
                <w:szCs w:val="20"/>
              </w:rPr>
            </w:pPr>
            <w:r w:rsidRPr="00C32638">
              <w:rPr>
                <w:rFonts w:cs="Calibri"/>
                <w:sz w:val="20"/>
                <w:szCs w:val="20"/>
              </w:rPr>
              <w:t>29.1</w:t>
            </w:r>
          </w:p>
        </w:tc>
        <w:tc>
          <w:tcPr>
            <w:tcW w:w="450" w:type="dxa"/>
            <w:tcBorders>
              <w:top w:val="nil"/>
              <w:left w:val="nil"/>
              <w:bottom w:val="nil"/>
              <w:right w:val="nil"/>
            </w:tcBorders>
            <w:noWrap/>
            <w:vAlign w:val="bottom"/>
            <w:hideMark/>
          </w:tcPr>
          <w:p w14:paraId="2EC907F3"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7</w:t>
            </w:r>
          </w:p>
        </w:tc>
        <w:tc>
          <w:tcPr>
            <w:tcW w:w="720" w:type="dxa"/>
            <w:tcBorders>
              <w:top w:val="nil"/>
              <w:left w:val="nil"/>
              <w:bottom w:val="nil"/>
              <w:right w:val="nil"/>
            </w:tcBorders>
            <w:noWrap/>
            <w:vAlign w:val="bottom"/>
            <w:hideMark/>
          </w:tcPr>
          <w:p w14:paraId="7142CC1E"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-0.531</w:t>
            </w:r>
          </w:p>
        </w:tc>
        <w:tc>
          <w:tcPr>
            <w:tcW w:w="900" w:type="dxa"/>
            <w:tcBorders>
              <w:top w:val="nil"/>
              <w:left w:val="nil"/>
              <w:bottom w:val="nil"/>
              <w:right w:val="nil"/>
            </w:tcBorders>
            <w:noWrap/>
            <w:vAlign w:val="bottom"/>
            <w:hideMark/>
          </w:tcPr>
          <w:p w14:paraId="2A9D88BF"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0.610</w:t>
            </w:r>
          </w:p>
        </w:tc>
        <w:tc>
          <w:tcPr>
            <w:tcW w:w="900" w:type="dxa"/>
            <w:tcBorders>
              <w:top w:val="nil"/>
              <w:left w:val="nil"/>
              <w:bottom w:val="nil"/>
              <w:right w:val="nil"/>
            </w:tcBorders>
            <w:noWrap/>
            <w:vAlign w:val="bottom"/>
            <w:hideMark/>
          </w:tcPr>
          <w:p w14:paraId="7893C5F3"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2.306</w:t>
            </w:r>
          </w:p>
        </w:tc>
        <w:tc>
          <w:tcPr>
            <w:tcW w:w="1170" w:type="dxa"/>
            <w:tcBorders>
              <w:top w:val="nil"/>
              <w:left w:val="nil"/>
              <w:bottom w:val="nil"/>
              <w:right w:val="nil"/>
            </w:tcBorders>
            <w:noWrap/>
            <w:vAlign w:val="bottom"/>
            <w:hideMark/>
          </w:tcPr>
          <w:p w14:paraId="581DEED1"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Not Significant</w:t>
            </w:r>
          </w:p>
        </w:tc>
      </w:tr>
      <w:tr w:rsidR="00CE1CC3" w:rsidRPr="00C32638" w14:paraId="3BD0A36E" w14:textId="77777777" w:rsidTr="000B63E4">
        <w:trPr>
          <w:trHeight w:val="300"/>
        </w:trPr>
        <w:tc>
          <w:tcPr>
            <w:tcW w:w="1350" w:type="dxa"/>
            <w:tcBorders>
              <w:top w:val="nil"/>
              <w:left w:val="nil"/>
              <w:right w:val="nil"/>
            </w:tcBorders>
            <w:noWrap/>
            <w:vAlign w:val="bottom"/>
            <w:hideMark/>
          </w:tcPr>
          <w:p w14:paraId="6357A7AA"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 xml:space="preserve">Summer </w:t>
            </w:r>
            <w:r w:rsidRPr="00C32638">
              <w:rPr>
                <w:rFonts w:cs="Calibri"/>
                <w:color w:val="000000"/>
                <w:sz w:val="20"/>
                <w:szCs w:val="20"/>
              </w:rPr>
              <w:br/>
              <w:t xml:space="preserve"> (2009-2013)</w:t>
            </w:r>
          </w:p>
        </w:tc>
        <w:tc>
          <w:tcPr>
            <w:tcW w:w="1170" w:type="dxa"/>
            <w:tcBorders>
              <w:top w:val="nil"/>
              <w:left w:val="nil"/>
              <w:right w:val="nil"/>
            </w:tcBorders>
            <w:noWrap/>
            <w:vAlign w:val="bottom"/>
            <w:hideMark/>
          </w:tcPr>
          <w:p w14:paraId="34C81E84"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23814</w:t>
            </w:r>
          </w:p>
        </w:tc>
        <w:tc>
          <w:tcPr>
            <w:tcW w:w="900" w:type="dxa"/>
            <w:tcBorders>
              <w:top w:val="nil"/>
              <w:left w:val="nil"/>
              <w:right w:val="nil"/>
            </w:tcBorders>
            <w:noWrap/>
            <w:vAlign w:val="bottom"/>
            <w:hideMark/>
          </w:tcPr>
          <w:p w14:paraId="7C478E28"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2337</w:t>
            </w:r>
          </w:p>
        </w:tc>
        <w:tc>
          <w:tcPr>
            <w:tcW w:w="720" w:type="dxa"/>
            <w:tcBorders>
              <w:top w:val="nil"/>
              <w:left w:val="nil"/>
              <w:right w:val="nil"/>
            </w:tcBorders>
            <w:noWrap/>
            <w:vAlign w:val="bottom"/>
            <w:hideMark/>
          </w:tcPr>
          <w:p w14:paraId="60259D6C" w14:textId="77777777" w:rsidR="00CE1CC3" w:rsidRPr="00C32638" w:rsidRDefault="00CE1CC3" w:rsidP="000B63E4">
            <w:pPr>
              <w:spacing w:after="0" w:line="240" w:lineRule="auto"/>
              <w:jc w:val="center"/>
              <w:rPr>
                <w:rFonts w:cs="Calibri"/>
                <w:color w:val="000000"/>
                <w:sz w:val="20"/>
                <w:szCs w:val="20"/>
              </w:rPr>
            </w:pPr>
            <w:r w:rsidRPr="00C32638">
              <w:rPr>
                <w:rFonts w:cs="Calibri"/>
                <w:sz w:val="20"/>
                <w:szCs w:val="20"/>
              </w:rPr>
              <w:t>9.8</w:t>
            </w:r>
          </w:p>
        </w:tc>
        <w:tc>
          <w:tcPr>
            <w:tcW w:w="450" w:type="dxa"/>
            <w:tcBorders>
              <w:top w:val="nil"/>
              <w:left w:val="nil"/>
              <w:right w:val="nil"/>
            </w:tcBorders>
            <w:noWrap/>
            <w:vAlign w:val="bottom"/>
            <w:hideMark/>
          </w:tcPr>
          <w:p w14:paraId="1E15330B"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7</w:t>
            </w:r>
          </w:p>
        </w:tc>
        <w:tc>
          <w:tcPr>
            <w:tcW w:w="720" w:type="dxa"/>
            <w:tcBorders>
              <w:top w:val="nil"/>
              <w:left w:val="nil"/>
              <w:right w:val="nil"/>
            </w:tcBorders>
            <w:noWrap/>
            <w:vAlign w:val="bottom"/>
            <w:hideMark/>
          </w:tcPr>
          <w:p w14:paraId="2E53FBAC"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0.326</w:t>
            </w:r>
          </w:p>
        </w:tc>
        <w:tc>
          <w:tcPr>
            <w:tcW w:w="900" w:type="dxa"/>
            <w:tcBorders>
              <w:top w:val="nil"/>
              <w:left w:val="nil"/>
              <w:right w:val="nil"/>
            </w:tcBorders>
            <w:noWrap/>
            <w:vAlign w:val="bottom"/>
            <w:hideMark/>
          </w:tcPr>
          <w:p w14:paraId="66EAC4AE"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0.747</w:t>
            </w:r>
          </w:p>
        </w:tc>
        <w:tc>
          <w:tcPr>
            <w:tcW w:w="900" w:type="dxa"/>
            <w:tcBorders>
              <w:top w:val="nil"/>
              <w:left w:val="nil"/>
              <w:right w:val="nil"/>
            </w:tcBorders>
            <w:noWrap/>
            <w:vAlign w:val="bottom"/>
            <w:hideMark/>
          </w:tcPr>
          <w:p w14:paraId="57884730"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2.056</w:t>
            </w:r>
          </w:p>
        </w:tc>
        <w:tc>
          <w:tcPr>
            <w:tcW w:w="1170" w:type="dxa"/>
            <w:tcBorders>
              <w:top w:val="nil"/>
              <w:left w:val="nil"/>
              <w:right w:val="nil"/>
            </w:tcBorders>
            <w:noWrap/>
            <w:vAlign w:val="bottom"/>
            <w:hideMark/>
          </w:tcPr>
          <w:p w14:paraId="221FDF92"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Not Significant</w:t>
            </w:r>
          </w:p>
        </w:tc>
      </w:tr>
      <w:tr w:rsidR="00CE1CC3" w:rsidRPr="00C32638" w14:paraId="104803F5" w14:textId="77777777" w:rsidTr="000B63E4">
        <w:trPr>
          <w:trHeight w:val="300"/>
        </w:trPr>
        <w:tc>
          <w:tcPr>
            <w:tcW w:w="1350" w:type="dxa"/>
            <w:tcBorders>
              <w:top w:val="nil"/>
              <w:left w:val="nil"/>
              <w:bottom w:val="nil"/>
              <w:right w:val="nil"/>
            </w:tcBorders>
            <w:noWrap/>
            <w:vAlign w:val="bottom"/>
            <w:hideMark/>
          </w:tcPr>
          <w:p w14:paraId="4E1A8010"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 xml:space="preserve">Fall </w:t>
            </w:r>
            <w:r w:rsidRPr="00C32638">
              <w:rPr>
                <w:rFonts w:cs="Calibri"/>
                <w:color w:val="000000"/>
                <w:sz w:val="20"/>
                <w:szCs w:val="20"/>
              </w:rPr>
              <w:br/>
              <w:t xml:space="preserve"> (2009-2013)</w:t>
            </w:r>
          </w:p>
        </w:tc>
        <w:tc>
          <w:tcPr>
            <w:tcW w:w="1170" w:type="dxa"/>
            <w:tcBorders>
              <w:top w:val="nil"/>
              <w:left w:val="nil"/>
              <w:bottom w:val="nil"/>
              <w:right w:val="nil"/>
            </w:tcBorders>
            <w:noWrap/>
            <w:vAlign w:val="bottom"/>
            <w:hideMark/>
          </w:tcPr>
          <w:p w14:paraId="69AFBC21"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21396</w:t>
            </w:r>
          </w:p>
        </w:tc>
        <w:tc>
          <w:tcPr>
            <w:tcW w:w="900" w:type="dxa"/>
            <w:tcBorders>
              <w:top w:val="nil"/>
              <w:left w:val="nil"/>
              <w:bottom w:val="nil"/>
              <w:right w:val="nil"/>
            </w:tcBorders>
            <w:noWrap/>
            <w:vAlign w:val="bottom"/>
            <w:hideMark/>
          </w:tcPr>
          <w:p w14:paraId="15D1216C"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5891</w:t>
            </w:r>
          </w:p>
        </w:tc>
        <w:tc>
          <w:tcPr>
            <w:tcW w:w="720" w:type="dxa"/>
            <w:tcBorders>
              <w:top w:val="nil"/>
              <w:left w:val="nil"/>
              <w:bottom w:val="nil"/>
              <w:right w:val="nil"/>
            </w:tcBorders>
            <w:noWrap/>
            <w:vAlign w:val="bottom"/>
            <w:hideMark/>
          </w:tcPr>
          <w:p w14:paraId="12FBE123" w14:textId="77777777" w:rsidR="00CE1CC3" w:rsidRPr="00C32638" w:rsidRDefault="00CE1CC3" w:rsidP="000B63E4">
            <w:pPr>
              <w:spacing w:after="0" w:line="240" w:lineRule="auto"/>
              <w:jc w:val="center"/>
              <w:rPr>
                <w:rFonts w:cs="Calibri"/>
                <w:color w:val="000000"/>
                <w:sz w:val="20"/>
                <w:szCs w:val="20"/>
              </w:rPr>
            </w:pPr>
            <w:r w:rsidRPr="00C32638">
              <w:rPr>
                <w:rFonts w:cs="Calibri"/>
                <w:sz w:val="20"/>
                <w:szCs w:val="20"/>
              </w:rPr>
              <w:t>27.5</w:t>
            </w:r>
          </w:p>
        </w:tc>
        <w:tc>
          <w:tcPr>
            <w:tcW w:w="450" w:type="dxa"/>
            <w:tcBorders>
              <w:top w:val="nil"/>
              <w:left w:val="nil"/>
              <w:bottom w:val="nil"/>
              <w:right w:val="nil"/>
            </w:tcBorders>
            <w:noWrap/>
            <w:vAlign w:val="bottom"/>
            <w:hideMark/>
          </w:tcPr>
          <w:p w14:paraId="63F8B854"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6</w:t>
            </w:r>
          </w:p>
        </w:tc>
        <w:tc>
          <w:tcPr>
            <w:tcW w:w="720" w:type="dxa"/>
            <w:tcBorders>
              <w:top w:val="nil"/>
              <w:left w:val="nil"/>
              <w:bottom w:val="nil"/>
              <w:right w:val="nil"/>
            </w:tcBorders>
            <w:noWrap/>
            <w:vAlign w:val="bottom"/>
            <w:hideMark/>
          </w:tcPr>
          <w:p w14:paraId="57C46CB2"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1.086</w:t>
            </w:r>
          </w:p>
        </w:tc>
        <w:tc>
          <w:tcPr>
            <w:tcW w:w="900" w:type="dxa"/>
            <w:tcBorders>
              <w:top w:val="nil"/>
              <w:left w:val="nil"/>
              <w:bottom w:val="nil"/>
              <w:right w:val="nil"/>
            </w:tcBorders>
            <w:noWrap/>
            <w:vAlign w:val="bottom"/>
            <w:hideMark/>
          </w:tcPr>
          <w:p w14:paraId="258ABE02"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0.313</w:t>
            </w:r>
          </w:p>
        </w:tc>
        <w:tc>
          <w:tcPr>
            <w:tcW w:w="900" w:type="dxa"/>
            <w:tcBorders>
              <w:top w:val="nil"/>
              <w:left w:val="nil"/>
              <w:bottom w:val="nil"/>
              <w:right w:val="nil"/>
            </w:tcBorders>
            <w:noWrap/>
            <w:vAlign w:val="bottom"/>
            <w:hideMark/>
          </w:tcPr>
          <w:p w14:paraId="56A8284B"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2.365</w:t>
            </w:r>
          </w:p>
        </w:tc>
        <w:tc>
          <w:tcPr>
            <w:tcW w:w="1170" w:type="dxa"/>
            <w:tcBorders>
              <w:top w:val="nil"/>
              <w:left w:val="nil"/>
              <w:bottom w:val="nil"/>
              <w:right w:val="nil"/>
            </w:tcBorders>
            <w:noWrap/>
            <w:vAlign w:val="bottom"/>
            <w:hideMark/>
          </w:tcPr>
          <w:p w14:paraId="0C1EAFB9"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Not Significant</w:t>
            </w:r>
          </w:p>
        </w:tc>
      </w:tr>
      <w:tr w:rsidR="00CE1CC3" w:rsidRPr="00C32638" w14:paraId="57D7543D" w14:textId="77777777" w:rsidTr="000B63E4">
        <w:trPr>
          <w:trHeight w:val="315"/>
        </w:trPr>
        <w:tc>
          <w:tcPr>
            <w:tcW w:w="1350" w:type="dxa"/>
            <w:tcBorders>
              <w:top w:val="nil"/>
              <w:left w:val="nil"/>
              <w:right w:val="nil"/>
            </w:tcBorders>
            <w:noWrap/>
            <w:vAlign w:val="bottom"/>
            <w:hideMark/>
          </w:tcPr>
          <w:p w14:paraId="35CC86E0"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 xml:space="preserve">Winter </w:t>
            </w:r>
            <w:r w:rsidRPr="00C32638">
              <w:rPr>
                <w:rFonts w:cs="Calibri"/>
                <w:color w:val="000000"/>
                <w:sz w:val="20"/>
                <w:szCs w:val="20"/>
              </w:rPr>
              <w:br/>
              <w:t xml:space="preserve"> (2009-2013)</w:t>
            </w:r>
          </w:p>
        </w:tc>
        <w:tc>
          <w:tcPr>
            <w:tcW w:w="1170" w:type="dxa"/>
            <w:tcBorders>
              <w:top w:val="nil"/>
              <w:left w:val="nil"/>
              <w:right w:val="nil"/>
            </w:tcBorders>
            <w:noWrap/>
            <w:vAlign w:val="bottom"/>
            <w:hideMark/>
          </w:tcPr>
          <w:p w14:paraId="025F140C"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25593</w:t>
            </w:r>
          </w:p>
        </w:tc>
        <w:tc>
          <w:tcPr>
            <w:tcW w:w="900" w:type="dxa"/>
            <w:tcBorders>
              <w:top w:val="nil"/>
              <w:left w:val="nil"/>
              <w:right w:val="nil"/>
            </w:tcBorders>
            <w:noWrap/>
            <w:vAlign w:val="bottom"/>
            <w:hideMark/>
          </w:tcPr>
          <w:p w14:paraId="1490CD94"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6549</w:t>
            </w:r>
          </w:p>
        </w:tc>
        <w:tc>
          <w:tcPr>
            <w:tcW w:w="720" w:type="dxa"/>
            <w:tcBorders>
              <w:top w:val="nil"/>
              <w:left w:val="nil"/>
              <w:right w:val="nil"/>
            </w:tcBorders>
            <w:noWrap/>
            <w:vAlign w:val="bottom"/>
            <w:hideMark/>
          </w:tcPr>
          <w:p w14:paraId="122B699B" w14:textId="77777777" w:rsidR="00CE1CC3" w:rsidRPr="00C32638" w:rsidRDefault="00CE1CC3" w:rsidP="000B63E4">
            <w:pPr>
              <w:spacing w:after="0" w:line="240" w:lineRule="auto"/>
              <w:jc w:val="center"/>
              <w:rPr>
                <w:rFonts w:cs="Calibri"/>
                <w:color w:val="000000"/>
                <w:sz w:val="20"/>
                <w:szCs w:val="20"/>
              </w:rPr>
            </w:pPr>
            <w:r w:rsidRPr="00C32638">
              <w:rPr>
                <w:rFonts w:cs="Calibri"/>
                <w:sz w:val="20"/>
                <w:szCs w:val="20"/>
              </w:rPr>
              <w:t>25.6</w:t>
            </w:r>
          </w:p>
        </w:tc>
        <w:tc>
          <w:tcPr>
            <w:tcW w:w="450" w:type="dxa"/>
            <w:tcBorders>
              <w:top w:val="nil"/>
              <w:left w:val="nil"/>
              <w:right w:val="nil"/>
            </w:tcBorders>
            <w:noWrap/>
            <w:vAlign w:val="bottom"/>
            <w:hideMark/>
          </w:tcPr>
          <w:p w14:paraId="267F2AB0"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7</w:t>
            </w:r>
          </w:p>
        </w:tc>
        <w:tc>
          <w:tcPr>
            <w:tcW w:w="720" w:type="dxa"/>
            <w:tcBorders>
              <w:top w:val="nil"/>
              <w:left w:val="nil"/>
              <w:right w:val="nil"/>
            </w:tcBorders>
            <w:noWrap/>
            <w:vAlign w:val="bottom"/>
            <w:hideMark/>
          </w:tcPr>
          <w:p w14:paraId="7795716F"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-0.483</w:t>
            </w:r>
          </w:p>
        </w:tc>
        <w:tc>
          <w:tcPr>
            <w:tcW w:w="900" w:type="dxa"/>
            <w:tcBorders>
              <w:top w:val="nil"/>
              <w:left w:val="nil"/>
              <w:right w:val="nil"/>
            </w:tcBorders>
            <w:noWrap/>
            <w:vAlign w:val="bottom"/>
            <w:hideMark/>
          </w:tcPr>
          <w:p w14:paraId="3B2DA4D0"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0.641</w:t>
            </w:r>
          </w:p>
        </w:tc>
        <w:tc>
          <w:tcPr>
            <w:tcW w:w="900" w:type="dxa"/>
            <w:tcBorders>
              <w:top w:val="nil"/>
              <w:left w:val="nil"/>
              <w:right w:val="nil"/>
            </w:tcBorders>
            <w:noWrap/>
            <w:vAlign w:val="bottom"/>
            <w:hideMark/>
          </w:tcPr>
          <w:p w14:paraId="61189235"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2.262</w:t>
            </w:r>
          </w:p>
        </w:tc>
        <w:tc>
          <w:tcPr>
            <w:tcW w:w="1170" w:type="dxa"/>
            <w:tcBorders>
              <w:top w:val="nil"/>
              <w:left w:val="nil"/>
              <w:right w:val="nil"/>
            </w:tcBorders>
            <w:noWrap/>
            <w:vAlign w:val="bottom"/>
            <w:hideMark/>
          </w:tcPr>
          <w:p w14:paraId="06ADE282"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Not Significant</w:t>
            </w:r>
          </w:p>
        </w:tc>
      </w:tr>
      <w:tr w:rsidR="00CE1CC3" w:rsidRPr="00C32638" w14:paraId="758D1239" w14:textId="77777777" w:rsidTr="000B63E4">
        <w:trPr>
          <w:trHeight w:val="300"/>
        </w:trPr>
        <w:tc>
          <w:tcPr>
            <w:tcW w:w="1350" w:type="dxa"/>
            <w:tcBorders>
              <w:top w:val="nil"/>
              <w:left w:val="nil"/>
              <w:bottom w:val="nil"/>
              <w:right w:val="nil"/>
            </w:tcBorders>
            <w:noWrap/>
            <w:vAlign w:val="bottom"/>
            <w:hideMark/>
          </w:tcPr>
          <w:p w14:paraId="7AC79F25" w14:textId="77777777" w:rsidR="00CE1CC3" w:rsidRPr="00C32638" w:rsidRDefault="00CE1CC3" w:rsidP="000B63E4">
            <w:pPr>
              <w:spacing w:after="0" w:line="240" w:lineRule="auto"/>
              <w:jc w:val="center"/>
              <w:rPr>
                <w:rFonts w:cs="Calibri"/>
                <w:color w:val="000000"/>
                <w:sz w:val="20"/>
                <w:szCs w:val="20"/>
              </w:rPr>
            </w:pPr>
          </w:p>
          <w:p w14:paraId="5731395D"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2009</w:t>
            </w:r>
          </w:p>
        </w:tc>
        <w:tc>
          <w:tcPr>
            <w:tcW w:w="1170" w:type="dxa"/>
            <w:tcBorders>
              <w:top w:val="nil"/>
              <w:left w:val="nil"/>
              <w:bottom w:val="nil"/>
              <w:right w:val="nil"/>
            </w:tcBorders>
            <w:noWrap/>
            <w:vAlign w:val="bottom"/>
            <w:hideMark/>
          </w:tcPr>
          <w:p w14:paraId="1672866B"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27091</w:t>
            </w:r>
          </w:p>
        </w:tc>
        <w:tc>
          <w:tcPr>
            <w:tcW w:w="900" w:type="dxa"/>
            <w:tcBorders>
              <w:top w:val="nil"/>
              <w:left w:val="nil"/>
              <w:bottom w:val="nil"/>
              <w:right w:val="nil"/>
            </w:tcBorders>
            <w:noWrap/>
            <w:vAlign w:val="bottom"/>
            <w:hideMark/>
          </w:tcPr>
          <w:p w14:paraId="429B8459"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3911</w:t>
            </w:r>
          </w:p>
        </w:tc>
        <w:tc>
          <w:tcPr>
            <w:tcW w:w="720" w:type="dxa"/>
            <w:tcBorders>
              <w:top w:val="nil"/>
              <w:left w:val="nil"/>
              <w:bottom w:val="nil"/>
              <w:right w:val="nil"/>
            </w:tcBorders>
            <w:noWrap/>
            <w:vAlign w:val="bottom"/>
            <w:hideMark/>
          </w:tcPr>
          <w:p w14:paraId="63311D20" w14:textId="77777777" w:rsidR="00CE1CC3" w:rsidRPr="00C32638" w:rsidRDefault="00CE1CC3" w:rsidP="000B63E4">
            <w:pPr>
              <w:spacing w:after="0" w:line="240" w:lineRule="auto"/>
              <w:jc w:val="center"/>
              <w:rPr>
                <w:rFonts w:cs="Calibri"/>
                <w:color w:val="000000"/>
                <w:sz w:val="20"/>
                <w:szCs w:val="20"/>
              </w:rPr>
            </w:pPr>
            <w:r w:rsidRPr="00C32638">
              <w:rPr>
                <w:rFonts w:cs="Calibri"/>
                <w:sz w:val="20"/>
                <w:szCs w:val="20"/>
              </w:rPr>
              <w:t>14.4</w:t>
            </w:r>
          </w:p>
        </w:tc>
        <w:tc>
          <w:tcPr>
            <w:tcW w:w="450" w:type="dxa"/>
            <w:tcBorders>
              <w:top w:val="nil"/>
              <w:left w:val="nil"/>
              <w:bottom w:val="nil"/>
              <w:right w:val="nil"/>
            </w:tcBorders>
            <w:noWrap/>
            <w:vAlign w:val="bottom"/>
            <w:hideMark/>
          </w:tcPr>
          <w:p w14:paraId="6E3749CF"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11</w:t>
            </w:r>
          </w:p>
        </w:tc>
        <w:tc>
          <w:tcPr>
            <w:tcW w:w="720" w:type="dxa"/>
            <w:tcBorders>
              <w:top w:val="nil"/>
              <w:left w:val="nil"/>
              <w:bottom w:val="nil"/>
              <w:right w:val="nil"/>
            </w:tcBorders>
            <w:noWrap/>
            <w:vAlign w:val="bottom"/>
            <w:hideMark/>
          </w:tcPr>
          <w:p w14:paraId="5A178DB2"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1.727</w:t>
            </w:r>
          </w:p>
        </w:tc>
        <w:tc>
          <w:tcPr>
            <w:tcW w:w="900" w:type="dxa"/>
            <w:tcBorders>
              <w:top w:val="nil"/>
              <w:left w:val="nil"/>
              <w:bottom w:val="nil"/>
              <w:right w:val="nil"/>
            </w:tcBorders>
            <w:noWrap/>
            <w:vAlign w:val="bottom"/>
            <w:hideMark/>
          </w:tcPr>
          <w:p w14:paraId="54A3DD79"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0.095</w:t>
            </w:r>
          </w:p>
        </w:tc>
        <w:tc>
          <w:tcPr>
            <w:tcW w:w="900" w:type="dxa"/>
            <w:tcBorders>
              <w:top w:val="nil"/>
              <w:left w:val="nil"/>
              <w:bottom w:val="nil"/>
              <w:right w:val="nil"/>
            </w:tcBorders>
            <w:noWrap/>
            <w:vAlign w:val="bottom"/>
            <w:hideMark/>
          </w:tcPr>
          <w:p w14:paraId="2D7455CE"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2.048</w:t>
            </w:r>
          </w:p>
        </w:tc>
        <w:tc>
          <w:tcPr>
            <w:tcW w:w="1170" w:type="dxa"/>
            <w:tcBorders>
              <w:top w:val="nil"/>
              <w:left w:val="nil"/>
              <w:bottom w:val="nil"/>
              <w:right w:val="nil"/>
            </w:tcBorders>
            <w:noWrap/>
            <w:vAlign w:val="bottom"/>
            <w:hideMark/>
          </w:tcPr>
          <w:p w14:paraId="630C9A6C"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Not Significant</w:t>
            </w:r>
          </w:p>
        </w:tc>
      </w:tr>
      <w:tr w:rsidR="00CE1CC3" w:rsidRPr="00C32638" w14:paraId="776B8331" w14:textId="77777777" w:rsidTr="000B63E4">
        <w:trPr>
          <w:trHeight w:val="300"/>
        </w:trPr>
        <w:tc>
          <w:tcPr>
            <w:tcW w:w="1350" w:type="dxa"/>
            <w:tcBorders>
              <w:top w:val="nil"/>
              <w:left w:val="nil"/>
              <w:bottom w:val="nil"/>
              <w:right w:val="nil"/>
            </w:tcBorders>
            <w:noWrap/>
            <w:vAlign w:val="bottom"/>
            <w:hideMark/>
          </w:tcPr>
          <w:p w14:paraId="4001119D"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2010</w:t>
            </w:r>
          </w:p>
        </w:tc>
        <w:tc>
          <w:tcPr>
            <w:tcW w:w="1170" w:type="dxa"/>
            <w:tcBorders>
              <w:top w:val="nil"/>
              <w:left w:val="nil"/>
              <w:bottom w:val="nil"/>
              <w:right w:val="nil"/>
            </w:tcBorders>
            <w:noWrap/>
            <w:vAlign w:val="bottom"/>
            <w:hideMark/>
          </w:tcPr>
          <w:p w14:paraId="040D8616"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26078</w:t>
            </w:r>
          </w:p>
        </w:tc>
        <w:tc>
          <w:tcPr>
            <w:tcW w:w="900" w:type="dxa"/>
            <w:tcBorders>
              <w:top w:val="nil"/>
              <w:left w:val="nil"/>
              <w:bottom w:val="nil"/>
              <w:right w:val="nil"/>
            </w:tcBorders>
            <w:noWrap/>
            <w:vAlign w:val="bottom"/>
            <w:hideMark/>
          </w:tcPr>
          <w:p w14:paraId="15DDA980"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5271</w:t>
            </w:r>
          </w:p>
        </w:tc>
        <w:tc>
          <w:tcPr>
            <w:tcW w:w="720" w:type="dxa"/>
            <w:tcBorders>
              <w:top w:val="nil"/>
              <w:left w:val="nil"/>
              <w:bottom w:val="nil"/>
              <w:right w:val="nil"/>
            </w:tcBorders>
            <w:noWrap/>
            <w:vAlign w:val="bottom"/>
            <w:hideMark/>
          </w:tcPr>
          <w:p w14:paraId="73BC4D1E" w14:textId="77777777" w:rsidR="00CE1CC3" w:rsidRPr="00C32638" w:rsidRDefault="00CE1CC3" w:rsidP="000B63E4">
            <w:pPr>
              <w:spacing w:after="0" w:line="240" w:lineRule="auto"/>
              <w:jc w:val="center"/>
              <w:rPr>
                <w:rFonts w:cs="Calibri"/>
                <w:color w:val="000000"/>
                <w:sz w:val="20"/>
                <w:szCs w:val="20"/>
              </w:rPr>
            </w:pPr>
            <w:r w:rsidRPr="00C32638">
              <w:rPr>
                <w:rFonts w:cs="Calibri"/>
                <w:sz w:val="20"/>
                <w:szCs w:val="20"/>
              </w:rPr>
              <w:t>20.2</w:t>
            </w:r>
          </w:p>
        </w:tc>
        <w:tc>
          <w:tcPr>
            <w:tcW w:w="450" w:type="dxa"/>
            <w:tcBorders>
              <w:top w:val="nil"/>
              <w:left w:val="nil"/>
              <w:bottom w:val="nil"/>
              <w:right w:val="nil"/>
            </w:tcBorders>
            <w:noWrap/>
            <w:vAlign w:val="bottom"/>
            <w:hideMark/>
          </w:tcPr>
          <w:p w14:paraId="19E76BE4"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7</w:t>
            </w:r>
          </w:p>
        </w:tc>
        <w:tc>
          <w:tcPr>
            <w:tcW w:w="720" w:type="dxa"/>
            <w:tcBorders>
              <w:top w:val="nil"/>
              <w:left w:val="nil"/>
              <w:bottom w:val="nil"/>
              <w:right w:val="nil"/>
            </w:tcBorders>
            <w:noWrap/>
            <w:vAlign w:val="bottom"/>
            <w:hideMark/>
          </w:tcPr>
          <w:p w14:paraId="5E22C432"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0.786</w:t>
            </w:r>
          </w:p>
        </w:tc>
        <w:tc>
          <w:tcPr>
            <w:tcW w:w="900" w:type="dxa"/>
            <w:tcBorders>
              <w:top w:val="nil"/>
              <w:left w:val="nil"/>
              <w:bottom w:val="nil"/>
              <w:right w:val="nil"/>
            </w:tcBorders>
            <w:noWrap/>
            <w:vAlign w:val="bottom"/>
            <w:hideMark/>
          </w:tcPr>
          <w:p w14:paraId="76CD9F1B"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0.450</w:t>
            </w:r>
          </w:p>
        </w:tc>
        <w:tc>
          <w:tcPr>
            <w:tcW w:w="900" w:type="dxa"/>
            <w:tcBorders>
              <w:top w:val="nil"/>
              <w:left w:val="nil"/>
              <w:bottom w:val="nil"/>
              <w:right w:val="nil"/>
            </w:tcBorders>
            <w:noWrap/>
            <w:vAlign w:val="bottom"/>
            <w:hideMark/>
          </w:tcPr>
          <w:p w14:paraId="495DD30F"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2.228</w:t>
            </w:r>
          </w:p>
        </w:tc>
        <w:tc>
          <w:tcPr>
            <w:tcW w:w="1170" w:type="dxa"/>
            <w:tcBorders>
              <w:top w:val="nil"/>
              <w:left w:val="nil"/>
              <w:bottom w:val="nil"/>
              <w:right w:val="nil"/>
            </w:tcBorders>
            <w:noWrap/>
            <w:vAlign w:val="bottom"/>
            <w:hideMark/>
          </w:tcPr>
          <w:p w14:paraId="2F76B0DB"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Not Significant</w:t>
            </w:r>
          </w:p>
        </w:tc>
      </w:tr>
      <w:tr w:rsidR="00CE1CC3" w:rsidRPr="00C32638" w14:paraId="2947A539" w14:textId="77777777" w:rsidTr="000B63E4">
        <w:trPr>
          <w:trHeight w:val="300"/>
        </w:trPr>
        <w:tc>
          <w:tcPr>
            <w:tcW w:w="1350" w:type="dxa"/>
            <w:tcBorders>
              <w:top w:val="nil"/>
              <w:left w:val="nil"/>
              <w:bottom w:val="nil"/>
              <w:right w:val="nil"/>
            </w:tcBorders>
            <w:noWrap/>
            <w:vAlign w:val="bottom"/>
            <w:hideMark/>
          </w:tcPr>
          <w:p w14:paraId="7294F37F"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2011</w:t>
            </w:r>
          </w:p>
        </w:tc>
        <w:tc>
          <w:tcPr>
            <w:tcW w:w="1170" w:type="dxa"/>
            <w:tcBorders>
              <w:top w:val="nil"/>
              <w:left w:val="nil"/>
              <w:bottom w:val="nil"/>
              <w:right w:val="nil"/>
            </w:tcBorders>
            <w:noWrap/>
            <w:vAlign w:val="bottom"/>
            <w:hideMark/>
          </w:tcPr>
          <w:p w14:paraId="574E4359"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23836</w:t>
            </w:r>
          </w:p>
        </w:tc>
        <w:tc>
          <w:tcPr>
            <w:tcW w:w="900" w:type="dxa"/>
            <w:tcBorders>
              <w:top w:val="nil"/>
              <w:left w:val="nil"/>
              <w:bottom w:val="nil"/>
              <w:right w:val="nil"/>
            </w:tcBorders>
            <w:noWrap/>
            <w:vAlign w:val="bottom"/>
            <w:hideMark/>
          </w:tcPr>
          <w:p w14:paraId="707AA30B"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6551</w:t>
            </w:r>
          </w:p>
        </w:tc>
        <w:tc>
          <w:tcPr>
            <w:tcW w:w="720" w:type="dxa"/>
            <w:tcBorders>
              <w:top w:val="nil"/>
              <w:left w:val="nil"/>
              <w:bottom w:val="nil"/>
              <w:right w:val="nil"/>
            </w:tcBorders>
            <w:noWrap/>
            <w:vAlign w:val="bottom"/>
            <w:hideMark/>
          </w:tcPr>
          <w:p w14:paraId="2BCDC48C" w14:textId="77777777" w:rsidR="00CE1CC3" w:rsidRPr="00C32638" w:rsidRDefault="00CE1CC3" w:rsidP="000B63E4">
            <w:pPr>
              <w:spacing w:after="0" w:line="240" w:lineRule="auto"/>
              <w:jc w:val="center"/>
              <w:rPr>
                <w:rFonts w:cs="Calibri"/>
                <w:color w:val="000000"/>
                <w:sz w:val="20"/>
                <w:szCs w:val="20"/>
              </w:rPr>
            </w:pPr>
            <w:r w:rsidRPr="00C32638">
              <w:rPr>
                <w:rFonts w:cs="Calibri"/>
                <w:sz w:val="20"/>
                <w:szCs w:val="20"/>
              </w:rPr>
              <w:t>27.5</w:t>
            </w:r>
          </w:p>
        </w:tc>
        <w:tc>
          <w:tcPr>
            <w:tcW w:w="450" w:type="dxa"/>
            <w:tcBorders>
              <w:top w:val="nil"/>
              <w:left w:val="nil"/>
              <w:bottom w:val="nil"/>
              <w:right w:val="nil"/>
            </w:tcBorders>
            <w:noWrap/>
            <w:vAlign w:val="bottom"/>
            <w:hideMark/>
          </w:tcPr>
          <w:p w14:paraId="0FFA09E7"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3</w:t>
            </w:r>
          </w:p>
        </w:tc>
        <w:tc>
          <w:tcPr>
            <w:tcW w:w="720" w:type="dxa"/>
            <w:tcBorders>
              <w:top w:val="nil"/>
              <w:left w:val="nil"/>
              <w:bottom w:val="nil"/>
              <w:right w:val="nil"/>
            </w:tcBorders>
            <w:noWrap/>
            <w:vAlign w:val="bottom"/>
            <w:hideMark/>
          </w:tcPr>
          <w:p w14:paraId="065A8AA2"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0.112</w:t>
            </w:r>
          </w:p>
        </w:tc>
        <w:tc>
          <w:tcPr>
            <w:tcW w:w="900" w:type="dxa"/>
            <w:tcBorders>
              <w:top w:val="nil"/>
              <w:left w:val="nil"/>
              <w:bottom w:val="nil"/>
              <w:right w:val="nil"/>
            </w:tcBorders>
            <w:noWrap/>
            <w:vAlign w:val="bottom"/>
            <w:hideMark/>
          </w:tcPr>
          <w:p w14:paraId="5A8526AB"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0.921</w:t>
            </w:r>
          </w:p>
        </w:tc>
        <w:tc>
          <w:tcPr>
            <w:tcW w:w="900" w:type="dxa"/>
            <w:tcBorders>
              <w:top w:val="nil"/>
              <w:left w:val="nil"/>
              <w:bottom w:val="nil"/>
              <w:right w:val="nil"/>
            </w:tcBorders>
            <w:noWrap/>
            <w:vAlign w:val="bottom"/>
            <w:hideMark/>
          </w:tcPr>
          <w:p w14:paraId="41294257"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4.303</w:t>
            </w:r>
          </w:p>
        </w:tc>
        <w:tc>
          <w:tcPr>
            <w:tcW w:w="1170" w:type="dxa"/>
            <w:tcBorders>
              <w:top w:val="nil"/>
              <w:left w:val="nil"/>
              <w:bottom w:val="nil"/>
              <w:right w:val="nil"/>
            </w:tcBorders>
            <w:noWrap/>
            <w:vAlign w:val="bottom"/>
            <w:hideMark/>
          </w:tcPr>
          <w:p w14:paraId="66E2E3BD"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Not Significant</w:t>
            </w:r>
          </w:p>
        </w:tc>
      </w:tr>
      <w:tr w:rsidR="00CE1CC3" w:rsidRPr="00C32638" w14:paraId="6B75B0D8" w14:textId="77777777" w:rsidTr="000B63E4">
        <w:trPr>
          <w:trHeight w:val="300"/>
        </w:trPr>
        <w:tc>
          <w:tcPr>
            <w:tcW w:w="1350" w:type="dxa"/>
            <w:tcBorders>
              <w:top w:val="nil"/>
              <w:left w:val="nil"/>
              <w:right w:val="nil"/>
            </w:tcBorders>
            <w:noWrap/>
            <w:vAlign w:val="bottom"/>
            <w:hideMark/>
          </w:tcPr>
          <w:p w14:paraId="3C9A5433"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2012</w:t>
            </w:r>
          </w:p>
        </w:tc>
        <w:tc>
          <w:tcPr>
            <w:tcW w:w="1170" w:type="dxa"/>
            <w:tcBorders>
              <w:top w:val="nil"/>
              <w:left w:val="nil"/>
              <w:right w:val="nil"/>
            </w:tcBorders>
            <w:noWrap/>
            <w:vAlign w:val="bottom"/>
            <w:hideMark/>
          </w:tcPr>
          <w:p w14:paraId="079CEFDD"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16914</w:t>
            </w:r>
          </w:p>
        </w:tc>
        <w:tc>
          <w:tcPr>
            <w:tcW w:w="900" w:type="dxa"/>
            <w:tcBorders>
              <w:top w:val="nil"/>
              <w:left w:val="nil"/>
              <w:right w:val="nil"/>
            </w:tcBorders>
            <w:noWrap/>
            <w:vAlign w:val="bottom"/>
            <w:hideMark/>
          </w:tcPr>
          <w:p w14:paraId="2AAAA1C4"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5151</w:t>
            </w:r>
          </w:p>
        </w:tc>
        <w:tc>
          <w:tcPr>
            <w:tcW w:w="720" w:type="dxa"/>
            <w:tcBorders>
              <w:top w:val="nil"/>
              <w:left w:val="nil"/>
              <w:right w:val="nil"/>
            </w:tcBorders>
            <w:noWrap/>
            <w:vAlign w:val="bottom"/>
            <w:hideMark/>
          </w:tcPr>
          <w:p w14:paraId="6F0CA3AF" w14:textId="77777777" w:rsidR="00CE1CC3" w:rsidRPr="00C32638" w:rsidRDefault="00CE1CC3" w:rsidP="000B63E4">
            <w:pPr>
              <w:spacing w:after="0" w:line="240" w:lineRule="auto"/>
              <w:jc w:val="center"/>
              <w:rPr>
                <w:rFonts w:cs="Calibri"/>
                <w:color w:val="000000"/>
                <w:sz w:val="20"/>
                <w:szCs w:val="20"/>
              </w:rPr>
            </w:pPr>
            <w:r w:rsidRPr="00C32638">
              <w:rPr>
                <w:rFonts w:cs="Calibri"/>
                <w:sz w:val="20"/>
                <w:szCs w:val="20"/>
              </w:rPr>
              <w:t>30.5</w:t>
            </w:r>
          </w:p>
        </w:tc>
        <w:tc>
          <w:tcPr>
            <w:tcW w:w="450" w:type="dxa"/>
            <w:tcBorders>
              <w:top w:val="nil"/>
              <w:left w:val="nil"/>
              <w:right w:val="nil"/>
            </w:tcBorders>
            <w:noWrap/>
            <w:vAlign w:val="bottom"/>
            <w:hideMark/>
          </w:tcPr>
          <w:p w14:paraId="52F0555A"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3</w:t>
            </w:r>
          </w:p>
        </w:tc>
        <w:tc>
          <w:tcPr>
            <w:tcW w:w="720" w:type="dxa"/>
            <w:tcBorders>
              <w:top w:val="nil"/>
              <w:left w:val="nil"/>
              <w:right w:val="nil"/>
            </w:tcBorders>
            <w:noWrap/>
            <w:vAlign w:val="bottom"/>
            <w:hideMark/>
          </w:tcPr>
          <w:p w14:paraId="6907435F"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2.317</w:t>
            </w:r>
          </w:p>
        </w:tc>
        <w:tc>
          <w:tcPr>
            <w:tcW w:w="900" w:type="dxa"/>
            <w:tcBorders>
              <w:top w:val="nil"/>
              <w:left w:val="nil"/>
              <w:right w:val="nil"/>
            </w:tcBorders>
            <w:noWrap/>
            <w:vAlign w:val="bottom"/>
            <w:hideMark/>
          </w:tcPr>
          <w:p w14:paraId="56B08002"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0.103</w:t>
            </w:r>
          </w:p>
        </w:tc>
        <w:tc>
          <w:tcPr>
            <w:tcW w:w="900" w:type="dxa"/>
            <w:tcBorders>
              <w:top w:val="nil"/>
              <w:left w:val="nil"/>
              <w:right w:val="nil"/>
            </w:tcBorders>
            <w:noWrap/>
            <w:vAlign w:val="bottom"/>
            <w:hideMark/>
          </w:tcPr>
          <w:p w14:paraId="4C2BA72A"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3.182</w:t>
            </w:r>
          </w:p>
        </w:tc>
        <w:tc>
          <w:tcPr>
            <w:tcW w:w="1170" w:type="dxa"/>
            <w:tcBorders>
              <w:top w:val="nil"/>
              <w:left w:val="nil"/>
              <w:right w:val="nil"/>
            </w:tcBorders>
            <w:noWrap/>
            <w:vAlign w:val="bottom"/>
            <w:hideMark/>
          </w:tcPr>
          <w:p w14:paraId="41B8D950"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Not Significant</w:t>
            </w:r>
          </w:p>
        </w:tc>
      </w:tr>
      <w:tr w:rsidR="00CE1CC3" w:rsidRPr="00C32638" w14:paraId="6EAC936A" w14:textId="77777777" w:rsidTr="000B63E4">
        <w:trPr>
          <w:trHeight w:val="300"/>
        </w:trPr>
        <w:tc>
          <w:tcPr>
            <w:tcW w:w="1350" w:type="dxa"/>
            <w:tcBorders>
              <w:top w:val="nil"/>
              <w:left w:val="nil"/>
              <w:bottom w:val="single" w:sz="4" w:space="0" w:color="auto"/>
              <w:right w:val="nil"/>
            </w:tcBorders>
            <w:noWrap/>
            <w:vAlign w:val="bottom"/>
            <w:hideMark/>
          </w:tcPr>
          <w:p w14:paraId="1D0E460F"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2013</w:t>
            </w:r>
          </w:p>
        </w:tc>
        <w:tc>
          <w:tcPr>
            <w:tcW w:w="1170" w:type="dxa"/>
            <w:tcBorders>
              <w:top w:val="nil"/>
              <w:left w:val="nil"/>
              <w:bottom w:val="single" w:sz="4" w:space="0" w:color="auto"/>
              <w:right w:val="nil"/>
            </w:tcBorders>
            <w:noWrap/>
            <w:vAlign w:val="bottom"/>
            <w:hideMark/>
          </w:tcPr>
          <w:p w14:paraId="47A25D07"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17583</w:t>
            </w:r>
          </w:p>
        </w:tc>
        <w:tc>
          <w:tcPr>
            <w:tcW w:w="900" w:type="dxa"/>
            <w:tcBorders>
              <w:top w:val="nil"/>
              <w:left w:val="nil"/>
              <w:bottom w:val="single" w:sz="4" w:space="0" w:color="auto"/>
              <w:right w:val="nil"/>
            </w:tcBorders>
            <w:noWrap/>
            <w:vAlign w:val="bottom"/>
            <w:hideMark/>
          </w:tcPr>
          <w:p w14:paraId="3AD7BC7F"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3099</w:t>
            </w:r>
          </w:p>
        </w:tc>
        <w:tc>
          <w:tcPr>
            <w:tcW w:w="720" w:type="dxa"/>
            <w:tcBorders>
              <w:top w:val="nil"/>
              <w:left w:val="nil"/>
              <w:bottom w:val="single" w:sz="4" w:space="0" w:color="auto"/>
              <w:right w:val="nil"/>
            </w:tcBorders>
            <w:noWrap/>
            <w:vAlign w:val="bottom"/>
            <w:hideMark/>
          </w:tcPr>
          <w:p w14:paraId="01671DA5" w14:textId="77777777" w:rsidR="00CE1CC3" w:rsidRPr="00C32638" w:rsidRDefault="00CE1CC3" w:rsidP="000B63E4">
            <w:pPr>
              <w:spacing w:after="0" w:line="240" w:lineRule="auto"/>
              <w:jc w:val="center"/>
              <w:rPr>
                <w:rFonts w:cs="Calibri"/>
                <w:color w:val="000000"/>
                <w:sz w:val="20"/>
                <w:szCs w:val="20"/>
              </w:rPr>
            </w:pPr>
            <w:r w:rsidRPr="00C32638">
              <w:rPr>
                <w:rFonts w:cs="Calibri"/>
                <w:sz w:val="20"/>
                <w:szCs w:val="20"/>
              </w:rPr>
              <w:t>17.6</w:t>
            </w:r>
          </w:p>
        </w:tc>
        <w:tc>
          <w:tcPr>
            <w:tcW w:w="450" w:type="dxa"/>
            <w:tcBorders>
              <w:top w:val="nil"/>
              <w:left w:val="nil"/>
              <w:bottom w:val="single" w:sz="4" w:space="0" w:color="auto"/>
              <w:right w:val="nil"/>
            </w:tcBorders>
            <w:noWrap/>
            <w:vAlign w:val="bottom"/>
            <w:hideMark/>
          </w:tcPr>
          <w:p w14:paraId="6BE8FDAF"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3</w:t>
            </w:r>
          </w:p>
        </w:tc>
        <w:tc>
          <w:tcPr>
            <w:tcW w:w="720" w:type="dxa"/>
            <w:tcBorders>
              <w:top w:val="nil"/>
              <w:left w:val="nil"/>
              <w:bottom w:val="single" w:sz="4" w:space="0" w:color="auto"/>
              <w:right w:val="nil"/>
            </w:tcBorders>
            <w:noWrap/>
            <w:vAlign w:val="bottom"/>
            <w:hideMark/>
          </w:tcPr>
          <w:p w14:paraId="64590BFF"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3.170</w:t>
            </w:r>
          </w:p>
        </w:tc>
        <w:tc>
          <w:tcPr>
            <w:tcW w:w="900" w:type="dxa"/>
            <w:tcBorders>
              <w:top w:val="nil"/>
              <w:left w:val="nil"/>
              <w:bottom w:val="single" w:sz="4" w:space="0" w:color="auto"/>
              <w:right w:val="nil"/>
            </w:tcBorders>
            <w:noWrap/>
            <w:vAlign w:val="bottom"/>
            <w:hideMark/>
          </w:tcPr>
          <w:p w14:paraId="472E30E5"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0.034</w:t>
            </w:r>
          </w:p>
        </w:tc>
        <w:tc>
          <w:tcPr>
            <w:tcW w:w="900" w:type="dxa"/>
            <w:tcBorders>
              <w:top w:val="nil"/>
              <w:left w:val="nil"/>
              <w:bottom w:val="single" w:sz="4" w:space="0" w:color="auto"/>
              <w:right w:val="nil"/>
            </w:tcBorders>
            <w:noWrap/>
            <w:vAlign w:val="bottom"/>
            <w:hideMark/>
          </w:tcPr>
          <w:p w14:paraId="52169350"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2.776</w:t>
            </w:r>
          </w:p>
        </w:tc>
        <w:tc>
          <w:tcPr>
            <w:tcW w:w="1170" w:type="dxa"/>
            <w:tcBorders>
              <w:top w:val="nil"/>
              <w:left w:val="nil"/>
              <w:bottom w:val="single" w:sz="4" w:space="0" w:color="auto"/>
              <w:right w:val="nil"/>
            </w:tcBorders>
            <w:noWrap/>
            <w:vAlign w:val="bottom"/>
            <w:hideMark/>
          </w:tcPr>
          <w:p w14:paraId="471E40E6" w14:textId="77777777" w:rsidR="00CE1CC3" w:rsidRPr="00C32638" w:rsidRDefault="00CE1CC3" w:rsidP="000B63E4">
            <w:pPr>
              <w:spacing w:after="0" w:line="240" w:lineRule="auto"/>
              <w:jc w:val="center"/>
              <w:rPr>
                <w:rFonts w:cs="Calibri"/>
                <w:color w:val="000000"/>
                <w:sz w:val="20"/>
                <w:szCs w:val="20"/>
              </w:rPr>
            </w:pPr>
            <w:r w:rsidRPr="00C32638">
              <w:rPr>
                <w:rFonts w:cs="Calibri"/>
                <w:color w:val="000000"/>
                <w:sz w:val="20"/>
                <w:szCs w:val="20"/>
              </w:rPr>
              <w:t>Significant</w:t>
            </w:r>
          </w:p>
        </w:tc>
      </w:tr>
    </w:tbl>
    <w:p w14:paraId="6DA03DDE" w14:textId="77777777" w:rsidR="00CE1CC3" w:rsidRDefault="00CE1CC3" w:rsidP="00CE1CC3">
      <w:pPr>
        <w:spacing w:line="480" w:lineRule="auto"/>
        <w:jc w:val="both"/>
      </w:pPr>
    </w:p>
    <w:p w14:paraId="3772714C" w14:textId="15C1F4E4" w:rsidR="00CE1CC3" w:rsidRDefault="00CE1CC3" w:rsidP="00CE1CC3">
      <w:pPr>
        <w:spacing w:line="480" w:lineRule="auto"/>
        <w:jc w:val="both"/>
      </w:pPr>
      <w:r>
        <w:t>Of all the flow rate increments investigated, only the 3-year average (2011-2013) and 2013 were determined to be statistically significant with respect to the 5-year average effluent flow rate (24,280 L/</w:t>
      </w:r>
      <w:proofErr w:type="spellStart"/>
      <w:r>
        <w:t>hr</w:t>
      </w:r>
      <w:proofErr w:type="spellEnd"/>
      <w:r>
        <w:t>). Both the 3-year average and the single year average (2013) were lower than the 5-year average (2009-2013) due to 2012 and 2013 having average flow rates much lower than the average of the remaining dataset (16,914 L/</w:t>
      </w:r>
      <w:proofErr w:type="spellStart"/>
      <w:r>
        <w:t>hr</w:t>
      </w:r>
      <w:proofErr w:type="spellEnd"/>
      <w:r>
        <w:t xml:space="preserve"> and 17,583 L/</w:t>
      </w:r>
      <w:proofErr w:type="spellStart"/>
      <w:r>
        <w:t>hr</w:t>
      </w:r>
      <w:proofErr w:type="spellEnd"/>
      <w:r>
        <w:t xml:space="preserve"> respectively). Greater variance (</w:t>
      </w:r>
      <w:r>
        <w:rPr>
          <w:rFonts w:cs="Calibri"/>
        </w:rPr>
        <w:t>σ</w:t>
      </w:r>
      <w:r w:rsidRPr="0006301D">
        <w:rPr>
          <w:vertAlign w:val="superscript"/>
        </w:rPr>
        <w:t>2</w:t>
      </w:r>
      <w:r>
        <w:t xml:space="preserve">) between the values of each dataset influenced the significance testing interpretation yielding more datasets that were not statistically significant with respect to the 5-year average as previously seen in Table </w:t>
      </w:r>
      <w:r w:rsidR="00D67135">
        <w:t>3.2</w:t>
      </w:r>
      <w:r>
        <w:t xml:space="preserve"> for the system influent flows. Despite the lack of significant difference between the seasonal flow rates and the 5-year average, the seasonal flow rates were used to determine the mass transport for Cell 6 for consistency with the oxidative unit calculations. </w:t>
      </w:r>
    </w:p>
    <w:p w14:paraId="46DDB8EF" w14:textId="22DAFC2C" w:rsidR="00A90E7E" w:rsidRPr="00A90E7E" w:rsidRDefault="00A90E7E" w:rsidP="00A90E7E">
      <w:pPr>
        <w:keepNext/>
        <w:keepLines/>
        <w:spacing w:before="240" w:after="0"/>
        <w:outlineLvl w:val="0"/>
        <w:rPr>
          <w:rFonts w:asciiTheme="majorHAnsi" w:eastAsiaTheme="majorEastAsia" w:hAnsiTheme="majorHAnsi" w:cstheme="majorBidi"/>
          <w:b/>
          <w:sz w:val="24"/>
          <w:szCs w:val="32"/>
        </w:rPr>
      </w:pPr>
      <w:r w:rsidRPr="00A90E7E">
        <w:rPr>
          <w:rFonts w:asciiTheme="majorHAnsi" w:eastAsiaTheme="majorEastAsia" w:hAnsiTheme="majorHAnsi" w:cstheme="majorBidi"/>
          <w:b/>
          <w:sz w:val="24"/>
          <w:szCs w:val="32"/>
        </w:rPr>
        <w:lastRenderedPageBreak/>
        <w:t>Iron Transport Profiles</w:t>
      </w:r>
    </w:p>
    <w:p w14:paraId="430C7148" w14:textId="77777777" w:rsidR="00A90E7E" w:rsidRPr="00A90E7E" w:rsidRDefault="00A90E7E" w:rsidP="00A90E7E"/>
    <w:p w14:paraId="4F62A36F" w14:textId="77777777" w:rsidR="00A90E7E" w:rsidRPr="00A90E7E" w:rsidRDefault="00A90E7E" w:rsidP="00A90E7E">
      <w:pPr>
        <w:keepNext/>
        <w:keepLines/>
        <w:spacing w:before="40" w:after="0"/>
        <w:outlineLvl w:val="3"/>
        <w:rPr>
          <w:rFonts w:asciiTheme="majorHAnsi" w:eastAsiaTheme="majorEastAsia" w:hAnsiTheme="majorHAnsi" w:cstheme="majorBidi"/>
          <w:i/>
          <w:iCs/>
        </w:rPr>
      </w:pPr>
      <w:r w:rsidRPr="00A90E7E">
        <w:rPr>
          <w:rFonts w:asciiTheme="majorHAnsi" w:eastAsiaTheme="majorEastAsia" w:hAnsiTheme="majorHAnsi" w:cstheme="majorBidi"/>
          <w:i/>
          <w:iCs/>
        </w:rPr>
        <w:t xml:space="preserve">Cell 1 Storm-Induced Iron Transport Profiles </w:t>
      </w:r>
    </w:p>
    <w:p w14:paraId="1624AFB8" w14:textId="77777777" w:rsidR="00A90E7E" w:rsidRPr="00A90E7E" w:rsidRDefault="00A90E7E" w:rsidP="00A90E7E"/>
    <w:p w14:paraId="1875E9E2" w14:textId="70A6C7D8" w:rsidR="00A90E7E" w:rsidRPr="00A90E7E" w:rsidRDefault="00A90E7E" w:rsidP="00A90E7E">
      <w:pPr>
        <w:spacing w:line="480" w:lineRule="auto"/>
        <w:jc w:val="both"/>
        <w:rPr>
          <w:rFonts w:cs="Arial"/>
        </w:rPr>
      </w:pPr>
      <w:r w:rsidRPr="00A90E7E">
        <w:rPr>
          <w:rFonts w:cs="Arial"/>
        </w:rPr>
        <w:t>Eleven storm-induced iron transport profiles were collected at the effluent of the preliminary oxidation cell (C1Out) and their characteristics are summarized in Table 3.</w:t>
      </w:r>
      <w:r w:rsidR="00D67135">
        <w:rPr>
          <w:rFonts w:cs="Arial"/>
        </w:rPr>
        <w:t>4</w:t>
      </w:r>
      <w:r w:rsidRPr="00A90E7E">
        <w:rPr>
          <w:rFonts w:cs="Arial"/>
        </w:rPr>
        <w:t xml:space="preserve">. The average total iron storm transport profile for each storm intensity classification are compared in Figure 3.8. </w:t>
      </w:r>
    </w:p>
    <w:p w14:paraId="3A41D39E" w14:textId="77777777" w:rsidR="00D67135" w:rsidRPr="00A90E7E" w:rsidRDefault="00A90E7E" w:rsidP="00D67135">
      <w:pPr>
        <w:spacing w:line="480" w:lineRule="auto"/>
        <w:jc w:val="both"/>
        <w:rPr>
          <w:rFonts w:cs="Arial"/>
        </w:rPr>
      </w:pPr>
      <w:r w:rsidRPr="00A90E7E">
        <w:rPr>
          <w:rFonts w:cs="Arial"/>
        </w:rPr>
        <w:t>The average iron loading for 2011-2013 into Cell 1 was 34,767 kg/year (</w:t>
      </w:r>
      <w:r w:rsidRPr="00A90E7E">
        <w:rPr>
          <w:rFonts w:cstheme="minorHAnsi"/>
        </w:rPr>
        <w:t>σ</w:t>
      </w:r>
      <w:r w:rsidRPr="00A90E7E">
        <w:rPr>
          <w:rFonts w:cs="Arial"/>
        </w:rPr>
        <w:t xml:space="preserve"> = 1485) with an average retention of 31,305 kg/year (</w:t>
      </w:r>
      <w:r w:rsidRPr="00A90E7E">
        <w:rPr>
          <w:rFonts w:cstheme="minorHAnsi"/>
        </w:rPr>
        <w:t>σ</w:t>
      </w:r>
      <w:r w:rsidRPr="00A90E7E">
        <w:rPr>
          <w:rFonts w:cs="Arial"/>
        </w:rPr>
        <w:t xml:space="preserve"> = 6445) and an average removal rate of 1</w:t>
      </w:r>
      <w:r w:rsidR="009878C4">
        <w:rPr>
          <w:rFonts w:cs="Arial"/>
        </w:rPr>
        <w:t>9</w:t>
      </w:r>
      <w:r w:rsidRPr="00A90E7E">
        <w:rPr>
          <w:rFonts w:cs="Arial"/>
        </w:rPr>
        <w:t>.0 g/m</w:t>
      </w:r>
      <w:r w:rsidRPr="00A90E7E">
        <w:rPr>
          <w:rFonts w:cs="Arial"/>
          <w:vertAlign w:val="superscript"/>
        </w:rPr>
        <w:t>2</w:t>
      </w:r>
      <w:r w:rsidRPr="00A90E7E">
        <w:rPr>
          <w:rFonts w:cs="Arial"/>
        </w:rPr>
        <w:t>/day (</w:t>
      </w:r>
      <w:r w:rsidRPr="00A90E7E">
        <w:rPr>
          <w:rFonts w:cstheme="minorHAnsi"/>
        </w:rPr>
        <w:t>σ</w:t>
      </w:r>
      <w:r w:rsidRPr="00A90E7E">
        <w:rPr>
          <w:rFonts w:cs="Arial"/>
        </w:rPr>
        <w:t xml:space="preserve"> = 4). Cell 1 exported an average of 7862 kg Fe/year with 1066 kg/year (</w:t>
      </w:r>
      <w:r w:rsidRPr="00A90E7E">
        <w:rPr>
          <w:rFonts w:cstheme="minorHAnsi"/>
        </w:rPr>
        <w:t>σ</w:t>
      </w:r>
      <w:r w:rsidRPr="00A90E7E">
        <w:rPr>
          <w:rFonts w:cs="Arial"/>
        </w:rPr>
        <w:t xml:space="preserve"> = 343; XX%) due to storm-induced transport. Iron exported out of Cell 1 is an average of 3.1% </w:t>
      </w:r>
      <w:r w:rsidR="009878C4">
        <w:rPr>
          <w:rFonts w:cs="Arial"/>
        </w:rPr>
        <w:t>relative to the</w:t>
      </w:r>
      <w:r w:rsidRPr="00A90E7E">
        <w:rPr>
          <w:rFonts w:cs="Arial"/>
        </w:rPr>
        <w:t xml:space="preserve"> mass loading from the three AMD seeps (A, B, D)</w:t>
      </w:r>
      <w:r w:rsidR="009878C4">
        <w:rPr>
          <w:rFonts w:cs="Arial"/>
        </w:rPr>
        <w:t xml:space="preserve"> annually</w:t>
      </w:r>
      <w:r w:rsidRPr="00A90E7E">
        <w:rPr>
          <w:rFonts w:cs="Arial"/>
        </w:rPr>
        <w:t xml:space="preserve">, with 13.6% of the </w:t>
      </w:r>
      <w:r w:rsidR="009878C4">
        <w:rPr>
          <w:rFonts w:cs="Arial"/>
        </w:rPr>
        <w:t xml:space="preserve">total </w:t>
      </w:r>
      <w:r w:rsidRPr="00A90E7E">
        <w:rPr>
          <w:rFonts w:cs="Arial"/>
        </w:rPr>
        <w:t xml:space="preserve">transported iron being due to storm disturbance.  Storms were observed to transport iron above the </w:t>
      </w:r>
      <w:r w:rsidR="00D67135" w:rsidRPr="00A90E7E">
        <w:rPr>
          <w:rFonts w:cs="Arial"/>
        </w:rPr>
        <w:t>Table 3.</w:t>
      </w:r>
      <w:r w:rsidR="00D67135">
        <w:rPr>
          <w:rFonts w:cs="Arial"/>
        </w:rPr>
        <w:t>4</w:t>
      </w:r>
      <w:r w:rsidR="00D67135" w:rsidRPr="00A90E7E">
        <w:rPr>
          <w:rFonts w:cs="Arial"/>
        </w:rPr>
        <w:t>: Summary of Individual Storm Induced Iron Transport Events for C1Out</w:t>
      </w:r>
      <w:r w:rsidR="00D67135">
        <w:rPr>
          <w:rFonts w:cs="Arial"/>
        </w:rPr>
        <w:t xml:space="preserve">. The reported % of Total Export indicates what percentage of iron exported is due to storm transport for the event. </w:t>
      </w:r>
    </w:p>
    <w:tbl>
      <w:tblPr>
        <w:tblStyle w:val="TableGrid1"/>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1080"/>
        <w:gridCol w:w="1080"/>
        <w:gridCol w:w="720"/>
        <w:gridCol w:w="1620"/>
        <w:gridCol w:w="1440"/>
        <w:gridCol w:w="1260"/>
      </w:tblGrid>
      <w:tr w:rsidR="00D67135" w:rsidRPr="00A90E7E" w14:paraId="1E1632CC" w14:textId="77777777" w:rsidTr="000B63E4">
        <w:trPr>
          <w:trHeight w:val="610"/>
        </w:trPr>
        <w:tc>
          <w:tcPr>
            <w:tcW w:w="1080" w:type="dxa"/>
            <w:tcBorders>
              <w:top w:val="single" w:sz="4" w:space="0" w:color="auto"/>
              <w:bottom w:val="double" w:sz="4" w:space="0" w:color="auto"/>
            </w:tcBorders>
            <w:shd w:val="clear" w:color="auto" w:fill="auto"/>
            <w:hideMark/>
          </w:tcPr>
          <w:p w14:paraId="0A602ED7" w14:textId="77777777" w:rsidR="00D67135" w:rsidRPr="00A90E7E" w:rsidRDefault="00D67135" w:rsidP="000B63E4">
            <w:pPr>
              <w:jc w:val="center"/>
              <w:rPr>
                <w:rFonts w:ascii="Calibri" w:eastAsia="Times New Roman" w:hAnsi="Calibri" w:cs="Calibri"/>
                <w:color w:val="000000"/>
                <w:szCs w:val="20"/>
              </w:rPr>
            </w:pPr>
            <w:r w:rsidRPr="00A90E7E">
              <w:rPr>
                <w:rFonts w:ascii="Calibri" w:eastAsia="Times New Roman" w:hAnsi="Calibri" w:cs="Calibri"/>
                <w:color w:val="000000"/>
                <w:szCs w:val="20"/>
              </w:rPr>
              <w:t>Intensity</w:t>
            </w:r>
            <w:r w:rsidRPr="00A90E7E">
              <w:rPr>
                <w:rFonts w:ascii="Calibri" w:eastAsia="Times New Roman" w:hAnsi="Calibri" w:cs="Calibri"/>
                <w:color w:val="000000"/>
                <w:szCs w:val="20"/>
              </w:rPr>
              <w:br/>
              <w:t>Class</w:t>
            </w:r>
          </w:p>
        </w:tc>
        <w:tc>
          <w:tcPr>
            <w:tcW w:w="1080" w:type="dxa"/>
            <w:tcBorders>
              <w:top w:val="single" w:sz="4" w:space="0" w:color="auto"/>
              <w:bottom w:val="double" w:sz="4" w:space="0" w:color="auto"/>
            </w:tcBorders>
            <w:shd w:val="clear" w:color="auto" w:fill="auto"/>
            <w:hideMark/>
          </w:tcPr>
          <w:p w14:paraId="26F1AACD" w14:textId="77777777" w:rsidR="00D67135" w:rsidRPr="00A90E7E" w:rsidRDefault="00D67135" w:rsidP="000B63E4">
            <w:pPr>
              <w:jc w:val="center"/>
              <w:rPr>
                <w:rFonts w:ascii="Calibri" w:eastAsia="Times New Roman" w:hAnsi="Calibri" w:cs="Calibri"/>
                <w:color w:val="000000"/>
                <w:szCs w:val="20"/>
              </w:rPr>
            </w:pPr>
            <w:r w:rsidRPr="00A90E7E">
              <w:rPr>
                <w:rFonts w:ascii="Calibri" w:eastAsia="Times New Roman" w:hAnsi="Calibri" w:cs="Calibri"/>
                <w:color w:val="000000"/>
                <w:szCs w:val="20"/>
              </w:rPr>
              <w:t>Intensity (cm/</w:t>
            </w:r>
            <w:proofErr w:type="spellStart"/>
            <w:r w:rsidRPr="00A90E7E">
              <w:rPr>
                <w:rFonts w:ascii="Calibri" w:eastAsia="Times New Roman" w:hAnsi="Calibri" w:cs="Calibri"/>
                <w:color w:val="000000"/>
                <w:szCs w:val="20"/>
              </w:rPr>
              <w:t>hr</w:t>
            </w:r>
            <w:proofErr w:type="spellEnd"/>
            <w:r w:rsidRPr="00A90E7E">
              <w:rPr>
                <w:rFonts w:ascii="Calibri" w:eastAsia="Times New Roman" w:hAnsi="Calibri" w:cs="Calibri"/>
                <w:color w:val="000000"/>
                <w:szCs w:val="20"/>
              </w:rPr>
              <w:t>)</w:t>
            </w:r>
          </w:p>
        </w:tc>
        <w:tc>
          <w:tcPr>
            <w:tcW w:w="1080" w:type="dxa"/>
            <w:tcBorders>
              <w:top w:val="single" w:sz="4" w:space="0" w:color="auto"/>
              <w:bottom w:val="double" w:sz="4" w:space="0" w:color="auto"/>
            </w:tcBorders>
            <w:shd w:val="clear" w:color="auto" w:fill="auto"/>
            <w:hideMark/>
          </w:tcPr>
          <w:p w14:paraId="203232E5" w14:textId="77777777" w:rsidR="00D67135" w:rsidRPr="00A90E7E" w:rsidRDefault="00D67135" w:rsidP="000B63E4">
            <w:pPr>
              <w:jc w:val="center"/>
              <w:rPr>
                <w:rFonts w:ascii="Calibri" w:eastAsia="Times New Roman" w:hAnsi="Calibri" w:cs="Calibri"/>
                <w:color w:val="000000"/>
                <w:szCs w:val="20"/>
              </w:rPr>
            </w:pPr>
            <w:r w:rsidRPr="00A90E7E">
              <w:rPr>
                <w:rFonts w:ascii="Calibri" w:eastAsia="Times New Roman" w:hAnsi="Calibri" w:cs="Calibri"/>
                <w:color w:val="000000"/>
                <w:szCs w:val="20"/>
              </w:rPr>
              <w:t>Duration (</w:t>
            </w:r>
            <w:proofErr w:type="spellStart"/>
            <w:r w:rsidRPr="00A90E7E">
              <w:rPr>
                <w:rFonts w:ascii="Calibri" w:eastAsia="Times New Roman" w:hAnsi="Calibri" w:cs="Calibri"/>
                <w:color w:val="000000"/>
                <w:szCs w:val="20"/>
              </w:rPr>
              <w:t>hr</w:t>
            </w:r>
            <w:proofErr w:type="spellEnd"/>
            <w:r w:rsidRPr="00A90E7E">
              <w:rPr>
                <w:rFonts w:ascii="Calibri" w:eastAsia="Times New Roman" w:hAnsi="Calibri" w:cs="Calibri"/>
                <w:color w:val="000000"/>
                <w:szCs w:val="20"/>
              </w:rPr>
              <w:t>)</w:t>
            </w:r>
          </w:p>
        </w:tc>
        <w:tc>
          <w:tcPr>
            <w:tcW w:w="720" w:type="dxa"/>
            <w:tcBorders>
              <w:top w:val="single" w:sz="4" w:space="0" w:color="auto"/>
              <w:bottom w:val="double" w:sz="4" w:space="0" w:color="auto"/>
            </w:tcBorders>
            <w:shd w:val="clear" w:color="auto" w:fill="auto"/>
          </w:tcPr>
          <w:p w14:paraId="40D74C6A" w14:textId="77777777" w:rsidR="00D67135" w:rsidRPr="00A90E7E" w:rsidRDefault="00D67135" w:rsidP="000B63E4">
            <w:pPr>
              <w:jc w:val="center"/>
              <w:rPr>
                <w:rFonts w:ascii="Calibri" w:eastAsia="Times New Roman" w:hAnsi="Calibri" w:cs="Calibri"/>
                <w:color w:val="000000"/>
                <w:szCs w:val="20"/>
              </w:rPr>
            </w:pPr>
            <w:r w:rsidRPr="00A90E7E">
              <w:rPr>
                <w:rFonts w:ascii="Calibri" w:eastAsia="Times New Roman" w:hAnsi="Calibri" w:cs="Calibri"/>
                <w:color w:val="000000"/>
                <w:szCs w:val="20"/>
              </w:rPr>
              <w:t>Yield (cm)</w:t>
            </w:r>
          </w:p>
        </w:tc>
        <w:tc>
          <w:tcPr>
            <w:tcW w:w="1620" w:type="dxa"/>
            <w:tcBorders>
              <w:top w:val="single" w:sz="4" w:space="0" w:color="auto"/>
              <w:bottom w:val="double" w:sz="4" w:space="0" w:color="auto"/>
            </w:tcBorders>
            <w:shd w:val="clear" w:color="auto" w:fill="auto"/>
            <w:hideMark/>
          </w:tcPr>
          <w:p w14:paraId="1E9B5474" w14:textId="77777777" w:rsidR="00D67135" w:rsidRPr="00A90E7E" w:rsidRDefault="00D67135" w:rsidP="000B63E4">
            <w:pPr>
              <w:jc w:val="center"/>
              <w:rPr>
                <w:rFonts w:ascii="Calibri" w:eastAsia="Times New Roman" w:hAnsi="Calibri" w:cs="Calibri"/>
                <w:color w:val="000000"/>
                <w:szCs w:val="20"/>
              </w:rPr>
            </w:pPr>
            <w:r w:rsidRPr="00A90E7E">
              <w:rPr>
                <w:rFonts w:ascii="Calibri" w:eastAsia="Times New Roman" w:hAnsi="Calibri" w:cs="Calibri"/>
                <w:color w:val="000000"/>
                <w:szCs w:val="20"/>
              </w:rPr>
              <w:t>Gross Fe Export (kg)</w:t>
            </w:r>
          </w:p>
        </w:tc>
        <w:tc>
          <w:tcPr>
            <w:tcW w:w="1440" w:type="dxa"/>
            <w:tcBorders>
              <w:top w:val="single" w:sz="4" w:space="0" w:color="auto"/>
              <w:bottom w:val="double" w:sz="4" w:space="0" w:color="auto"/>
            </w:tcBorders>
            <w:shd w:val="clear" w:color="auto" w:fill="auto"/>
            <w:hideMark/>
          </w:tcPr>
          <w:p w14:paraId="4803A6BB" w14:textId="77777777" w:rsidR="00D67135" w:rsidRPr="00A90E7E" w:rsidRDefault="00D67135" w:rsidP="000B63E4">
            <w:pPr>
              <w:jc w:val="center"/>
              <w:rPr>
                <w:rFonts w:ascii="Calibri" w:eastAsia="Times New Roman" w:hAnsi="Calibri" w:cs="Calibri"/>
                <w:color w:val="000000"/>
                <w:szCs w:val="20"/>
              </w:rPr>
            </w:pPr>
            <w:r w:rsidRPr="00A90E7E">
              <w:rPr>
                <w:rFonts w:ascii="Calibri" w:eastAsia="Times New Roman" w:hAnsi="Calibri" w:cs="Calibri"/>
                <w:color w:val="000000"/>
                <w:szCs w:val="20"/>
              </w:rPr>
              <w:t>Net Fe Export(kg)</w:t>
            </w:r>
          </w:p>
        </w:tc>
        <w:tc>
          <w:tcPr>
            <w:tcW w:w="1260" w:type="dxa"/>
            <w:tcBorders>
              <w:top w:val="single" w:sz="4" w:space="0" w:color="auto"/>
              <w:bottom w:val="double" w:sz="4" w:space="0" w:color="auto"/>
            </w:tcBorders>
            <w:shd w:val="clear" w:color="auto" w:fill="auto"/>
            <w:hideMark/>
          </w:tcPr>
          <w:p w14:paraId="4F201D70" w14:textId="77777777" w:rsidR="00D67135" w:rsidRPr="00A90E7E" w:rsidRDefault="00D67135" w:rsidP="000B63E4">
            <w:pPr>
              <w:jc w:val="center"/>
              <w:rPr>
                <w:rFonts w:ascii="Calibri" w:eastAsia="Times New Roman" w:hAnsi="Calibri" w:cs="Calibri"/>
                <w:color w:val="000000"/>
                <w:szCs w:val="20"/>
              </w:rPr>
            </w:pPr>
            <w:r w:rsidRPr="00A90E7E">
              <w:rPr>
                <w:rFonts w:ascii="Calibri" w:eastAsia="Times New Roman" w:hAnsi="Calibri" w:cs="Calibri"/>
                <w:color w:val="000000"/>
                <w:szCs w:val="20"/>
              </w:rPr>
              <w:t xml:space="preserve">% of Total Export </w:t>
            </w:r>
          </w:p>
        </w:tc>
      </w:tr>
      <w:tr w:rsidR="00D67135" w:rsidRPr="00A90E7E" w14:paraId="331E88C2" w14:textId="77777777" w:rsidTr="000B63E4">
        <w:trPr>
          <w:trHeight w:val="330"/>
        </w:trPr>
        <w:tc>
          <w:tcPr>
            <w:tcW w:w="1080" w:type="dxa"/>
            <w:tcBorders>
              <w:top w:val="double" w:sz="4" w:space="0" w:color="auto"/>
            </w:tcBorders>
            <w:shd w:val="clear" w:color="auto" w:fill="auto"/>
            <w:noWrap/>
            <w:hideMark/>
          </w:tcPr>
          <w:p w14:paraId="54A77F2B" w14:textId="77777777" w:rsidR="00D67135" w:rsidRPr="00A90E7E" w:rsidRDefault="00D67135" w:rsidP="000B63E4">
            <w:pPr>
              <w:rPr>
                <w:rFonts w:ascii="Calibri" w:eastAsia="Times New Roman" w:hAnsi="Calibri" w:cs="Calibri"/>
                <w:color w:val="000000"/>
                <w:sz w:val="20"/>
                <w:szCs w:val="20"/>
              </w:rPr>
            </w:pPr>
            <w:r w:rsidRPr="00A90E7E">
              <w:rPr>
                <w:rFonts w:ascii="Calibri" w:eastAsia="Times New Roman" w:hAnsi="Calibri" w:cs="Calibri"/>
                <w:color w:val="000000"/>
                <w:sz w:val="20"/>
                <w:szCs w:val="20"/>
              </w:rPr>
              <w:t>Low</w:t>
            </w:r>
          </w:p>
        </w:tc>
        <w:tc>
          <w:tcPr>
            <w:tcW w:w="1080" w:type="dxa"/>
            <w:tcBorders>
              <w:top w:val="double" w:sz="4" w:space="0" w:color="auto"/>
            </w:tcBorders>
            <w:shd w:val="clear" w:color="auto" w:fill="auto"/>
            <w:noWrap/>
            <w:hideMark/>
          </w:tcPr>
          <w:p w14:paraId="38C68444"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0.25</w:t>
            </w:r>
          </w:p>
        </w:tc>
        <w:tc>
          <w:tcPr>
            <w:tcW w:w="1080" w:type="dxa"/>
            <w:tcBorders>
              <w:top w:val="double" w:sz="4" w:space="0" w:color="auto"/>
            </w:tcBorders>
            <w:shd w:val="clear" w:color="auto" w:fill="auto"/>
            <w:noWrap/>
            <w:hideMark/>
          </w:tcPr>
          <w:p w14:paraId="32CCF0E8"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1.3</w:t>
            </w:r>
          </w:p>
        </w:tc>
        <w:tc>
          <w:tcPr>
            <w:tcW w:w="720" w:type="dxa"/>
            <w:tcBorders>
              <w:top w:val="double" w:sz="4" w:space="0" w:color="auto"/>
            </w:tcBorders>
            <w:shd w:val="clear" w:color="auto" w:fill="auto"/>
          </w:tcPr>
          <w:p w14:paraId="7B42C3B4" w14:textId="77777777" w:rsidR="00D67135" w:rsidRPr="00A90E7E" w:rsidRDefault="00D67135" w:rsidP="000B63E4">
            <w:pPr>
              <w:jc w:val="center"/>
              <w:rPr>
                <w:rFonts w:ascii="Calibri" w:hAnsi="Calibri" w:cs="Calibri"/>
                <w:color w:val="000000"/>
                <w:sz w:val="20"/>
                <w:szCs w:val="20"/>
              </w:rPr>
            </w:pPr>
            <w:r w:rsidRPr="00A90E7E">
              <w:rPr>
                <w:rFonts w:ascii="Calibri" w:hAnsi="Calibri" w:cs="Calibri"/>
                <w:color w:val="000000"/>
                <w:sz w:val="20"/>
                <w:szCs w:val="20"/>
              </w:rPr>
              <w:t>0.31</w:t>
            </w:r>
          </w:p>
        </w:tc>
        <w:tc>
          <w:tcPr>
            <w:tcW w:w="1620" w:type="dxa"/>
            <w:tcBorders>
              <w:top w:val="double" w:sz="4" w:space="0" w:color="auto"/>
            </w:tcBorders>
            <w:shd w:val="clear" w:color="auto" w:fill="auto"/>
            <w:noWrap/>
            <w:hideMark/>
          </w:tcPr>
          <w:p w14:paraId="4B5ABEE9"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12.53</w:t>
            </w:r>
          </w:p>
        </w:tc>
        <w:tc>
          <w:tcPr>
            <w:tcW w:w="1440" w:type="dxa"/>
            <w:tcBorders>
              <w:top w:val="double" w:sz="4" w:space="0" w:color="auto"/>
            </w:tcBorders>
            <w:shd w:val="clear" w:color="auto" w:fill="auto"/>
            <w:noWrap/>
            <w:hideMark/>
          </w:tcPr>
          <w:p w14:paraId="735AC77C"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10.76</w:t>
            </w:r>
          </w:p>
        </w:tc>
        <w:tc>
          <w:tcPr>
            <w:tcW w:w="1260" w:type="dxa"/>
            <w:tcBorders>
              <w:top w:val="double" w:sz="4" w:space="0" w:color="auto"/>
            </w:tcBorders>
            <w:shd w:val="clear" w:color="auto" w:fill="auto"/>
            <w:noWrap/>
            <w:hideMark/>
          </w:tcPr>
          <w:p w14:paraId="7CA3CDE3"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85.9%</w:t>
            </w:r>
          </w:p>
        </w:tc>
      </w:tr>
      <w:tr w:rsidR="00D67135" w:rsidRPr="00A90E7E" w14:paraId="14779C0C" w14:textId="77777777" w:rsidTr="000B63E4">
        <w:trPr>
          <w:trHeight w:val="315"/>
        </w:trPr>
        <w:tc>
          <w:tcPr>
            <w:tcW w:w="1080" w:type="dxa"/>
            <w:shd w:val="clear" w:color="auto" w:fill="auto"/>
            <w:noWrap/>
            <w:hideMark/>
          </w:tcPr>
          <w:p w14:paraId="357147BB" w14:textId="77777777" w:rsidR="00D67135" w:rsidRPr="00A90E7E" w:rsidRDefault="00D67135" w:rsidP="000B63E4">
            <w:pPr>
              <w:rPr>
                <w:rFonts w:ascii="Calibri" w:eastAsia="Times New Roman" w:hAnsi="Calibri" w:cs="Calibri"/>
                <w:color w:val="000000"/>
                <w:sz w:val="20"/>
                <w:szCs w:val="20"/>
              </w:rPr>
            </w:pPr>
            <w:r w:rsidRPr="00A90E7E">
              <w:rPr>
                <w:rFonts w:ascii="Calibri" w:eastAsia="Times New Roman" w:hAnsi="Calibri" w:cs="Calibri"/>
                <w:color w:val="000000"/>
                <w:sz w:val="20"/>
                <w:szCs w:val="20"/>
              </w:rPr>
              <w:t>Low</w:t>
            </w:r>
          </w:p>
        </w:tc>
        <w:tc>
          <w:tcPr>
            <w:tcW w:w="1080" w:type="dxa"/>
            <w:shd w:val="clear" w:color="auto" w:fill="auto"/>
            <w:noWrap/>
            <w:hideMark/>
          </w:tcPr>
          <w:p w14:paraId="55D98ED3"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0.31</w:t>
            </w:r>
          </w:p>
        </w:tc>
        <w:tc>
          <w:tcPr>
            <w:tcW w:w="1080" w:type="dxa"/>
            <w:shd w:val="clear" w:color="auto" w:fill="auto"/>
            <w:noWrap/>
            <w:hideMark/>
          </w:tcPr>
          <w:p w14:paraId="16490FD8"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1.3</w:t>
            </w:r>
          </w:p>
        </w:tc>
        <w:tc>
          <w:tcPr>
            <w:tcW w:w="720" w:type="dxa"/>
            <w:shd w:val="clear" w:color="auto" w:fill="auto"/>
          </w:tcPr>
          <w:p w14:paraId="0BF1871F" w14:textId="77777777" w:rsidR="00D67135" w:rsidRPr="00A90E7E" w:rsidRDefault="00D67135" w:rsidP="000B63E4">
            <w:pPr>
              <w:jc w:val="center"/>
              <w:rPr>
                <w:rFonts w:ascii="Calibri" w:hAnsi="Calibri" w:cs="Calibri"/>
                <w:color w:val="000000"/>
                <w:sz w:val="20"/>
                <w:szCs w:val="20"/>
              </w:rPr>
            </w:pPr>
            <w:r w:rsidRPr="00A90E7E">
              <w:rPr>
                <w:rFonts w:ascii="Calibri" w:hAnsi="Calibri" w:cs="Calibri"/>
                <w:color w:val="000000"/>
                <w:sz w:val="20"/>
                <w:szCs w:val="20"/>
              </w:rPr>
              <w:t>0.38</w:t>
            </w:r>
          </w:p>
        </w:tc>
        <w:tc>
          <w:tcPr>
            <w:tcW w:w="1620" w:type="dxa"/>
            <w:shd w:val="clear" w:color="auto" w:fill="auto"/>
            <w:noWrap/>
            <w:hideMark/>
          </w:tcPr>
          <w:p w14:paraId="4BD965D6"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23.5</w:t>
            </w:r>
          </w:p>
        </w:tc>
        <w:tc>
          <w:tcPr>
            <w:tcW w:w="1440" w:type="dxa"/>
            <w:shd w:val="clear" w:color="auto" w:fill="auto"/>
            <w:noWrap/>
            <w:hideMark/>
          </w:tcPr>
          <w:p w14:paraId="6E2497B5"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17.44</w:t>
            </w:r>
          </w:p>
        </w:tc>
        <w:tc>
          <w:tcPr>
            <w:tcW w:w="1260" w:type="dxa"/>
            <w:shd w:val="clear" w:color="auto" w:fill="auto"/>
            <w:noWrap/>
            <w:hideMark/>
          </w:tcPr>
          <w:p w14:paraId="0CDCFA36"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74.2%</w:t>
            </w:r>
          </w:p>
        </w:tc>
      </w:tr>
      <w:tr w:rsidR="00D67135" w:rsidRPr="00A90E7E" w14:paraId="6A143F59" w14:textId="77777777" w:rsidTr="000B63E4">
        <w:trPr>
          <w:trHeight w:val="315"/>
        </w:trPr>
        <w:tc>
          <w:tcPr>
            <w:tcW w:w="1080" w:type="dxa"/>
            <w:shd w:val="clear" w:color="auto" w:fill="auto"/>
            <w:noWrap/>
            <w:hideMark/>
          </w:tcPr>
          <w:p w14:paraId="4BAA3533" w14:textId="77777777" w:rsidR="00D67135" w:rsidRPr="00A90E7E" w:rsidRDefault="00D67135" w:rsidP="000B63E4">
            <w:pPr>
              <w:rPr>
                <w:rFonts w:ascii="Calibri" w:eastAsia="Times New Roman" w:hAnsi="Calibri" w:cs="Calibri"/>
                <w:color w:val="000000"/>
                <w:sz w:val="20"/>
                <w:szCs w:val="20"/>
              </w:rPr>
            </w:pPr>
            <w:r w:rsidRPr="00A90E7E">
              <w:rPr>
                <w:rFonts w:ascii="Calibri" w:eastAsia="Times New Roman" w:hAnsi="Calibri" w:cs="Calibri"/>
                <w:color w:val="000000"/>
                <w:sz w:val="20"/>
                <w:szCs w:val="20"/>
              </w:rPr>
              <w:t>Low</w:t>
            </w:r>
          </w:p>
        </w:tc>
        <w:tc>
          <w:tcPr>
            <w:tcW w:w="1080" w:type="dxa"/>
            <w:shd w:val="clear" w:color="auto" w:fill="auto"/>
            <w:noWrap/>
            <w:hideMark/>
          </w:tcPr>
          <w:p w14:paraId="5BC7D23F"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0.43</w:t>
            </w:r>
          </w:p>
        </w:tc>
        <w:tc>
          <w:tcPr>
            <w:tcW w:w="1080" w:type="dxa"/>
            <w:shd w:val="clear" w:color="auto" w:fill="auto"/>
            <w:noWrap/>
            <w:hideMark/>
          </w:tcPr>
          <w:p w14:paraId="1BD9AA3C"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3.3</w:t>
            </w:r>
          </w:p>
        </w:tc>
        <w:tc>
          <w:tcPr>
            <w:tcW w:w="720" w:type="dxa"/>
            <w:shd w:val="clear" w:color="auto" w:fill="auto"/>
          </w:tcPr>
          <w:p w14:paraId="08647021" w14:textId="77777777" w:rsidR="00D67135" w:rsidRPr="00A90E7E" w:rsidRDefault="00D67135" w:rsidP="000B63E4">
            <w:pPr>
              <w:jc w:val="center"/>
              <w:rPr>
                <w:rFonts w:ascii="Calibri" w:hAnsi="Calibri" w:cs="Calibri"/>
                <w:color w:val="000000"/>
                <w:sz w:val="20"/>
                <w:szCs w:val="20"/>
              </w:rPr>
            </w:pPr>
            <w:r w:rsidRPr="00A90E7E">
              <w:rPr>
                <w:rFonts w:ascii="Calibri" w:hAnsi="Calibri" w:cs="Calibri"/>
                <w:color w:val="000000"/>
                <w:sz w:val="20"/>
                <w:szCs w:val="20"/>
              </w:rPr>
              <w:t>1.1</w:t>
            </w:r>
          </w:p>
        </w:tc>
        <w:tc>
          <w:tcPr>
            <w:tcW w:w="1620" w:type="dxa"/>
            <w:shd w:val="clear" w:color="auto" w:fill="auto"/>
            <w:noWrap/>
            <w:hideMark/>
          </w:tcPr>
          <w:p w14:paraId="102E5B89"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8.04</w:t>
            </w:r>
          </w:p>
        </w:tc>
        <w:tc>
          <w:tcPr>
            <w:tcW w:w="1440" w:type="dxa"/>
            <w:shd w:val="clear" w:color="auto" w:fill="auto"/>
            <w:noWrap/>
            <w:hideMark/>
          </w:tcPr>
          <w:p w14:paraId="5D7A5D6D"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6.51</w:t>
            </w:r>
          </w:p>
        </w:tc>
        <w:tc>
          <w:tcPr>
            <w:tcW w:w="1260" w:type="dxa"/>
            <w:shd w:val="clear" w:color="auto" w:fill="auto"/>
            <w:noWrap/>
            <w:hideMark/>
          </w:tcPr>
          <w:p w14:paraId="3A5F0374"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81.0%</w:t>
            </w:r>
          </w:p>
        </w:tc>
      </w:tr>
      <w:tr w:rsidR="00D67135" w:rsidRPr="00A90E7E" w14:paraId="1A068D40" w14:textId="77777777" w:rsidTr="000B63E4">
        <w:trPr>
          <w:trHeight w:val="315"/>
        </w:trPr>
        <w:tc>
          <w:tcPr>
            <w:tcW w:w="1080" w:type="dxa"/>
            <w:shd w:val="clear" w:color="auto" w:fill="auto"/>
            <w:noWrap/>
            <w:hideMark/>
          </w:tcPr>
          <w:p w14:paraId="25CF1ABE" w14:textId="77777777" w:rsidR="00D67135" w:rsidRPr="00A90E7E" w:rsidRDefault="00D67135" w:rsidP="000B63E4">
            <w:pPr>
              <w:rPr>
                <w:rFonts w:ascii="Calibri" w:eastAsia="Times New Roman" w:hAnsi="Calibri" w:cs="Calibri"/>
                <w:color w:val="000000"/>
                <w:sz w:val="20"/>
                <w:szCs w:val="20"/>
              </w:rPr>
            </w:pPr>
            <w:r w:rsidRPr="00A90E7E">
              <w:rPr>
                <w:rFonts w:ascii="Calibri" w:eastAsia="Times New Roman" w:hAnsi="Calibri" w:cs="Calibri"/>
                <w:color w:val="000000"/>
                <w:sz w:val="20"/>
                <w:szCs w:val="20"/>
              </w:rPr>
              <w:t>Low</w:t>
            </w:r>
          </w:p>
        </w:tc>
        <w:tc>
          <w:tcPr>
            <w:tcW w:w="1080" w:type="dxa"/>
            <w:shd w:val="clear" w:color="auto" w:fill="auto"/>
            <w:noWrap/>
            <w:hideMark/>
          </w:tcPr>
          <w:p w14:paraId="1541A399"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0.79</w:t>
            </w:r>
          </w:p>
        </w:tc>
        <w:tc>
          <w:tcPr>
            <w:tcW w:w="1080" w:type="dxa"/>
            <w:shd w:val="clear" w:color="auto" w:fill="auto"/>
            <w:noWrap/>
            <w:hideMark/>
          </w:tcPr>
          <w:p w14:paraId="122DDD61"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2.5</w:t>
            </w:r>
          </w:p>
        </w:tc>
        <w:tc>
          <w:tcPr>
            <w:tcW w:w="720" w:type="dxa"/>
            <w:shd w:val="clear" w:color="auto" w:fill="auto"/>
          </w:tcPr>
          <w:p w14:paraId="04929FF1" w14:textId="77777777" w:rsidR="00D67135" w:rsidRPr="00A90E7E" w:rsidRDefault="00D67135" w:rsidP="000B63E4">
            <w:pPr>
              <w:jc w:val="center"/>
              <w:rPr>
                <w:rFonts w:ascii="Calibri" w:hAnsi="Calibri" w:cs="Calibri"/>
                <w:color w:val="000000"/>
                <w:sz w:val="20"/>
                <w:szCs w:val="20"/>
              </w:rPr>
            </w:pPr>
            <w:r w:rsidRPr="00A90E7E">
              <w:rPr>
                <w:rFonts w:ascii="Calibri" w:hAnsi="Calibri" w:cs="Calibri"/>
                <w:color w:val="000000"/>
                <w:sz w:val="20"/>
                <w:szCs w:val="20"/>
              </w:rPr>
              <w:t>0.63</w:t>
            </w:r>
          </w:p>
        </w:tc>
        <w:tc>
          <w:tcPr>
            <w:tcW w:w="1620" w:type="dxa"/>
            <w:shd w:val="clear" w:color="auto" w:fill="auto"/>
            <w:noWrap/>
            <w:hideMark/>
          </w:tcPr>
          <w:p w14:paraId="080EA1E4"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3.56</w:t>
            </w:r>
          </w:p>
        </w:tc>
        <w:tc>
          <w:tcPr>
            <w:tcW w:w="1440" w:type="dxa"/>
            <w:shd w:val="clear" w:color="auto" w:fill="auto"/>
            <w:noWrap/>
            <w:hideMark/>
          </w:tcPr>
          <w:p w14:paraId="34656A4A"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2.22</w:t>
            </w:r>
          </w:p>
        </w:tc>
        <w:tc>
          <w:tcPr>
            <w:tcW w:w="1260" w:type="dxa"/>
            <w:shd w:val="clear" w:color="auto" w:fill="auto"/>
            <w:noWrap/>
            <w:hideMark/>
          </w:tcPr>
          <w:p w14:paraId="31AB7725"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62.3%</w:t>
            </w:r>
          </w:p>
        </w:tc>
      </w:tr>
      <w:tr w:rsidR="00D67135" w:rsidRPr="00A90E7E" w14:paraId="284E510F" w14:textId="77777777" w:rsidTr="000B63E4">
        <w:trPr>
          <w:trHeight w:val="315"/>
        </w:trPr>
        <w:tc>
          <w:tcPr>
            <w:tcW w:w="1080" w:type="dxa"/>
            <w:shd w:val="clear" w:color="auto" w:fill="auto"/>
            <w:noWrap/>
            <w:hideMark/>
          </w:tcPr>
          <w:p w14:paraId="08659CAE" w14:textId="77777777" w:rsidR="00D67135" w:rsidRPr="00A90E7E" w:rsidRDefault="00D67135" w:rsidP="000B63E4">
            <w:pPr>
              <w:rPr>
                <w:rFonts w:ascii="Calibri" w:eastAsia="Times New Roman" w:hAnsi="Calibri" w:cs="Calibri"/>
                <w:color w:val="000000"/>
                <w:sz w:val="20"/>
                <w:szCs w:val="20"/>
              </w:rPr>
            </w:pPr>
            <w:r w:rsidRPr="00A90E7E">
              <w:rPr>
                <w:rFonts w:ascii="Calibri" w:eastAsia="Times New Roman" w:hAnsi="Calibri" w:cs="Calibri"/>
                <w:color w:val="000000"/>
                <w:sz w:val="20"/>
                <w:szCs w:val="20"/>
              </w:rPr>
              <w:t>Moderate</w:t>
            </w:r>
          </w:p>
        </w:tc>
        <w:tc>
          <w:tcPr>
            <w:tcW w:w="1080" w:type="dxa"/>
            <w:shd w:val="clear" w:color="auto" w:fill="auto"/>
            <w:noWrap/>
            <w:hideMark/>
          </w:tcPr>
          <w:p w14:paraId="3D387D2D"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1.01</w:t>
            </w:r>
          </w:p>
        </w:tc>
        <w:tc>
          <w:tcPr>
            <w:tcW w:w="1080" w:type="dxa"/>
            <w:shd w:val="clear" w:color="auto" w:fill="auto"/>
            <w:noWrap/>
            <w:hideMark/>
          </w:tcPr>
          <w:p w14:paraId="3B270981"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6.5</w:t>
            </w:r>
          </w:p>
        </w:tc>
        <w:tc>
          <w:tcPr>
            <w:tcW w:w="720" w:type="dxa"/>
            <w:shd w:val="clear" w:color="auto" w:fill="auto"/>
          </w:tcPr>
          <w:p w14:paraId="63A471C1" w14:textId="77777777" w:rsidR="00D67135" w:rsidRPr="00A90E7E" w:rsidRDefault="00D67135" w:rsidP="000B63E4">
            <w:pPr>
              <w:jc w:val="center"/>
              <w:rPr>
                <w:sz w:val="20"/>
                <w:szCs w:val="20"/>
              </w:rPr>
            </w:pPr>
            <w:r w:rsidRPr="00A90E7E">
              <w:rPr>
                <w:sz w:val="20"/>
                <w:szCs w:val="20"/>
              </w:rPr>
              <w:t>3.3</w:t>
            </w:r>
          </w:p>
        </w:tc>
        <w:tc>
          <w:tcPr>
            <w:tcW w:w="1620" w:type="dxa"/>
            <w:shd w:val="clear" w:color="auto" w:fill="auto"/>
            <w:noWrap/>
            <w:hideMark/>
          </w:tcPr>
          <w:p w14:paraId="36ACD56D"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10.55</w:t>
            </w:r>
          </w:p>
        </w:tc>
        <w:tc>
          <w:tcPr>
            <w:tcW w:w="1440" w:type="dxa"/>
            <w:shd w:val="clear" w:color="auto" w:fill="auto"/>
            <w:noWrap/>
            <w:hideMark/>
          </w:tcPr>
          <w:p w14:paraId="1F84880C"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8.8</w:t>
            </w:r>
          </w:p>
        </w:tc>
        <w:tc>
          <w:tcPr>
            <w:tcW w:w="1260" w:type="dxa"/>
            <w:shd w:val="clear" w:color="auto" w:fill="auto"/>
            <w:noWrap/>
            <w:hideMark/>
          </w:tcPr>
          <w:p w14:paraId="3A63F8D8"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83.3%</w:t>
            </w:r>
          </w:p>
        </w:tc>
      </w:tr>
      <w:tr w:rsidR="00D67135" w:rsidRPr="00A90E7E" w14:paraId="4B25E816" w14:textId="77777777" w:rsidTr="000B63E4">
        <w:trPr>
          <w:trHeight w:val="315"/>
        </w:trPr>
        <w:tc>
          <w:tcPr>
            <w:tcW w:w="1080" w:type="dxa"/>
            <w:shd w:val="clear" w:color="auto" w:fill="auto"/>
            <w:noWrap/>
            <w:hideMark/>
          </w:tcPr>
          <w:p w14:paraId="5F887714" w14:textId="77777777" w:rsidR="00D67135" w:rsidRPr="00A90E7E" w:rsidRDefault="00D67135" w:rsidP="000B63E4">
            <w:pPr>
              <w:rPr>
                <w:rFonts w:ascii="Calibri" w:eastAsia="Times New Roman" w:hAnsi="Calibri" w:cs="Calibri"/>
                <w:color w:val="000000"/>
                <w:sz w:val="20"/>
                <w:szCs w:val="20"/>
              </w:rPr>
            </w:pPr>
            <w:r w:rsidRPr="00A90E7E">
              <w:rPr>
                <w:rFonts w:ascii="Calibri" w:eastAsia="Times New Roman" w:hAnsi="Calibri" w:cs="Calibri"/>
                <w:color w:val="000000"/>
                <w:sz w:val="20"/>
                <w:szCs w:val="20"/>
              </w:rPr>
              <w:t>Moderate</w:t>
            </w:r>
          </w:p>
        </w:tc>
        <w:tc>
          <w:tcPr>
            <w:tcW w:w="1080" w:type="dxa"/>
            <w:shd w:val="clear" w:color="auto" w:fill="auto"/>
            <w:noWrap/>
            <w:hideMark/>
          </w:tcPr>
          <w:p w14:paraId="114D10D0"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1.45</w:t>
            </w:r>
          </w:p>
        </w:tc>
        <w:tc>
          <w:tcPr>
            <w:tcW w:w="1080" w:type="dxa"/>
            <w:shd w:val="clear" w:color="auto" w:fill="auto"/>
            <w:noWrap/>
            <w:hideMark/>
          </w:tcPr>
          <w:p w14:paraId="548AA72B"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6.8</w:t>
            </w:r>
          </w:p>
        </w:tc>
        <w:tc>
          <w:tcPr>
            <w:tcW w:w="720" w:type="dxa"/>
            <w:shd w:val="clear" w:color="auto" w:fill="auto"/>
          </w:tcPr>
          <w:p w14:paraId="663C11E2" w14:textId="77777777" w:rsidR="00D67135" w:rsidRPr="00A90E7E" w:rsidRDefault="00D67135" w:rsidP="000B63E4">
            <w:pPr>
              <w:jc w:val="center"/>
              <w:rPr>
                <w:sz w:val="20"/>
                <w:szCs w:val="20"/>
              </w:rPr>
            </w:pPr>
            <w:r w:rsidRPr="00A90E7E">
              <w:rPr>
                <w:sz w:val="20"/>
                <w:szCs w:val="20"/>
              </w:rPr>
              <w:t>2.1</w:t>
            </w:r>
          </w:p>
        </w:tc>
        <w:tc>
          <w:tcPr>
            <w:tcW w:w="1620" w:type="dxa"/>
            <w:shd w:val="clear" w:color="auto" w:fill="auto"/>
            <w:noWrap/>
            <w:hideMark/>
          </w:tcPr>
          <w:p w14:paraId="2986EF35"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1.97</w:t>
            </w:r>
          </w:p>
        </w:tc>
        <w:tc>
          <w:tcPr>
            <w:tcW w:w="1440" w:type="dxa"/>
            <w:shd w:val="clear" w:color="auto" w:fill="auto"/>
            <w:noWrap/>
            <w:hideMark/>
          </w:tcPr>
          <w:p w14:paraId="38939181"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1.16</w:t>
            </w:r>
          </w:p>
        </w:tc>
        <w:tc>
          <w:tcPr>
            <w:tcW w:w="1260" w:type="dxa"/>
            <w:shd w:val="clear" w:color="auto" w:fill="auto"/>
            <w:noWrap/>
            <w:hideMark/>
          </w:tcPr>
          <w:p w14:paraId="1041E61F"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58.9%</w:t>
            </w:r>
          </w:p>
        </w:tc>
      </w:tr>
      <w:tr w:rsidR="00D67135" w:rsidRPr="00A90E7E" w14:paraId="0A0F3064" w14:textId="77777777" w:rsidTr="000B63E4">
        <w:trPr>
          <w:trHeight w:val="315"/>
        </w:trPr>
        <w:tc>
          <w:tcPr>
            <w:tcW w:w="1080" w:type="dxa"/>
            <w:shd w:val="clear" w:color="auto" w:fill="auto"/>
            <w:noWrap/>
            <w:hideMark/>
          </w:tcPr>
          <w:p w14:paraId="08457002" w14:textId="77777777" w:rsidR="00D67135" w:rsidRPr="00A90E7E" w:rsidRDefault="00D67135" w:rsidP="000B63E4">
            <w:pPr>
              <w:rPr>
                <w:rFonts w:ascii="Calibri" w:eastAsia="Times New Roman" w:hAnsi="Calibri" w:cs="Calibri"/>
                <w:color w:val="000000"/>
                <w:sz w:val="20"/>
                <w:szCs w:val="20"/>
              </w:rPr>
            </w:pPr>
            <w:r w:rsidRPr="00A90E7E">
              <w:rPr>
                <w:rFonts w:ascii="Calibri" w:eastAsia="Times New Roman" w:hAnsi="Calibri" w:cs="Calibri"/>
                <w:color w:val="000000"/>
                <w:sz w:val="20"/>
                <w:szCs w:val="20"/>
              </w:rPr>
              <w:t>Moderate</w:t>
            </w:r>
          </w:p>
        </w:tc>
        <w:tc>
          <w:tcPr>
            <w:tcW w:w="1080" w:type="dxa"/>
            <w:shd w:val="clear" w:color="auto" w:fill="auto"/>
            <w:noWrap/>
            <w:hideMark/>
          </w:tcPr>
          <w:p w14:paraId="6AE6B24C"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1.47</w:t>
            </w:r>
          </w:p>
        </w:tc>
        <w:tc>
          <w:tcPr>
            <w:tcW w:w="1080" w:type="dxa"/>
            <w:shd w:val="clear" w:color="auto" w:fill="auto"/>
            <w:noWrap/>
            <w:hideMark/>
          </w:tcPr>
          <w:p w14:paraId="2F5308F1"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4.0</w:t>
            </w:r>
          </w:p>
        </w:tc>
        <w:tc>
          <w:tcPr>
            <w:tcW w:w="720" w:type="dxa"/>
            <w:shd w:val="clear" w:color="auto" w:fill="auto"/>
          </w:tcPr>
          <w:p w14:paraId="1F8ADECB" w14:textId="77777777" w:rsidR="00D67135" w:rsidRPr="00A90E7E" w:rsidRDefault="00D67135" w:rsidP="000B63E4">
            <w:pPr>
              <w:jc w:val="center"/>
              <w:rPr>
                <w:sz w:val="20"/>
                <w:szCs w:val="20"/>
              </w:rPr>
            </w:pPr>
            <w:r w:rsidRPr="00A90E7E">
              <w:rPr>
                <w:sz w:val="20"/>
                <w:szCs w:val="20"/>
              </w:rPr>
              <w:t>3.4</w:t>
            </w:r>
          </w:p>
        </w:tc>
        <w:tc>
          <w:tcPr>
            <w:tcW w:w="1620" w:type="dxa"/>
            <w:shd w:val="clear" w:color="auto" w:fill="auto"/>
            <w:noWrap/>
            <w:hideMark/>
          </w:tcPr>
          <w:p w14:paraId="2D91D209"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13.35</w:t>
            </w:r>
          </w:p>
        </w:tc>
        <w:tc>
          <w:tcPr>
            <w:tcW w:w="1440" w:type="dxa"/>
            <w:shd w:val="clear" w:color="auto" w:fill="auto"/>
            <w:noWrap/>
            <w:hideMark/>
          </w:tcPr>
          <w:p w14:paraId="4E337743"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10.36</w:t>
            </w:r>
          </w:p>
        </w:tc>
        <w:tc>
          <w:tcPr>
            <w:tcW w:w="1260" w:type="dxa"/>
            <w:shd w:val="clear" w:color="auto" w:fill="auto"/>
            <w:noWrap/>
            <w:hideMark/>
          </w:tcPr>
          <w:p w14:paraId="277336EF"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77.6%</w:t>
            </w:r>
          </w:p>
        </w:tc>
      </w:tr>
      <w:tr w:rsidR="00D67135" w:rsidRPr="00A90E7E" w14:paraId="070AE4A1" w14:textId="77777777" w:rsidTr="000B63E4">
        <w:trPr>
          <w:trHeight w:val="315"/>
        </w:trPr>
        <w:tc>
          <w:tcPr>
            <w:tcW w:w="1080" w:type="dxa"/>
            <w:shd w:val="clear" w:color="auto" w:fill="auto"/>
            <w:noWrap/>
            <w:hideMark/>
          </w:tcPr>
          <w:p w14:paraId="03C01D56" w14:textId="77777777" w:rsidR="00D67135" w:rsidRPr="00A90E7E" w:rsidRDefault="00D67135" w:rsidP="000B63E4">
            <w:pPr>
              <w:rPr>
                <w:rFonts w:ascii="Calibri" w:eastAsia="Times New Roman" w:hAnsi="Calibri" w:cs="Calibri"/>
                <w:color w:val="000000"/>
                <w:sz w:val="20"/>
                <w:szCs w:val="20"/>
              </w:rPr>
            </w:pPr>
            <w:r w:rsidRPr="00A90E7E">
              <w:rPr>
                <w:rFonts w:ascii="Calibri" w:eastAsia="Times New Roman" w:hAnsi="Calibri" w:cs="Calibri"/>
                <w:color w:val="000000"/>
                <w:sz w:val="20"/>
                <w:szCs w:val="20"/>
              </w:rPr>
              <w:t>Moderate</w:t>
            </w:r>
          </w:p>
        </w:tc>
        <w:tc>
          <w:tcPr>
            <w:tcW w:w="1080" w:type="dxa"/>
            <w:shd w:val="clear" w:color="auto" w:fill="auto"/>
            <w:noWrap/>
            <w:hideMark/>
          </w:tcPr>
          <w:p w14:paraId="7C3217C6"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1.52</w:t>
            </w:r>
          </w:p>
        </w:tc>
        <w:tc>
          <w:tcPr>
            <w:tcW w:w="1080" w:type="dxa"/>
            <w:shd w:val="clear" w:color="auto" w:fill="auto"/>
            <w:noWrap/>
            <w:hideMark/>
          </w:tcPr>
          <w:p w14:paraId="28C6F53A"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3.0</w:t>
            </w:r>
          </w:p>
        </w:tc>
        <w:tc>
          <w:tcPr>
            <w:tcW w:w="720" w:type="dxa"/>
            <w:shd w:val="clear" w:color="auto" w:fill="auto"/>
          </w:tcPr>
          <w:p w14:paraId="73BA73EE" w14:textId="77777777" w:rsidR="00D67135" w:rsidRPr="00A90E7E" w:rsidRDefault="00D67135" w:rsidP="000B63E4">
            <w:pPr>
              <w:jc w:val="center"/>
              <w:rPr>
                <w:sz w:val="20"/>
                <w:szCs w:val="20"/>
              </w:rPr>
            </w:pPr>
            <w:r w:rsidRPr="00A90E7E">
              <w:rPr>
                <w:sz w:val="20"/>
                <w:szCs w:val="20"/>
              </w:rPr>
              <w:t>1.8</w:t>
            </w:r>
          </w:p>
        </w:tc>
        <w:tc>
          <w:tcPr>
            <w:tcW w:w="1620" w:type="dxa"/>
            <w:shd w:val="clear" w:color="auto" w:fill="auto"/>
            <w:noWrap/>
            <w:hideMark/>
          </w:tcPr>
          <w:p w14:paraId="52FE64B3"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18.72</w:t>
            </w:r>
          </w:p>
        </w:tc>
        <w:tc>
          <w:tcPr>
            <w:tcW w:w="1440" w:type="dxa"/>
            <w:shd w:val="clear" w:color="auto" w:fill="auto"/>
            <w:noWrap/>
            <w:hideMark/>
          </w:tcPr>
          <w:p w14:paraId="046A0EF5"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15.04</w:t>
            </w:r>
          </w:p>
        </w:tc>
        <w:tc>
          <w:tcPr>
            <w:tcW w:w="1260" w:type="dxa"/>
            <w:shd w:val="clear" w:color="auto" w:fill="auto"/>
            <w:noWrap/>
            <w:hideMark/>
          </w:tcPr>
          <w:p w14:paraId="73CC7E01"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80.3%</w:t>
            </w:r>
          </w:p>
        </w:tc>
      </w:tr>
      <w:tr w:rsidR="00D67135" w:rsidRPr="00A90E7E" w14:paraId="03CBD3DD" w14:textId="77777777" w:rsidTr="000B63E4">
        <w:trPr>
          <w:trHeight w:val="315"/>
        </w:trPr>
        <w:tc>
          <w:tcPr>
            <w:tcW w:w="1080" w:type="dxa"/>
            <w:shd w:val="clear" w:color="auto" w:fill="auto"/>
            <w:noWrap/>
            <w:hideMark/>
          </w:tcPr>
          <w:p w14:paraId="47F19622" w14:textId="77777777" w:rsidR="00D67135" w:rsidRPr="00A90E7E" w:rsidRDefault="00D67135" w:rsidP="000B63E4">
            <w:pPr>
              <w:rPr>
                <w:rFonts w:ascii="Calibri" w:eastAsia="Times New Roman" w:hAnsi="Calibri" w:cs="Calibri"/>
                <w:color w:val="000000"/>
                <w:sz w:val="20"/>
                <w:szCs w:val="20"/>
              </w:rPr>
            </w:pPr>
            <w:r w:rsidRPr="00A90E7E">
              <w:rPr>
                <w:rFonts w:ascii="Calibri" w:eastAsia="Times New Roman" w:hAnsi="Calibri" w:cs="Calibri"/>
                <w:color w:val="000000"/>
                <w:sz w:val="20"/>
                <w:szCs w:val="20"/>
              </w:rPr>
              <w:t>High</w:t>
            </w:r>
          </w:p>
        </w:tc>
        <w:tc>
          <w:tcPr>
            <w:tcW w:w="1080" w:type="dxa"/>
            <w:shd w:val="clear" w:color="auto" w:fill="auto"/>
            <w:noWrap/>
            <w:hideMark/>
          </w:tcPr>
          <w:p w14:paraId="1A195F2F"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2.59</w:t>
            </w:r>
          </w:p>
        </w:tc>
        <w:tc>
          <w:tcPr>
            <w:tcW w:w="1080" w:type="dxa"/>
            <w:shd w:val="clear" w:color="auto" w:fill="auto"/>
            <w:noWrap/>
            <w:hideMark/>
          </w:tcPr>
          <w:p w14:paraId="5A6556D4"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4.5</w:t>
            </w:r>
          </w:p>
        </w:tc>
        <w:tc>
          <w:tcPr>
            <w:tcW w:w="720" w:type="dxa"/>
            <w:shd w:val="clear" w:color="auto" w:fill="auto"/>
          </w:tcPr>
          <w:p w14:paraId="7CC0EB2A" w14:textId="77777777" w:rsidR="00D67135" w:rsidRPr="00A90E7E" w:rsidRDefault="00D67135" w:rsidP="000B63E4">
            <w:pPr>
              <w:jc w:val="center"/>
              <w:rPr>
                <w:sz w:val="20"/>
                <w:szCs w:val="20"/>
              </w:rPr>
            </w:pPr>
            <w:r w:rsidRPr="00A90E7E">
              <w:rPr>
                <w:sz w:val="20"/>
                <w:szCs w:val="20"/>
              </w:rPr>
              <w:t>6.7</w:t>
            </w:r>
          </w:p>
        </w:tc>
        <w:tc>
          <w:tcPr>
            <w:tcW w:w="1620" w:type="dxa"/>
            <w:shd w:val="clear" w:color="auto" w:fill="auto"/>
            <w:noWrap/>
            <w:hideMark/>
          </w:tcPr>
          <w:p w14:paraId="100A9688"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21.02</w:t>
            </w:r>
          </w:p>
        </w:tc>
        <w:tc>
          <w:tcPr>
            <w:tcW w:w="1440" w:type="dxa"/>
            <w:shd w:val="clear" w:color="auto" w:fill="auto"/>
            <w:noWrap/>
            <w:hideMark/>
          </w:tcPr>
          <w:p w14:paraId="013DA505"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15.98</w:t>
            </w:r>
          </w:p>
        </w:tc>
        <w:tc>
          <w:tcPr>
            <w:tcW w:w="1260" w:type="dxa"/>
            <w:shd w:val="clear" w:color="auto" w:fill="auto"/>
            <w:noWrap/>
            <w:hideMark/>
          </w:tcPr>
          <w:p w14:paraId="34F05A7A"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76.0%</w:t>
            </w:r>
          </w:p>
        </w:tc>
      </w:tr>
      <w:tr w:rsidR="00D67135" w:rsidRPr="00A90E7E" w14:paraId="4895809A" w14:textId="77777777" w:rsidTr="000B63E4">
        <w:trPr>
          <w:trHeight w:val="315"/>
        </w:trPr>
        <w:tc>
          <w:tcPr>
            <w:tcW w:w="1080" w:type="dxa"/>
            <w:shd w:val="clear" w:color="auto" w:fill="auto"/>
            <w:noWrap/>
            <w:hideMark/>
          </w:tcPr>
          <w:p w14:paraId="3D8B8696" w14:textId="77777777" w:rsidR="00D67135" w:rsidRPr="00A90E7E" w:rsidRDefault="00D67135" w:rsidP="000B63E4">
            <w:pPr>
              <w:rPr>
                <w:rFonts w:ascii="Calibri" w:eastAsia="Times New Roman" w:hAnsi="Calibri" w:cs="Calibri"/>
                <w:color w:val="000000"/>
                <w:sz w:val="20"/>
                <w:szCs w:val="20"/>
              </w:rPr>
            </w:pPr>
            <w:r w:rsidRPr="00A90E7E">
              <w:rPr>
                <w:rFonts w:ascii="Calibri" w:eastAsia="Times New Roman" w:hAnsi="Calibri" w:cs="Calibri"/>
                <w:color w:val="000000"/>
                <w:sz w:val="20"/>
                <w:szCs w:val="20"/>
              </w:rPr>
              <w:t>High</w:t>
            </w:r>
          </w:p>
        </w:tc>
        <w:tc>
          <w:tcPr>
            <w:tcW w:w="1080" w:type="dxa"/>
            <w:shd w:val="clear" w:color="auto" w:fill="auto"/>
            <w:noWrap/>
            <w:hideMark/>
          </w:tcPr>
          <w:p w14:paraId="2CB6FAA7"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2.64</w:t>
            </w:r>
          </w:p>
        </w:tc>
        <w:tc>
          <w:tcPr>
            <w:tcW w:w="1080" w:type="dxa"/>
            <w:shd w:val="clear" w:color="auto" w:fill="auto"/>
            <w:noWrap/>
            <w:hideMark/>
          </w:tcPr>
          <w:p w14:paraId="02BAA5D9"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10</w:t>
            </w:r>
          </w:p>
        </w:tc>
        <w:tc>
          <w:tcPr>
            <w:tcW w:w="720" w:type="dxa"/>
            <w:shd w:val="clear" w:color="auto" w:fill="auto"/>
          </w:tcPr>
          <w:p w14:paraId="4D792CC1" w14:textId="77777777" w:rsidR="00D67135" w:rsidRPr="00A90E7E" w:rsidRDefault="00D67135" w:rsidP="000B63E4">
            <w:pPr>
              <w:jc w:val="center"/>
              <w:rPr>
                <w:sz w:val="20"/>
                <w:szCs w:val="20"/>
              </w:rPr>
            </w:pPr>
            <w:r w:rsidRPr="00A90E7E">
              <w:rPr>
                <w:sz w:val="20"/>
                <w:szCs w:val="20"/>
              </w:rPr>
              <w:t>4.3</w:t>
            </w:r>
          </w:p>
        </w:tc>
        <w:tc>
          <w:tcPr>
            <w:tcW w:w="1620" w:type="dxa"/>
            <w:shd w:val="clear" w:color="auto" w:fill="auto"/>
            <w:noWrap/>
            <w:hideMark/>
          </w:tcPr>
          <w:p w14:paraId="3CB6C76D"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4.46</w:t>
            </w:r>
          </w:p>
        </w:tc>
        <w:tc>
          <w:tcPr>
            <w:tcW w:w="1440" w:type="dxa"/>
            <w:shd w:val="clear" w:color="auto" w:fill="auto"/>
            <w:noWrap/>
            <w:hideMark/>
          </w:tcPr>
          <w:p w14:paraId="4B0D6CE0"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3.17</w:t>
            </w:r>
          </w:p>
        </w:tc>
        <w:tc>
          <w:tcPr>
            <w:tcW w:w="1260" w:type="dxa"/>
            <w:shd w:val="clear" w:color="auto" w:fill="auto"/>
            <w:noWrap/>
            <w:hideMark/>
          </w:tcPr>
          <w:p w14:paraId="5D16A3C4"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71.1%</w:t>
            </w:r>
          </w:p>
        </w:tc>
      </w:tr>
      <w:tr w:rsidR="00D67135" w:rsidRPr="00A90E7E" w14:paraId="7B94E4A9" w14:textId="77777777" w:rsidTr="000B63E4">
        <w:trPr>
          <w:trHeight w:val="180"/>
        </w:trPr>
        <w:tc>
          <w:tcPr>
            <w:tcW w:w="1080" w:type="dxa"/>
            <w:tcBorders>
              <w:bottom w:val="single" w:sz="4" w:space="0" w:color="auto"/>
            </w:tcBorders>
            <w:shd w:val="clear" w:color="auto" w:fill="auto"/>
            <w:noWrap/>
            <w:hideMark/>
          </w:tcPr>
          <w:p w14:paraId="2A736B17" w14:textId="77777777" w:rsidR="00D67135" w:rsidRPr="00A90E7E" w:rsidRDefault="00D67135" w:rsidP="000B63E4">
            <w:pPr>
              <w:rPr>
                <w:rFonts w:ascii="Calibri" w:eastAsia="Times New Roman" w:hAnsi="Calibri" w:cs="Calibri"/>
                <w:color w:val="000000"/>
                <w:sz w:val="20"/>
                <w:szCs w:val="20"/>
              </w:rPr>
            </w:pPr>
            <w:r w:rsidRPr="00A90E7E">
              <w:rPr>
                <w:rFonts w:ascii="Calibri" w:eastAsia="Times New Roman" w:hAnsi="Calibri" w:cs="Calibri"/>
                <w:color w:val="000000"/>
                <w:sz w:val="20"/>
                <w:szCs w:val="20"/>
              </w:rPr>
              <w:t>Extreme</w:t>
            </w:r>
          </w:p>
        </w:tc>
        <w:tc>
          <w:tcPr>
            <w:tcW w:w="1080" w:type="dxa"/>
            <w:tcBorders>
              <w:bottom w:val="single" w:sz="4" w:space="0" w:color="auto"/>
            </w:tcBorders>
            <w:shd w:val="clear" w:color="auto" w:fill="auto"/>
            <w:noWrap/>
            <w:hideMark/>
          </w:tcPr>
          <w:p w14:paraId="28E00E59"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3.01</w:t>
            </w:r>
          </w:p>
        </w:tc>
        <w:tc>
          <w:tcPr>
            <w:tcW w:w="1080" w:type="dxa"/>
            <w:tcBorders>
              <w:bottom w:val="single" w:sz="4" w:space="0" w:color="auto"/>
            </w:tcBorders>
            <w:shd w:val="clear" w:color="auto" w:fill="auto"/>
            <w:noWrap/>
            <w:hideMark/>
          </w:tcPr>
          <w:p w14:paraId="369340A1"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7.5</w:t>
            </w:r>
          </w:p>
        </w:tc>
        <w:tc>
          <w:tcPr>
            <w:tcW w:w="720" w:type="dxa"/>
            <w:tcBorders>
              <w:bottom w:val="single" w:sz="4" w:space="0" w:color="auto"/>
            </w:tcBorders>
            <w:shd w:val="clear" w:color="auto" w:fill="auto"/>
          </w:tcPr>
          <w:p w14:paraId="4A23213A" w14:textId="77777777" w:rsidR="00D67135" w:rsidRPr="00A90E7E" w:rsidRDefault="00D67135" w:rsidP="000B63E4">
            <w:pPr>
              <w:spacing w:after="160"/>
              <w:jc w:val="center"/>
              <w:rPr>
                <w:rFonts w:ascii="Calibri" w:hAnsi="Calibri" w:cs="Calibri"/>
                <w:color w:val="000000"/>
                <w:sz w:val="20"/>
                <w:szCs w:val="20"/>
              </w:rPr>
            </w:pPr>
            <w:r w:rsidRPr="00A90E7E">
              <w:rPr>
                <w:rFonts w:ascii="Calibri" w:hAnsi="Calibri" w:cs="Calibri"/>
                <w:color w:val="000000"/>
                <w:sz w:val="20"/>
                <w:szCs w:val="20"/>
              </w:rPr>
              <w:t>9.4</w:t>
            </w:r>
          </w:p>
        </w:tc>
        <w:tc>
          <w:tcPr>
            <w:tcW w:w="1620" w:type="dxa"/>
            <w:tcBorders>
              <w:bottom w:val="single" w:sz="4" w:space="0" w:color="auto"/>
            </w:tcBorders>
            <w:shd w:val="clear" w:color="auto" w:fill="auto"/>
            <w:noWrap/>
            <w:hideMark/>
          </w:tcPr>
          <w:p w14:paraId="40BE8583"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5.28</w:t>
            </w:r>
          </w:p>
        </w:tc>
        <w:tc>
          <w:tcPr>
            <w:tcW w:w="1440" w:type="dxa"/>
            <w:tcBorders>
              <w:bottom w:val="single" w:sz="4" w:space="0" w:color="auto"/>
            </w:tcBorders>
            <w:shd w:val="clear" w:color="auto" w:fill="auto"/>
            <w:noWrap/>
            <w:hideMark/>
          </w:tcPr>
          <w:p w14:paraId="6814CB74"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4.18</w:t>
            </w:r>
          </w:p>
        </w:tc>
        <w:tc>
          <w:tcPr>
            <w:tcW w:w="1260" w:type="dxa"/>
            <w:tcBorders>
              <w:bottom w:val="single" w:sz="4" w:space="0" w:color="auto"/>
            </w:tcBorders>
            <w:shd w:val="clear" w:color="auto" w:fill="auto"/>
            <w:noWrap/>
            <w:hideMark/>
          </w:tcPr>
          <w:p w14:paraId="00CE0B51" w14:textId="77777777" w:rsidR="00D67135" w:rsidRPr="00A90E7E" w:rsidRDefault="00D67135" w:rsidP="000B63E4">
            <w:pPr>
              <w:jc w:val="center"/>
              <w:rPr>
                <w:rFonts w:ascii="Calibri" w:eastAsia="Times New Roman" w:hAnsi="Calibri" w:cs="Calibri"/>
                <w:color w:val="000000"/>
                <w:sz w:val="20"/>
                <w:szCs w:val="20"/>
              </w:rPr>
            </w:pPr>
            <w:r w:rsidRPr="00A90E7E">
              <w:rPr>
                <w:rFonts w:ascii="Calibri" w:eastAsia="Times New Roman" w:hAnsi="Calibri" w:cs="Calibri"/>
                <w:color w:val="000000"/>
                <w:sz w:val="20"/>
                <w:szCs w:val="20"/>
              </w:rPr>
              <w:t>79.2%</w:t>
            </w:r>
          </w:p>
        </w:tc>
      </w:tr>
    </w:tbl>
    <w:p w14:paraId="1DA93C23" w14:textId="77777777" w:rsidR="00D67135" w:rsidRDefault="00D67135" w:rsidP="00A90E7E">
      <w:pPr>
        <w:spacing w:line="480" w:lineRule="auto"/>
        <w:jc w:val="both"/>
        <w:rPr>
          <w:rFonts w:cs="Arial"/>
        </w:rPr>
      </w:pPr>
    </w:p>
    <w:p w14:paraId="2F8BB15B" w14:textId="2002920A" w:rsidR="00A90E7E" w:rsidRPr="00A90E7E" w:rsidRDefault="00A90E7E" w:rsidP="00A90E7E">
      <w:pPr>
        <w:spacing w:line="480" w:lineRule="auto"/>
        <w:jc w:val="both"/>
        <w:rPr>
          <w:rFonts w:cs="Arial"/>
        </w:rPr>
      </w:pPr>
      <w:r w:rsidRPr="00A90E7E">
        <w:rPr>
          <w:rFonts w:cs="Arial"/>
        </w:rPr>
        <w:lastRenderedPageBreak/>
        <w:t>baseline value for all four storm intensities. The average mass of iron transported out of Cell 1 is 11.2 kg/storm (</w:t>
      </w:r>
      <w:r w:rsidRPr="00A90E7E">
        <w:rPr>
          <w:rFonts w:cstheme="minorHAnsi"/>
        </w:rPr>
        <w:t>σ</w:t>
      </w:r>
      <w:r w:rsidRPr="00A90E7E">
        <w:rPr>
          <w:rFonts w:cs="Arial"/>
        </w:rPr>
        <w:t xml:space="preserve">=7.4) for all storms sampled, of which 75.4% of the </w:t>
      </w:r>
      <w:r w:rsidR="009878C4">
        <w:rPr>
          <w:rFonts w:cs="Arial"/>
        </w:rPr>
        <w:t>exported</w:t>
      </w:r>
      <w:r w:rsidRPr="00A90E7E">
        <w:rPr>
          <w:rFonts w:cs="Arial"/>
        </w:rPr>
        <w:t xml:space="preserve"> iron</w:t>
      </w:r>
      <w:r w:rsidR="009878C4">
        <w:rPr>
          <w:rFonts w:cs="Arial"/>
        </w:rPr>
        <w:t xml:space="preserve"> during the storm event </w:t>
      </w:r>
      <w:r w:rsidRPr="00A90E7E">
        <w:rPr>
          <w:rFonts w:cs="Arial"/>
        </w:rPr>
        <w:t xml:space="preserve">is due to storm disturbance (8.69 kg/storm; </w:t>
      </w:r>
      <w:r w:rsidRPr="00A90E7E">
        <w:rPr>
          <w:rFonts w:cstheme="minorHAnsi"/>
        </w:rPr>
        <w:t>σ</w:t>
      </w:r>
      <w:r w:rsidRPr="00A90E7E">
        <w:rPr>
          <w:rFonts w:cs="Arial"/>
        </w:rPr>
        <w:t xml:space="preserve"> = 5.76). </w:t>
      </w:r>
    </w:p>
    <w:p w14:paraId="1D1FB5AB" w14:textId="77777777" w:rsidR="00A90E7E" w:rsidRPr="00A90E7E" w:rsidRDefault="00A90E7E" w:rsidP="00A90E7E">
      <w:pPr>
        <w:spacing w:line="480" w:lineRule="auto"/>
        <w:jc w:val="both"/>
        <w:rPr>
          <w:rFonts w:cs="Arial"/>
        </w:rPr>
      </w:pPr>
      <w:r w:rsidRPr="00A90E7E">
        <w:rPr>
          <w:rFonts w:cs="Arial"/>
        </w:rPr>
        <w:t>Figure 3.8 is a comparison of the average iron transport profiles at each rainfall intensity category. Both the rainfall intensity and the iron concentration were averaged and plotted over time based on the number of storms sampled within each category. As only one extreme storm classification (intensity exceeding 3.00 cm/</w:t>
      </w:r>
      <w:proofErr w:type="spellStart"/>
      <w:r w:rsidRPr="00A90E7E">
        <w:rPr>
          <w:rFonts w:cs="Arial"/>
        </w:rPr>
        <w:t>hr</w:t>
      </w:r>
      <w:proofErr w:type="spellEnd"/>
      <w:r w:rsidRPr="00A90E7E">
        <w:rPr>
          <w:rFonts w:cs="Arial"/>
        </w:rPr>
        <w:t xml:space="preserve">) was recorded for each location, this plot does not represent an average value but rather a single event. The distinguishing features of the average low and moderate intensity profiles are that two iron transport events are observed (at 6-8hrs, and 18-21 </w:t>
      </w:r>
      <w:proofErr w:type="spellStart"/>
      <w:r w:rsidRPr="00A90E7E">
        <w:rPr>
          <w:rFonts w:cs="Arial"/>
        </w:rPr>
        <w:t>hrs</w:t>
      </w:r>
      <w:proofErr w:type="spellEnd"/>
      <w:r w:rsidRPr="00A90E7E">
        <w:rPr>
          <w:rFonts w:cs="Arial"/>
        </w:rPr>
        <w:t xml:space="preserve"> respectively). The high and extreme intensity storm profiles have iron transport peaks during the storm event, and show signs of dilution effects over time, as iron concentrations trend towards a minimum at 19 hours before rebounding back to a stable baseline. Due to the extreme storm occurring in the middle of the 30-hour sampling window triggered by a low intensity storm (0.66 cm/</w:t>
      </w:r>
      <w:proofErr w:type="spellStart"/>
      <w:r w:rsidRPr="00A90E7E">
        <w:rPr>
          <w:rFonts w:cs="Arial"/>
        </w:rPr>
        <w:t>hr</w:t>
      </w:r>
      <w:proofErr w:type="spellEnd"/>
      <w:r w:rsidRPr="00A90E7E">
        <w:rPr>
          <w:rFonts w:cs="Arial"/>
        </w:rPr>
        <w:t xml:space="preserve">), sampling terminates before an additional 19 hours of samples could be collected as is required to fully describe dilution and transport events visually. </w:t>
      </w:r>
    </w:p>
    <w:p w14:paraId="17B5764D" w14:textId="77777777" w:rsidR="00584DDE" w:rsidRDefault="00A90E7E" w:rsidP="00A90E7E">
      <w:pPr>
        <w:spacing w:line="480" w:lineRule="auto"/>
        <w:rPr>
          <w:rFonts w:asciiTheme="majorHAnsi" w:eastAsiaTheme="majorEastAsia" w:hAnsiTheme="majorHAnsi" w:cstheme="majorBidi"/>
          <w:i/>
          <w:iCs/>
        </w:rPr>
      </w:pPr>
      <w:r w:rsidRPr="00A90E7E">
        <w:rPr>
          <w:noProof/>
        </w:rPr>
        <w:lastRenderedPageBreak/>
        <w:drawing>
          <wp:inline distT="0" distB="0" distL="0" distR="0" wp14:anchorId="3F9C6A8D" wp14:editId="6EB07CC2">
            <wp:extent cx="8260616" cy="5484862"/>
            <wp:effectExtent l="0" t="2858" r="4763" b="4762"/>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0660" t="24392" r="18229" b="11074"/>
                    <a:stretch/>
                  </pic:blipFill>
                  <pic:spPr bwMode="auto">
                    <a:xfrm rot="16200000">
                      <a:off x="0" y="0"/>
                      <a:ext cx="8310403" cy="5517919"/>
                    </a:xfrm>
                    <a:prstGeom prst="rect">
                      <a:avLst/>
                    </a:prstGeom>
                    <a:ln>
                      <a:noFill/>
                    </a:ln>
                    <a:extLst>
                      <a:ext uri="{53640926-AAD7-44D8-BBD7-CCE9431645EC}">
                        <a14:shadowObscured xmlns:a14="http://schemas.microsoft.com/office/drawing/2010/main"/>
                      </a:ext>
                    </a:extLst>
                  </pic:spPr>
                </pic:pic>
              </a:graphicData>
            </a:graphic>
          </wp:inline>
        </w:drawing>
      </w:r>
    </w:p>
    <w:p w14:paraId="5A46345C" w14:textId="77777777" w:rsidR="00584DDE" w:rsidRDefault="00584DDE" w:rsidP="00584DDE">
      <w:pPr>
        <w:pStyle w:val="Heading4"/>
        <w:jc w:val="both"/>
      </w:pPr>
      <w:r>
        <w:lastRenderedPageBreak/>
        <w:t xml:space="preserve">Cell 1: Average Storm-Induced Iron Transport Over Time </w:t>
      </w:r>
    </w:p>
    <w:p w14:paraId="52538D2E" w14:textId="77777777" w:rsidR="00584DDE" w:rsidRPr="00B64BB8" w:rsidRDefault="00584DDE" w:rsidP="00584DDE">
      <w:pPr>
        <w:jc w:val="both"/>
      </w:pPr>
    </w:p>
    <w:p w14:paraId="361E07A4" w14:textId="39D43146" w:rsidR="00584DDE" w:rsidRDefault="00584DDE" w:rsidP="00584DDE">
      <w:pPr>
        <w:spacing w:line="480" w:lineRule="auto"/>
        <w:jc w:val="both"/>
        <w:rPr>
          <w:rFonts w:cs="Arial"/>
        </w:rPr>
      </w:pPr>
      <w:r>
        <w:rPr>
          <w:rFonts w:cs="Arial"/>
        </w:rPr>
        <w:t>Eleven storm-induced iron transport profiles were collected at the effluent of the preliminary oxidation cell (C1Out) and were classified based on their rainfall intensity. An average iron mass transport was determined for each classification (Table 3</w:t>
      </w:r>
      <w:r w:rsidR="00EB5EA7">
        <w:rPr>
          <w:rFonts w:cs="Arial"/>
        </w:rPr>
        <w:t>.4</w:t>
      </w:r>
      <w:r>
        <w:rPr>
          <w:rFonts w:cs="Arial"/>
        </w:rPr>
        <w:t xml:space="preserve">). </w:t>
      </w:r>
    </w:p>
    <w:p w14:paraId="3917F9FE" w14:textId="5BE57630" w:rsidR="00584DDE" w:rsidRDefault="00584DDE" w:rsidP="00584DDE">
      <w:pPr>
        <w:spacing w:line="240" w:lineRule="auto"/>
        <w:jc w:val="both"/>
        <w:rPr>
          <w:rFonts w:cs="Arial"/>
        </w:rPr>
      </w:pPr>
      <w:r>
        <w:rPr>
          <w:rFonts w:cs="Arial"/>
        </w:rPr>
        <w:t>Table 3</w:t>
      </w:r>
      <w:r w:rsidR="00EB5EA7">
        <w:rPr>
          <w:rFonts w:cs="Arial"/>
        </w:rPr>
        <w:t>.4</w:t>
      </w:r>
      <w:r>
        <w:rPr>
          <w:rFonts w:cs="Arial"/>
        </w:rPr>
        <w:t>: Average Iron Mass Transport Based on Storm Intensity Classifications for Cell 1</w:t>
      </w:r>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1260"/>
        <w:gridCol w:w="1080"/>
        <w:gridCol w:w="1440"/>
        <w:gridCol w:w="1080"/>
        <w:gridCol w:w="1080"/>
        <w:gridCol w:w="1260"/>
      </w:tblGrid>
      <w:tr w:rsidR="00584DDE" w:rsidRPr="005705F1" w14:paraId="618A2178" w14:textId="77777777" w:rsidTr="000B63E4">
        <w:trPr>
          <w:trHeight w:val="610"/>
        </w:trPr>
        <w:tc>
          <w:tcPr>
            <w:tcW w:w="1080" w:type="dxa"/>
            <w:tcBorders>
              <w:top w:val="single" w:sz="4" w:space="0" w:color="auto"/>
              <w:bottom w:val="double" w:sz="4" w:space="0" w:color="auto"/>
            </w:tcBorders>
            <w:vAlign w:val="center"/>
            <w:hideMark/>
          </w:tcPr>
          <w:p w14:paraId="67DE4FD3" w14:textId="77777777" w:rsidR="00584DDE" w:rsidRPr="005705F1" w:rsidRDefault="00584DDE" w:rsidP="000B63E4">
            <w:pPr>
              <w:jc w:val="both"/>
              <w:rPr>
                <w:rFonts w:ascii="Calibri" w:hAnsi="Calibri" w:cs="Calibri"/>
                <w:color w:val="000000"/>
                <w:sz w:val="20"/>
                <w:szCs w:val="20"/>
              </w:rPr>
            </w:pPr>
            <w:r w:rsidRPr="005705F1">
              <w:rPr>
                <w:rFonts w:ascii="Calibri" w:hAnsi="Calibri" w:cs="Calibri"/>
                <w:color w:val="000000"/>
                <w:sz w:val="20"/>
                <w:szCs w:val="20"/>
              </w:rPr>
              <w:t>Intensity</w:t>
            </w:r>
          </w:p>
        </w:tc>
        <w:tc>
          <w:tcPr>
            <w:tcW w:w="1260" w:type="dxa"/>
            <w:tcBorders>
              <w:top w:val="single" w:sz="4" w:space="0" w:color="auto"/>
              <w:bottom w:val="double" w:sz="4" w:space="0" w:color="auto"/>
            </w:tcBorders>
            <w:vAlign w:val="center"/>
            <w:hideMark/>
          </w:tcPr>
          <w:p w14:paraId="56A94797" w14:textId="77777777" w:rsidR="00584DDE" w:rsidRPr="005705F1" w:rsidRDefault="00584DDE" w:rsidP="00EB5EA7">
            <w:pPr>
              <w:jc w:val="center"/>
              <w:rPr>
                <w:rFonts w:ascii="Calibri" w:hAnsi="Calibri" w:cs="Calibri"/>
                <w:color w:val="000000"/>
                <w:sz w:val="20"/>
                <w:szCs w:val="20"/>
              </w:rPr>
            </w:pPr>
            <w:r w:rsidRPr="005705F1">
              <w:rPr>
                <w:rFonts w:ascii="Calibri" w:hAnsi="Calibri" w:cs="Calibri"/>
                <w:color w:val="000000"/>
                <w:sz w:val="20"/>
                <w:szCs w:val="20"/>
              </w:rPr>
              <w:t>Average Intensity ±σ (cm/</w:t>
            </w:r>
            <w:proofErr w:type="spellStart"/>
            <w:r w:rsidRPr="005705F1">
              <w:rPr>
                <w:rFonts w:ascii="Calibri" w:hAnsi="Calibri" w:cs="Calibri"/>
                <w:color w:val="000000"/>
                <w:sz w:val="20"/>
                <w:szCs w:val="20"/>
              </w:rPr>
              <w:t>hr</w:t>
            </w:r>
            <w:proofErr w:type="spellEnd"/>
            <w:r w:rsidRPr="005705F1">
              <w:rPr>
                <w:rFonts w:ascii="Calibri" w:hAnsi="Calibri" w:cs="Calibri"/>
                <w:color w:val="000000"/>
                <w:sz w:val="20"/>
                <w:szCs w:val="20"/>
              </w:rPr>
              <w:t>)</w:t>
            </w:r>
          </w:p>
        </w:tc>
        <w:tc>
          <w:tcPr>
            <w:tcW w:w="1080" w:type="dxa"/>
            <w:tcBorders>
              <w:top w:val="single" w:sz="4" w:space="0" w:color="auto"/>
              <w:bottom w:val="double" w:sz="4" w:space="0" w:color="auto"/>
            </w:tcBorders>
            <w:vAlign w:val="center"/>
            <w:hideMark/>
          </w:tcPr>
          <w:p w14:paraId="372C41F3" w14:textId="77777777" w:rsidR="00584DDE" w:rsidRPr="005705F1" w:rsidRDefault="00584DDE" w:rsidP="00EB5EA7">
            <w:pPr>
              <w:jc w:val="center"/>
              <w:rPr>
                <w:rFonts w:ascii="Calibri" w:hAnsi="Calibri" w:cs="Calibri"/>
                <w:color w:val="000000"/>
                <w:sz w:val="20"/>
                <w:szCs w:val="20"/>
              </w:rPr>
            </w:pPr>
            <w:r w:rsidRPr="005705F1">
              <w:rPr>
                <w:rFonts w:ascii="Calibri" w:hAnsi="Calibri" w:cs="Calibri"/>
                <w:color w:val="000000"/>
                <w:sz w:val="20"/>
                <w:szCs w:val="20"/>
              </w:rPr>
              <w:t>Average Duration ±σ (</w:t>
            </w:r>
            <w:proofErr w:type="spellStart"/>
            <w:r w:rsidRPr="005705F1">
              <w:rPr>
                <w:rFonts w:ascii="Calibri" w:hAnsi="Calibri" w:cs="Calibri"/>
                <w:color w:val="000000"/>
                <w:sz w:val="20"/>
                <w:szCs w:val="20"/>
              </w:rPr>
              <w:t>hrs</w:t>
            </w:r>
            <w:proofErr w:type="spellEnd"/>
            <w:r w:rsidRPr="005705F1">
              <w:rPr>
                <w:rFonts w:ascii="Calibri" w:hAnsi="Calibri" w:cs="Calibri"/>
                <w:color w:val="000000"/>
                <w:sz w:val="20"/>
                <w:szCs w:val="20"/>
              </w:rPr>
              <w:t>)</w:t>
            </w:r>
          </w:p>
        </w:tc>
        <w:tc>
          <w:tcPr>
            <w:tcW w:w="1440" w:type="dxa"/>
            <w:tcBorders>
              <w:top w:val="single" w:sz="4" w:space="0" w:color="auto"/>
              <w:bottom w:val="double" w:sz="4" w:space="0" w:color="auto"/>
            </w:tcBorders>
            <w:vAlign w:val="center"/>
          </w:tcPr>
          <w:p w14:paraId="37EAD5CE" w14:textId="77777777" w:rsidR="00584DDE" w:rsidRPr="005705F1" w:rsidRDefault="00584DDE" w:rsidP="00EB5EA7">
            <w:pPr>
              <w:jc w:val="center"/>
              <w:rPr>
                <w:rFonts w:ascii="Calibri" w:hAnsi="Calibri" w:cs="Calibri"/>
                <w:color w:val="000000"/>
                <w:sz w:val="20"/>
                <w:szCs w:val="20"/>
              </w:rPr>
            </w:pPr>
            <w:r w:rsidRPr="005705F1">
              <w:rPr>
                <w:rFonts w:ascii="Calibri" w:hAnsi="Calibri" w:cs="Calibri"/>
                <w:color w:val="000000"/>
                <w:sz w:val="20"/>
                <w:szCs w:val="20"/>
              </w:rPr>
              <w:t>Average Yield ±σ (cm)</w:t>
            </w:r>
          </w:p>
        </w:tc>
        <w:tc>
          <w:tcPr>
            <w:tcW w:w="1080" w:type="dxa"/>
            <w:tcBorders>
              <w:top w:val="single" w:sz="4" w:space="0" w:color="auto"/>
              <w:bottom w:val="double" w:sz="4" w:space="0" w:color="auto"/>
            </w:tcBorders>
            <w:vAlign w:val="center"/>
            <w:hideMark/>
          </w:tcPr>
          <w:p w14:paraId="47190119" w14:textId="77777777" w:rsidR="00584DDE" w:rsidRPr="005705F1" w:rsidRDefault="00584DDE" w:rsidP="00EB5EA7">
            <w:pPr>
              <w:jc w:val="center"/>
              <w:rPr>
                <w:rFonts w:ascii="Calibri" w:hAnsi="Calibri" w:cs="Calibri"/>
                <w:color w:val="000000"/>
                <w:sz w:val="20"/>
                <w:szCs w:val="20"/>
              </w:rPr>
            </w:pPr>
            <w:r w:rsidRPr="005705F1">
              <w:rPr>
                <w:rFonts w:ascii="Calibri" w:hAnsi="Calibri" w:cs="Calibri"/>
                <w:color w:val="000000"/>
                <w:sz w:val="20"/>
                <w:szCs w:val="20"/>
              </w:rPr>
              <w:t>Gross Fe Transport ±σ (kg)</w:t>
            </w:r>
          </w:p>
        </w:tc>
        <w:tc>
          <w:tcPr>
            <w:tcW w:w="1080" w:type="dxa"/>
            <w:tcBorders>
              <w:top w:val="single" w:sz="4" w:space="0" w:color="auto"/>
              <w:bottom w:val="double" w:sz="4" w:space="0" w:color="auto"/>
            </w:tcBorders>
            <w:vAlign w:val="center"/>
            <w:hideMark/>
          </w:tcPr>
          <w:p w14:paraId="254BFDF1" w14:textId="77777777" w:rsidR="00584DDE" w:rsidRPr="005705F1" w:rsidRDefault="00584DDE" w:rsidP="00EB5EA7">
            <w:pPr>
              <w:jc w:val="center"/>
              <w:rPr>
                <w:rFonts w:ascii="Calibri" w:hAnsi="Calibri" w:cs="Calibri"/>
                <w:color w:val="000000"/>
                <w:sz w:val="20"/>
                <w:szCs w:val="20"/>
              </w:rPr>
            </w:pPr>
            <w:r w:rsidRPr="005705F1">
              <w:rPr>
                <w:rFonts w:ascii="Calibri" w:hAnsi="Calibri" w:cs="Calibri"/>
                <w:color w:val="000000"/>
                <w:sz w:val="20"/>
                <w:szCs w:val="20"/>
              </w:rPr>
              <w:t>Net Fe Transport (kg)</w:t>
            </w:r>
          </w:p>
        </w:tc>
        <w:tc>
          <w:tcPr>
            <w:tcW w:w="1260" w:type="dxa"/>
            <w:tcBorders>
              <w:top w:val="single" w:sz="4" w:space="0" w:color="auto"/>
              <w:bottom w:val="double" w:sz="4" w:space="0" w:color="auto"/>
            </w:tcBorders>
            <w:vAlign w:val="center"/>
            <w:hideMark/>
          </w:tcPr>
          <w:p w14:paraId="6F59C291" w14:textId="13CDB6A4" w:rsidR="00584DDE" w:rsidRPr="005705F1" w:rsidRDefault="00EB4E49" w:rsidP="00EB4E49">
            <w:pPr>
              <w:jc w:val="center"/>
              <w:rPr>
                <w:rFonts w:ascii="Calibri" w:hAnsi="Calibri" w:cs="Calibri"/>
                <w:color w:val="000000"/>
                <w:sz w:val="20"/>
                <w:szCs w:val="20"/>
              </w:rPr>
            </w:pPr>
            <w:r>
              <w:rPr>
                <w:rFonts w:ascii="Calibri" w:hAnsi="Calibri" w:cs="Calibri"/>
                <w:color w:val="000000"/>
                <w:sz w:val="20"/>
                <w:szCs w:val="20"/>
              </w:rPr>
              <w:t>% of Total Export</w:t>
            </w:r>
          </w:p>
        </w:tc>
      </w:tr>
      <w:tr w:rsidR="00584DDE" w:rsidRPr="005705F1" w14:paraId="1C443C99" w14:textId="77777777" w:rsidTr="000B63E4">
        <w:trPr>
          <w:trHeight w:val="315"/>
        </w:trPr>
        <w:tc>
          <w:tcPr>
            <w:tcW w:w="1080" w:type="dxa"/>
            <w:noWrap/>
            <w:vAlign w:val="center"/>
            <w:hideMark/>
          </w:tcPr>
          <w:p w14:paraId="0B32EEE9" w14:textId="77777777" w:rsidR="00584DDE" w:rsidRPr="007A2062" w:rsidRDefault="00584DDE" w:rsidP="000B63E4">
            <w:pPr>
              <w:jc w:val="both"/>
              <w:rPr>
                <w:rFonts w:ascii="Calibri" w:hAnsi="Calibri" w:cs="Calibri"/>
                <w:color w:val="000000"/>
                <w:sz w:val="18"/>
                <w:szCs w:val="20"/>
              </w:rPr>
            </w:pPr>
            <w:r w:rsidRPr="007A2062">
              <w:rPr>
                <w:rFonts w:ascii="Calibri" w:hAnsi="Calibri" w:cs="Calibri"/>
                <w:color w:val="000000"/>
                <w:sz w:val="18"/>
                <w:szCs w:val="20"/>
              </w:rPr>
              <w:t xml:space="preserve">Low </w:t>
            </w:r>
            <w:r w:rsidRPr="007A2062">
              <w:rPr>
                <w:rFonts w:ascii="Calibri" w:hAnsi="Calibri" w:cs="Calibri"/>
                <w:color w:val="000000"/>
                <w:sz w:val="18"/>
                <w:szCs w:val="20"/>
              </w:rPr>
              <w:br/>
              <w:t xml:space="preserve">   (n = 4)</w:t>
            </w:r>
          </w:p>
        </w:tc>
        <w:tc>
          <w:tcPr>
            <w:tcW w:w="1260" w:type="dxa"/>
            <w:noWrap/>
            <w:vAlign w:val="center"/>
          </w:tcPr>
          <w:p w14:paraId="3C040CDA"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0.446 ± 0.240</w:t>
            </w:r>
          </w:p>
        </w:tc>
        <w:tc>
          <w:tcPr>
            <w:tcW w:w="1080" w:type="dxa"/>
            <w:noWrap/>
            <w:vAlign w:val="center"/>
          </w:tcPr>
          <w:p w14:paraId="026DE77B"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2.06 ± 0.99</w:t>
            </w:r>
          </w:p>
        </w:tc>
        <w:tc>
          <w:tcPr>
            <w:tcW w:w="1440" w:type="dxa"/>
            <w:vAlign w:val="center"/>
          </w:tcPr>
          <w:p w14:paraId="4D561CD2" w14:textId="77777777" w:rsidR="00584DDE" w:rsidRPr="007A2062" w:rsidRDefault="00584DDE" w:rsidP="00EB5EA7">
            <w:pPr>
              <w:jc w:val="center"/>
              <w:rPr>
                <w:sz w:val="18"/>
                <w:szCs w:val="20"/>
              </w:rPr>
            </w:pPr>
            <w:r w:rsidRPr="007A2062">
              <w:rPr>
                <w:rFonts w:ascii="Calibri" w:hAnsi="Calibri" w:cs="Calibri"/>
                <w:color w:val="000000"/>
                <w:sz w:val="18"/>
                <w:szCs w:val="20"/>
              </w:rPr>
              <w:t>0.604 ±0.354</w:t>
            </w:r>
          </w:p>
        </w:tc>
        <w:tc>
          <w:tcPr>
            <w:tcW w:w="1080" w:type="dxa"/>
            <w:noWrap/>
            <w:vAlign w:val="center"/>
          </w:tcPr>
          <w:p w14:paraId="7B9C7489"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11.9 ±8.6</w:t>
            </w:r>
          </w:p>
        </w:tc>
        <w:tc>
          <w:tcPr>
            <w:tcW w:w="1080" w:type="dxa"/>
            <w:noWrap/>
            <w:vAlign w:val="center"/>
          </w:tcPr>
          <w:p w14:paraId="3C2FB138"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9.23 ±6.5</w:t>
            </w:r>
          </w:p>
        </w:tc>
        <w:tc>
          <w:tcPr>
            <w:tcW w:w="1260" w:type="dxa"/>
            <w:noWrap/>
            <w:vAlign w:val="center"/>
          </w:tcPr>
          <w:p w14:paraId="0CAE7828"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77.5%</w:t>
            </w:r>
          </w:p>
        </w:tc>
      </w:tr>
      <w:tr w:rsidR="00584DDE" w:rsidRPr="005705F1" w14:paraId="620713D9" w14:textId="77777777" w:rsidTr="000B63E4">
        <w:trPr>
          <w:trHeight w:val="315"/>
        </w:trPr>
        <w:tc>
          <w:tcPr>
            <w:tcW w:w="1080" w:type="dxa"/>
            <w:noWrap/>
            <w:vAlign w:val="center"/>
            <w:hideMark/>
          </w:tcPr>
          <w:p w14:paraId="00D5778D" w14:textId="77777777" w:rsidR="00584DDE" w:rsidRPr="007A2062" w:rsidRDefault="00584DDE" w:rsidP="000B63E4">
            <w:pPr>
              <w:jc w:val="both"/>
              <w:rPr>
                <w:rFonts w:ascii="Calibri" w:hAnsi="Calibri" w:cs="Calibri"/>
                <w:color w:val="000000"/>
                <w:sz w:val="18"/>
                <w:szCs w:val="20"/>
              </w:rPr>
            </w:pPr>
            <w:r w:rsidRPr="007A2062">
              <w:rPr>
                <w:rFonts w:ascii="Calibri" w:hAnsi="Calibri" w:cs="Calibri"/>
                <w:color w:val="000000"/>
                <w:sz w:val="18"/>
                <w:szCs w:val="20"/>
              </w:rPr>
              <w:t>Moderate</w:t>
            </w:r>
            <w:r w:rsidRPr="007A2062">
              <w:rPr>
                <w:rFonts w:ascii="Calibri" w:hAnsi="Calibri" w:cs="Calibri"/>
                <w:color w:val="000000"/>
                <w:sz w:val="18"/>
                <w:szCs w:val="20"/>
              </w:rPr>
              <w:br/>
              <w:t xml:space="preserve">   (n = 5)</w:t>
            </w:r>
          </w:p>
        </w:tc>
        <w:tc>
          <w:tcPr>
            <w:tcW w:w="1260" w:type="dxa"/>
            <w:noWrap/>
            <w:vAlign w:val="center"/>
          </w:tcPr>
          <w:p w14:paraId="18581805"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1.32 ± 0.23</w:t>
            </w:r>
          </w:p>
        </w:tc>
        <w:tc>
          <w:tcPr>
            <w:tcW w:w="1080" w:type="dxa"/>
            <w:noWrap/>
            <w:vAlign w:val="center"/>
          </w:tcPr>
          <w:p w14:paraId="069E2959"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4.35 ± 2.26</w:t>
            </w:r>
          </w:p>
        </w:tc>
        <w:tc>
          <w:tcPr>
            <w:tcW w:w="1440" w:type="dxa"/>
            <w:vAlign w:val="center"/>
          </w:tcPr>
          <w:p w14:paraId="7CA4FCC7" w14:textId="77777777" w:rsidR="00584DDE" w:rsidRPr="007A2062" w:rsidRDefault="00584DDE" w:rsidP="00EB5EA7">
            <w:pPr>
              <w:jc w:val="center"/>
              <w:rPr>
                <w:sz w:val="18"/>
                <w:szCs w:val="20"/>
              </w:rPr>
            </w:pPr>
            <w:r w:rsidRPr="007A2062">
              <w:rPr>
                <w:rFonts w:ascii="Calibri" w:hAnsi="Calibri" w:cs="Calibri"/>
                <w:color w:val="000000"/>
                <w:sz w:val="18"/>
                <w:szCs w:val="20"/>
              </w:rPr>
              <w:t>2.99 ±1.03</w:t>
            </w:r>
          </w:p>
        </w:tc>
        <w:tc>
          <w:tcPr>
            <w:tcW w:w="1080" w:type="dxa"/>
            <w:noWrap/>
            <w:vAlign w:val="center"/>
          </w:tcPr>
          <w:p w14:paraId="608264C0"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13.1 ±7.5</w:t>
            </w:r>
          </w:p>
        </w:tc>
        <w:tc>
          <w:tcPr>
            <w:tcW w:w="1080" w:type="dxa"/>
            <w:noWrap/>
            <w:vAlign w:val="center"/>
          </w:tcPr>
          <w:p w14:paraId="05600520"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10.3 ±5.9</w:t>
            </w:r>
          </w:p>
        </w:tc>
        <w:tc>
          <w:tcPr>
            <w:tcW w:w="1260" w:type="dxa"/>
            <w:noWrap/>
            <w:vAlign w:val="center"/>
          </w:tcPr>
          <w:p w14:paraId="4FB15B44"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78.2%</w:t>
            </w:r>
          </w:p>
        </w:tc>
      </w:tr>
      <w:tr w:rsidR="00584DDE" w:rsidRPr="005705F1" w14:paraId="0CD0C415" w14:textId="77777777" w:rsidTr="000B63E4">
        <w:trPr>
          <w:trHeight w:val="315"/>
        </w:trPr>
        <w:tc>
          <w:tcPr>
            <w:tcW w:w="1080" w:type="dxa"/>
            <w:noWrap/>
            <w:vAlign w:val="center"/>
            <w:hideMark/>
          </w:tcPr>
          <w:p w14:paraId="449144FF" w14:textId="77777777" w:rsidR="00584DDE" w:rsidRPr="007A2062" w:rsidRDefault="00584DDE" w:rsidP="000B63E4">
            <w:pPr>
              <w:jc w:val="both"/>
              <w:rPr>
                <w:rFonts w:ascii="Calibri" w:hAnsi="Calibri" w:cs="Calibri"/>
                <w:color w:val="000000"/>
                <w:sz w:val="18"/>
                <w:szCs w:val="20"/>
              </w:rPr>
            </w:pPr>
            <w:r w:rsidRPr="007A2062">
              <w:rPr>
                <w:rFonts w:ascii="Calibri" w:hAnsi="Calibri" w:cs="Calibri"/>
                <w:color w:val="000000"/>
                <w:sz w:val="18"/>
                <w:szCs w:val="20"/>
              </w:rPr>
              <w:t xml:space="preserve">High </w:t>
            </w:r>
            <w:r w:rsidRPr="007A2062">
              <w:rPr>
                <w:rFonts w:ascii="Calibri" w:hAnsi="Calibri" w:cs="Calibri"/>
                <w:color w:val="000000"/>
                <w:sz w:val="18"/>
                <w:szCs w:val="20"/>
              </w:rPr>
              <w:br/>
              <w:t xml:space="preserve">   (n = 1)</w:t>
            </w:r>
          </w:p>
        </w:tc>
        <w:tc>
          <w:tcPr>
            <w:tcW w:w="1260" w:type="dxa"/>
            <w:noWrap/>
            <w:vAlign w:val="center"/>
          </w:tcPr>
          <w:p w14:paraId="1410CA53"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2.64</w:t>
            </w:r>
          </w:p>
        </w:tc>
        <w:tc>
          <w:tcPr>
            <w:tcW w:w="1080" w:type="dxa"/>
            <w:noWrap/>
            <w:vAlign w:val="center"/>
          </w:tcPr>
          <w:p w14:paraId="632E83E7"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10.0</w:t>
            </w:r>
          </w:p>
        </w:tc>
        <w:tc>
          <w:tcPr>
            <w:tcW w:w="1440" w:type="dxa"/>
            <w:vAlign w:val="center"/>
          </w:tcPr>
          <w:p w14:paraId="0A872623" w14:textId="77777777" w:rsidR="00584DDE" w:rsidRPr="007A2062" w:rsidRDefault="00584DDE" w:rsidP="00EB5EA7">
            <w:pPr>
              <w:spacing w:after="160"/>
              <w:jc w:val="center"/>
              <w:rPr>
                <w:rFonts w:ascii="Calibri" w:hAnsi="Calibri" w:cs="Calibri"/>
                <w:color w:val="000000"/>
                <w:sz w:val="18"/>
                <w:szCs w:val="20"/>
              </w:rPr>
            </w:pPr>
            <w:r w:rsidRPr="007A2062">
              <w:rPr>
                <w:rFonts w:ascii="Calibri" w:hAnsi="Calibri" w:cs="Calibri"/>
                <w:color w:val="000000"/>
                <w:sz w:val="18"/>
                <w:szCs w:val="20"/>
              </w:rPr>
              <w:t>6.67</w:t>
            </w:r>
          </w:p>
        </w:tc>
        <w:tc>
          <w:tcPr>
            <w:tcW w:w="1080" w:type="dxa"/>
            <w:noWrap/>
            <w:vAlign w:val="center"/>
          </w:tcPr>
          <w:p w14:paraId="7DCED1CC"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4.46</w:t>
            </w:r>
          </w:p>
        </w:tc>
        <w:tc>
          <w:tcPr>
            <w:tcW w:w="1080" w:type="dxa"/>
            <w:noWrap/>
            <w:vAlign w:val="center"/>
          </w:tcPr>
          <w:p w14:paraId="02536B16"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3.17</w:t>
            </w:r>
          </w:p>
        </w:tc>
        <w:tc>
          <w:tcPr>
            <w:tcW w:w="1260" w:type="dxa"/>
            <w:noWrap/>
            <w:vAlign w:val="center"/>
          </w:tcPr>
          <w:p w14:paraId="553FD4BA"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71.1%</w:t>
            </w:r>
          </w:p>
        </w:tc>
      </w:tr>
      <w:tr w:rsidR="00584DDE" w:rsidRPr="005705F1" w14:paraId="29BBBEDC" w14:textId="77777777" w:rsidTr="000B63E4">
        <w:trPr>
          <w:trHeight w:val="315"/>
        </w:trPr>
        <w:tc>
          <w:tcPr>
            <w:tcW w:w="1080" w:type="dxa"/>
            <w:tcBorders>
              <w:bottom w:val="single" w:sz="4" w:space="0" w:color="auto"/>
            </w:tcBorders>
            <w:noWrap/>
            <w:vAlign w:val="center"/>
          </w:tcPr>
          <w:p w14:paraId="3FFF224F" w14:textId="77777777" w:rsidR="00584DDE" w:rsidRPr="007A2062" w:rsidRDefault="00584DDE" w:rsidP="000B63E4">
            <w:pPr>
              <w:jc w:val="both"/>
              <w:rPr>
                <w:rFonts w:ascii="Calibri" w:hAnsi="Calibri" w:cs="Calibri"/>
                <w:color w:val="000000"/>
                <w:sz w:val="18"/>
                <w:szCs w:val="20"/>
              </w:rPr>
            </w:pPr>
            <w:r w:rsidRPr="007A2062">
              <w:rPr>
                <w:rFonts w:ascii="Calibri" w:hAnsi="Calibri" w:cs="Calibri"/>
                <w:color w:val="000000"/>
                <w:sz w:val="18"/>
                <w:szCs w:val="20"/>
              </w:rPr>
              <w:t>Extreme</w:t>
            </w:r>
            <w:r w:rsidRPr="007A2062">
              <w:rPr>
                <w:rFonts w:ascii="Calibri" w:hAnsi="Calibri" w:cs="Calibri"/>
                <w:color w:val="000000"/>
                <w:sz w:val="18"/>
                <w:szCs w:val="20"/>
              </w:rPr>
              <w:br/>
              <w:t xml:space="preserve">   (n = 1)</w:t>
            </w:r>
          </w:p>
        </w:tc>
        <w:tc>
          <w:tcPr>
            <w:tcW w:w="1260" w:type="dxa"/>
            <w:tcBorders>
              <w:bottom w:val="single" w:sz="4" w:space="0" w:color="auto"/>
            </w:tcBorders>
            <w:noWrap/>
            <w:vAlign w:val="center"/>
          </w:tcPr>
          <w:p w14:paraId="39D411E2"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3.01</w:t>
            </w:r>
          </w:p>
        </w:tc>
        <w:tc>
          <w:tcPr>
            <w:tcW w:w="1080" w:type="dxa"/>
            <w:tcBorders>
              <w:bottom w:val="single" w:sz="4" w:space="0" w:color="auto"/>
            </w:tcBorders>
            <w:noWrap/>
            <w:vAlign w:val="center"/>
          </w:tcPr>
          <w:p w14:paraId="17BED522"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7.50</w:t>
            </w:r>
          </w:p>
        </w:tc>
        <w:tc>
          <w:tcPr>
            <w:tcW w:w="1440" w:type="dxa"/>
            <w:tcBorders>
              <w:bottom w:val="single" w:sz="4" w:space="0" w:color="auto"/>
            </w:tcBorders>
            <w:vAlign w:val="center"/>
          </w:tcPr>
          <w:p w14:paraId="0F033E84"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9.37</w:t>
            </w:r>
          </w:p>
        </w:tc>
        <w:tc>
          <w:tcPr>
            <w:tcW w:w="1080" w:type="dxa"/>
            <w:tcBorders>
              <w:bottom w:val="single" w:sz="4" w:space="0" w:color="auto"/>
            </w:tcBorders>
            <w:noWrap/>
            <w:vAlign w:val="center"/>
          </w:tcPr>
          <w:p w14:paraId="0A81F42C"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5.28</w:t>
            </w:r>
          </w:p>
        </w:tc>
        <w:tc>
          <w:tcPr>
            <w:tcW w:w="1080" w:type="dxa"/>
            <w:tcBorders>
              <w:bottom w:val="single" w:sz="4" w:space="0" w:color="auto"/>
            </w:tcBorders>
            <w:noWrap/>
            <w:vAlign w:val="center"/>
          </w:tcPr>
          <w:p w14:paraId="3680E186"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4.18</w:t>
            </w:r>
          </w:p>
        </w:tc>
        <w:tc>
          <w:tcPr>
            <w:tcW w:w="1260" w:type="dxa"/>
            <w:tcBorders>
              <w:bottom w:val="single" w:sz="4" w:space="0" w:color="auto"/>
            </w:tcBorders>
            <w:noWrap/>
            <w:vAlign w:val="center"/>
          </w:tcPr>
          <w:p w14:paraId="0958AB99" w14:textId="77777777" w:rsidR="00584DDE" w:rsidRPr="007A2062" w:rsidRDefault="00584DDE" w:rsidP="00EB5EA7">
            <w:pPr>
              <w:jc w:val="center"/>
              <w:rPr>
                <w:rFonts w:ascii="Calibri" w:hAnsi="Calibri" w:cs="Calibri"/>
                <w:color w:val="000000"/>
                <w:sz w:val="18"/>
                <w:szCs w:val="20"/>
              </w:rPr>
            </w:pPr>
            <w:r w:rsidRPr="007A2062">
              <w:rPr>
                <w:rFonts w:ascii="Calibri" w:hAnsi="Calibri" w:cs="Calibri"/>
                <w:color w:val="000000"/>
                <w:sz w:val="18"/>
                <w:szCs w:val="20"/>
              </w:rPr>
              <w:t>79.2%</w:t>
            </w:r>
          </w:p>
        </w:tc>
      </w:tr>
    </w:tbl>
    <w:p w14:paraId="2295D331" w14:textId="77777777" w:rsidR="00584DDE" w:rsidRPr="00546602" w:rsidRDefault="00584DDE" w:rsidP="00584DDE">
      <w:pPr>
        <w:spacing w:line="480" w:lineRule="auto"/>
        <w:jc w:val="both"/>
        <w:rPr>
          <w:rFonts w:cs="Arial"/>
          <w:sz w:val="10"/>
        </w:rPr>
      </w:pPr>
    </w:p>
    <w:p w14:paraId="68D3CD66" w14:textId="0C3A5CA3" w:rsidR="00584DDE" w:rsidRDefault="00584DDE" w:rsidP="00584DDE">
      <w:pPr>
        <w:spacing w:line="480" w:lineRule="auto"/>
        <w:jc w:val="both"/>
        <w:rPr>
          <w:rFonts w:cs="Arial"/>
        </w:rPr>
      </w:pPr>
      <w:r>
        <w:rPr>
          <w:rFonts w:cs="Arial"/>
        </w:rPr>
        <w:t>Storms were observed to transport iron above the baseline value for all four storm intensities. The average amount of iron transported out of Cell 1 is 8.69</w:t>
      </w:r>
      <w:r>
        <w:rPr>
          <w:rFonts w:cs="Calibri"/>
        </w:rPr>
        <w:t>±</w:t>
      </w:r>
      <w:r>
        <w:rPr>
          <w:rFonts w:cs="Arial"/>
        </w:rPr>
        <w:t>5.76 kg/storm for all storms sampled, of which 76.5</w:t>
      </w:r>
      <w:r>
        <w:rPr>
          <w:rFonts w:cs="Calibri"/>
        </w:rPr>
        <w:t>±</w:t>
      </w:r>
      <w:r>
        <w:rPr>
          <w:rFonts w:cs="Arial"/>
        </w:rPr>
        <w:t>3.2%; (n = 11) of the transported iron is due to storm disturbance.  There is no apparent quantitative relationship between storm intensity and the amount of mass transport of iron.  A storm event of any intensity exceeding 0.25 cm/h is a disturbance forcing function driving acute iron export out of Cell 1 (approximately 4-10 kg of Fe per storm; see Table 3.9). Individual storm transport of iron is statistically significant with respect to baseline transport based on a one-tailed Student’s-t test (</w:t>
      </w:r>
      <w:r>
        <w:rPr>
          <w:rFonts w:cs="Calibri"/>
        </w:rPr>
        <w:t>α</w:t>
      </w:r>
      <w:r>
        <w:rPr>
          <w:rFonts w:cs="Arial"/>
        </w:rPr>
        <w:t xml:space="preserve">=0.05; -2.59 </w:t>
      </w:r>
      <w:proofErr w:type="gramStart"/>
      <w:r>
        <w:rPr>
          <w:rFonts w:cs="Arial"/>
        </w:rPr>
        <w:t>t ;</w:t>
      </w:r>
      <w:proofErr w:type="gramEnd"/>
      <w:r>
        <w:rPr>
          <w:rFonts w:cs="Arial"/>
        </w:rPr>
        <w:t xml:space="preserve"> 2.35 t Critical). The annual distribution of storm-induced transport of iron shows inconsistencies in iron transport based on the time of year.   The positive linear correlation between monthly storm-induced mass transport of iron out of Cell 1 and the average frequency of storms each month for 2011-2013 (y=8.4405x-6.187; r</w:t>
      </w:r>
      <w:r w:rsidRPr="002B7B87">
        <w:rPr>
          <w:rFonts w:cs="Arial"/>
          <w:vertAlign w:val="superscript"/>
        </w:rPr>
        <w:t>2</w:t>
      </w:r>
      <w:r>
        <w:rPr>
          <w:rFonts w:cs="Arial"/>
        </w:rPr>
        <w:t xml:space="preserve"> = 0.7895) supports the statement that the quantity of material being exported above baseline is dependent on storm frequency rather than storm intensity. </w:t>
      </w:r>
      <w:r>
        <w:rPr>
          <w:rFonts w:cs="Arial"/>
        </w:rPr>
        <w:lastRenderedPageBreak/>
        <w:t>Low intensity storms transported the largest quantity of iron consistently each season over the higher intensity events (Figure 3</w:t>
      </w:r>
      <w:r w:rsidR="00EB5EA7">
        <w:rPr>
          <w:rFonts w:cs="Arial"/>
        </w:rPr>
        <w:t>.9</w:t>
      </w:r>
      <w:r>
        <w:rPr>
          <w:rFonts w:cs="Arial"/>
        </w:rPr>
        <w:t>). As there are nearly six times as many low intensity storms as moderate and high, and three times as many as the extreme events; the small quantity of iron transported for individual events is additive.</w:t>
      </w:r>
    </w:p>
    <w:p w14:paraId="207BB0A7" w14:textId="77777777" w:rsidR="00584DDE" w:rsidRPr="00411456" w:rsidRDefault="00584DDE" w:rsidP="00584DDE">
      <w:pPr>
        <w:spacing w:line="240" w:lineRule="auto"/>
        <w:jc w:val="both"/>
        <w:rPr>
          <w:rFonts w:cs="Arial"/>
          <w:sz w:val="20"/>
        </w:rPr>
      </w:pPr>
      <w:r w:rsidRPr="00C073F7">
        <w:rPr>
          <w:noProof/>
          <w:sz w:val="20"/>
        </w:rPr>
        <w:drawing>
          <wp:inline distT="0" distB="0" distL="0" distR="0" wp14:anchorId="38B31439" wp14:editId="012F8F37">
            <wp:extent cx="5139690" cy="2762250"/>
            <wp:effectExtent l="0" t="0" r="3810" b="0"/>
            <wp:docPr id="245" name="Chart 2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434AE0A" w14:textId="43C76790" w:rsidR="00584DDE" w:rsidRPr="00631A43" w:rsidRDefault="00584DDE" w:rsidP="00584DDE">
      <w:pPr>
        <w:spacing w:line="240" w:lineRule="auto"/>
        <w:jc w:val="both"/>
        <w:rPr>
          <w:rFonts w:cs="Arial"/>
          <w:sz w:val="20"/>
        </w:rPr>
      </w:pPr>
      <w:r w:rsidRPr="00411456">
        <w:rPr>
          <w:rFonts w:cs="Arial"/>
          <w:sz w:val="20"/>
        </w:rPr>
        <w:t xml:space="preserve">Figure </w:t>
      </w:r>
      <w:r>
        <w:rPr>
          <w:rFonts w:cs="Arial"/>
          <w:sz w:val="20"/>
        </w:rPr>
        <w:t>3</w:t>
      </w:r>
      <w:r w:rsidR="00EB5EA7">
        <w:rPr>
          <w:rFonts w:cs="Arial"/>
          <w:sz w:val="20"/>
        </w:rPr>
        <w:t>.9</w:t>
      </w:r>
      <w:r w:rsidRPr="00411456">
        <w:rPr>
          <w:rFonts w:cs="Arial"/>
          <w:sz w:val="20"/>
        </w:rPr>
        <w:t>: Monthly storm induced iron transport distribution over the three-year period of the storm trans</w:t>
      </w:r>
      <w:r>
        <w:rPr>
          <w:rFonts w:cs="Arial"/>
          <w:sz w:val="20"/>
        </w:rPr>
        <w:t xml:space="preserve">port profile data collection.  </w:t>
      </w:r>
    </w:p>
    <w:p w14:paraId="34059864" w14:textId="77777777" w:rsidR="00584DDE" w:rsidRDefault="00584DDE" w:rsidP="00584DDE">
      <w:pPr>
        <w:spacing w:line="240" w:lineRule="auto"/>
        <w:jc w:val="both"/>
        <w:rPr>
          <w:rFonts w:cs="Arial"/>
          <w:highlight w:val="magenta"/>
        </w:rPr>
      </w:pPr>
      <w:r w:rsidRPr="0085448A">
        <w:rPr>
          <w:noProof/>
        </w:rPr>
        <w:drawing>
          <wp:inline distT="0" distB="0" distL="0" distR="0" wp14:anchorId="43F5C1DA" wp14:editId="5E5FAF9B">
            <wp:extent cx="5257800" cy="3028950"/>
            <wp:effectExtent l="0" t="0" r="0" b="0"/>
            <wp:docPr id="244" name="Chart 2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0A89DC4" w14:textId="30C1A108" w:rsidR="00584DDE" w:rsidRPr="00EB5EA7" w:rsidRDefault="00584DDE" w:rsidP="00584DDE">
      <w:pPr>
        <w:spacing w:line="240" w:lineRule="auto"/>
        <w:jc w:val="both"/>
        <w:rPr>
          <w:rFonts w:cs="Arial"/>
          <w:sz w:val="20"/>
        </w:rPr>
      </w:pPr>
      <w:r w:rsidRPr="00B30B07">
        <w:rPr>
          <w:rFonts w:cs="Arial"/>
          <w:sz w:val="20"/>
        </w:rPr>
        <w:t>Figure</w:t>
      </w:r>
      <w:r>
        <w:rPr>
          <w:rFonts w:cs="Arial"/>
          <w:sz w:val="20"/>
        </w:rPr>
        <w:t xml:space="preserve"> 3.</w:t>
      </w:r>
      <w:r w:rsidR="00EB5EA7">
        <w:rPr>
          <w:rFonts w:cs="Arial"/>
          <w:sz w:val="20"/>
        </w:rPr>
        <w:t>10</w:t>
      </w:r>
      <w:r w:rsidRPr="00B30B07">
        <w:rPr>
          <w:rFonts w:cs="Arial"/>
          <w:sz w:val="20"/>
        </w:rPr>
        <w:t>: Average seasonal iron export from Cell 1 of the MRPTS based on rainfall intensity (2011-2013)</w:t>
      </w:r>
      <w:r>
        <w:rPr>
          <w:rFonts w:cs="Arial"/>
          <w:sz w:val="20"/>
        </w:rPr>
        <w:t xml:space="preserve"> with error bars indicating standard deviation (n = 3). </w:t>
      </w:r>
    </w:p>
    <w:p w14:paraId="5FB9177B" w14:textId="601E3A9D" w:rsidR="00584DDE" w:rsidRPr="00B64BB8" w:rsidRDefault="00584DDE" w:rsidP="00584DDE">
      <w:pPr>
        <w:spacing w:line="240" w:lineRule="auto"/>
        <w:jc w:val="both"/>
        <w:rPr>
          <w:rFonts w:cs="Calibri"/>
          <w:sz w:val="20"/>
          <w:szCs w:val="20"/>
        </w:rPr>
      </w:pPr>
      <w:r w:rsidRPr="00B64BB8">
        <w:rPr>
          <w:rFonts w:cs="Calibri"/>
          <w:sz w:val="20"/>
          <w:szCs w:val="20"/>
        </w:rPr>
        <w:lastRenderedPageBreak/>
        <w:t xml:space="preserve">Table </w:t>
      </w:r>
      <w:r>
        <w:rPr>
          <w:rFonts w:cs="Calibri"/>
          <w:sz w:val="20"/>
          <w:szCs w:val="20"/>
        </w:rPr>
        <w:t>3</w:t>
      </w:r>
      <w:r w:rsidR="00EB5EA7">
        <w:rPr>
          <w:rFonts w:cs="Calibri"/>
          <w:sz w:val="20"/>
          <w:szCs w:val="20"/>
        </w:rPr>
        <w:t>.5</w:t>
      </w:r>
      <w:r w:rsidRPr="00B64BB8">
        <w:rPr>
          <w:rFonts w:cs="Calibri"/>
          <w:sz w:val="20"/>
          <w:szCs w:val="20"/>
        </w:rPr>
        <w:t xml:space="preserve">: Summary of Annual Iron Mass Loading and Transport for Cell 1 from 2011-2013 </w:t>
      </w:r>
    </w:p>
    <w:tbl>
      <w:tblPr>
        <w:tblW w:w="8350" w:type="dxa"/>
        <w:tblLayout w:type="fixed"/>
        <w:tblLook w:val="04A0" w:firstRow="1" w:lastRow="0" w:firstColumn="1" w:lastColumn="0" w:noHBand="0" w:noVBand="1"/>
      </w:tblPr>
      <w:tblGrid>
        <w:gridCol w:w="900"/>
        <w:gridCol w:w="956"/>
        <w:gridCol w:w="1010"/>
        <w:gridCol w:w="1020"/>
        <w:gridCol w:w="1154"/>
        <w:gridCol w:w="1080"/>
        <w:gridCol w:w="1237"/>
        <w:gridCol w:w="993"/>
      </w:tblGrid>
      <w:tr w:rsidR="00584DDE" w:rsidRPr="00B64BB8" w14:paraId="0936A71F" w14:textId="77777777" w:rsidTr="000B63E4">
        <w:trPr>
          <w:trHeight w:val="674"/>
        </w:trPr>
        <w:tc>
          <w:tcPr>
            <w:tcW w:w="900" w:type="dxa"/>
            <w:tcBorders>
              <w:top w:val="single" w:sz="4" w:space="0" w:color="auto"/>
              <w:left w:val="nil"/>
              <w:bottom w:val="double" w:sz="6" w:space="0" w:color="auto"/>
              <w:right w:val="nil"/>
            </w:tcBorders>
            <w:vAlign w:val="bottom"/>
            <w:hideMark/>
          </w:tcPr>
          <w:p w14:paraId="5AC6BB20"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Year</w:t>
            </w:r>
          </w:p>
        </w:tc>
        <w:tc>
          <w:tcPr>
            <w:tcW w:w="956" w:type="dxa"/>
            <w:tcBorders>
              <w:top w:val="single" w:sz="4" w:space="0" w:color="auto"/>
              <w:left w:val="nil"/>
              <w:bottom w:val="double" w:sz="6" w:space="0" w:color="auto"/>
              <w:right w:val="nil"/>
            </w:tcBorders>
            <w:vAlign w:val="bottom"/>
            <w:hideMark/>
          </w:tcPr>
          <w:p w14:paraId="1505A015"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Loading Fe (kg/year)</w:t>
            </w:r>
          </w:p>
        </w:tc>
        <w:tc>
          <w:tcPr>
            <w:tcW w:w="1010" w:type="dxa"/>
            <w:tcBorders>
              <w:top w:val="single" w:sz="4" w:space="0" w:color="auto"/>
              <w:left w:val="nil"/>
              <w:bottom w:val="double" w:sz="6" w:space="0" w:color="auto"/>
              <w:right w:val="nil"/>
            </w:tcBorders>
            <w:vAlign w:val="bottom"/>
            <w:hideMark/>
          </w:tcPr>
          <w:p w14:paraId="13DAF6DC"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Gross Fe Transport (kg/year)</w:t>
            </w:r>
          </w:p>
        </w:tc>
        <w:tc>
          <w:tcPr>
            <w:tcW w:w="1020" w:type="dxa"/>
            <w:tcBorders>
              <w:top w:val="single" w:sz="4" w:space="0" w:color="auto"/>
              <w:left w:val="nil"/>
              <w:bottom w:val="double" w:sz="6" w:space="0" w:color="auto"/>
              <w:right w:val="nil"/>
            </w:tcBorders>
            <w:vAlign w:val="bottom"/>
            <w:hideMark/>
          </w:tcPr>
          <w:p w14:paraId="523D165C"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Cell Fe Retention (kg/year)</w:t>
            </w:r>
          </w:p>
        </w:tc>
        <w:tc>
          <w:tcPr>
            <w:tcW w:w="1154" w:type="dxa"/>
            <w:tcBorders>
              <w:top w:val="single" w:sz="4" w:space="0" w:color="auto"/>
              <w:left w:val="nil"/>
              <w:bottom w:val="double" w:sz="6" w:space="0" w:color="auto"/>
              <w:right w:val="nil"/>
            </w:tcBorders>
            <w:vAlign w:val="bottom"/>
            <w:hideMark/>
          </w:tcPr>
          <w:p w14:paraId="0C8FA95B"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Removal Rate (g/m</w:t>
            </w:r>
            <w:r w:rsidRPr="00B64BB8">
              <w:rPr>
                <w:rFonts w:cs="Calibri"/>
                <w:color w:val="000000"/>
                <w:sz w:val="20"/>
                <w:szCs w:val="20"/>
                <w:vertAlign w:val="superscript"/>
              </w:rPr>
              <w:t>2</w:t>
            </w:r>
            <w:r w:rsidRPr="00B64BB8">
              <w:rPr>
                <w:rFonts w:cs="Calibri"/>
                <w:color w:val="000000"/>
                <w:sz w:val="20"/>
                <w:szCs w:val="20"/>
              </w:rPr>
              <w:t>/day)</w:t>
            </w:r>
          </w:p>
        </w:tc>
        <w:tc>
          <w:tcPr>
            <w:tcW w:w="1080" w:type="dxa"/>
            <w:tcBorders>
              <w:top w:val="single" w:sz="4" w:space="0" w:color="auto"/>
              <w:left w:val="nil"/>
              <w:bottom w:val="double" w:sz="6" w:space="0" w:color="auto"/>
              <w:right w:val="nil"/>
            </w:tcBorders>
            <w:vAlign w:val="bottom"/>
            <w:hideMark/>
          </w:tcPr>
          <w:p w14:paraId="7E60CB0A"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Net Fe Transport (kg/year)</w:t>
            </w:r>
          </w:p>
        </w:tc>
        <w:tc>
          <w:tcPr>
            <w:tcW w:w="1237" w:type="dxa"/>
            <w:tcBorders>
              <w:top w:val="single" w:sz="4" w:space="0" w:color="auto"/>
              <w:left w:val="nil"/>
              <w:bottom w:val="double" w:sz="6" w:space="0" w:color="auto"/>
              <w:right w:val="nil"/>
            </w:tcBorders>
            <w:vAlign w:val="bottom"/>
            <w:hideMark/>
          </w:tcPr>
          <w:p w14:paraId="625A4DAB"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 Transport relative to Fe Loading</w:t>
            </w:r>
          </w:p>
        </w:tc>
        <w:tc>
          <w:tcPr>
            <w:tcW w:w="993" w:type="dxa"/>
            <w:tcBorders>
              <w:top w:val="single" w:sz="4" w:space="0" w:color="auto"/>
              <w:left w:val="nil"/>
              <w:bottom w:val="double" w:sz="6" w:space="0" w:color="auto"/>
              <w:right w:val="nil"/>
            </w:tcBorders>
            <w:vAlign w:val="bottom"/>
            <w:hideMark/>
          </w:tcPr>
          <w:p w14:paraId="3D628FE2"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w:t>
            </w:r>
            <w:r>
              <w:rPr>
                <w:rFonts w:cs="Calibri"/>
                <w:color w:val="000000"/>
                <w:sz w:val="20"/>
                <w:szCs w:val="20"/>
              </w:rPr>
              <w:t xml:space="preserve"> Storm Induced </w:t>
            </w:r>
            <w:r>
              <w:rPr>
                <w:rFonts w:cs="Calibri"/>
                <w:color w:val="000000"/>
                <w:sz w:val="18"/>
                <w:szCs w:val="20"/>
              </w:rPr>
              <w:t>Export</w:t>
            </w:r>
          </w:p>
        </w:tc>
      </w:tr>
      <w:tr w:rsidR="00584DDE" w:rsidRPr="00B64BB8" w14:paraId="112CFBE4" w14:textId="77777777" w:rsidTr="000B63E4">
        <w:trPr>
          <w:trHeight w:val="315"/>
        </w:trPr>
        <w:tc>
          <w:tcPr>
            <w:tcW w:w="900" w:type="dxa"/>
            <w:tcBorders>
              <w:top w:val="nil"/>
              <w:left w:val="nil"/>
              <w:bottom w:val="nil"/>
              <w:right w:val="nil"/>
            </w:tcBorders>
            <w:noWrap/>
            <w:vAlign w:val="bottom"/>
            <w:hideMark/>
          </w:tcPr>
          <w:p w14:paraId="10B617D2"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 xml:space="preserve">2011   </w:t>
            </w:r>
            <w:r>
              <w:rPr>
                <w:rFonts w:cs="Calibri"/>
                <w:color w:val="000000"/>
                <w:sz w:val="20"/>
                <w:szCs w:val="20"/>
              </w:rPr>
              <w:t xml:space="preserve">  </w:t>
            </w:r>
            <w:r w:rsidRPr="00B64BB8">
              <w:rPr>
                <w:rFonts w:cs="Calibri"/>
                <w:color w:val="000000"/>
                <w:sz w:val="20"/>
                <w:szCs w:val="20"/>
              </w:rPr>
              <w:t xml:space="preserve">   (n = 4)</w:t>
            </w:r>
          </w:p>
        </w:tc>
        <w:tc>
          <w:tcPr>
            <w:tcW w:w="956" w:type="dxa"/>
            <w:tcBorders>
              <w:top w:val="nil"/>
              <w:left w:val="nil"/>
              <w:bottom w:val="nil"/>
              <w:right w:val="nil"/>
            </w:tcBorders>
            <w:noWrap/>
            <w:vAlign w:val="bottom"/>
            <w:hideMark/>
          </w:tcPr>
          <w:p w14:paraId="34BC98AC"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35509</w:t>
            </w:r>
          </w:p>
        </w:tc>
        <w:tc>
          <w:tcPr>
            <w:tcW w:w="1010" w:type="dxa"/>
            <w:tcBorders>
              <w:top w:val="nil"/>
              <w:left w:val="nil"/>
              <w:bottom w:val="nil"/>
              <w:right w:val="nil"/>
            </w:tcBorders>
            <w:noWrap/>
            <w:vAlign w:val="bottom"/>
            <w:hideMark/>
          </w:tcPr>
          <w:p w14:paraId="4239DFF7"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4203</w:t>
            </w:r>
          </w:p>
        </w:tc>
        <w:tc>
          <w:tcPr>
            <w:tcW w:w="1020" w:type="dxa"/>
            <w:tcBorders>
              <w:top w:val="nil"/>
              <w:left w:val="nil"/>
              <w:bottom w:val="nil"/>
              <w:right w:val="nil"/>
            </w:tcBorders>
            <w:noWrap/>
            <w:vAlign w:val="bottom"/>
            <w:hideMark/>
          </w:tcPr>
          <w:p w14:paraId="4151ECA2"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31305</w:t>
            </w:r>
          </w:p>
        </w:tc>
        <w:tc>
          <w:tcPr>
            <w:tcW w:w="1154" w:type="dxa"/>
            <w:tcBorders>
              <w:top w:val="nil"/>
              <w:left w:val="nil"/>
              <w:bottom w:val="nil"/>
              <w:right w:val="nil"/>
            </w:tcBorders>
            <w:noWrap/>
            <w:vAlign w:val="bottom"/>
            <w:hideMark/>
          </w:tcPr>
          <w:p w14:paraId="7EEFDDE3"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21.0</w:t>
            </w:r>
          </w:p>
        </w:tc>
        <w:tc>
          <w:tcPr>
            <w:tcW w:w="1080" w:type="dxa"/>
            <w:tcBorders>
              <w:top w:val="nil"/>
              <w:left w:val="nil"/>
              <w:bottom w:val="nil"/>
              <w:right w:val="nil"/>
            </w:tcBorders>
            <w:vAlign w:val="bottom"/>
            <w:hideMark/>
          </w:tcPr>
          <w:p w14:paraId="532041E7"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852</w:t>
            </w:r>
          </w:p>
        </w:tc>
        <w:tc>
          <w:tcPr>
            <w:tcW w:w="1237" w:type="dxa"/>
            <w:tcBorders>
              <w:top w:val="nil"/>
              <w:left w:val="nil"/>
              <w:bottom w:val="nil"/>
              <w:right w:val="nil"/>
            </w:tcBorders>
            <w:vAlign w:val="bottom"/>
            <w:hideMark/>
          </w:tcPr>
          <w:p w14:paraId="178D1F40"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2.4%</w:t>
            </w:r>
          </w:p>
        </w:tc>
        <w:tc>
          <w:tcPr>
            <w:tcW w:w="993" w:type="dxa"/>
            <w:tcBorders>
              <w:top w:val="nil"/>
              <w:left w:val="nil"/>
              <w:bottom w:val="nil"/>
              <w:right w:val="nil"/>
            </w:tcBorders>
            <w:noWrap/>
            <w:vAlign w:val="bottom"/>
            <w:hideMark/>
          </w:tcPr>
          <w:p w14:paraId="1BF4960C"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20.3%</w:t>
            </w:r>
          </w:p>
        </w:tc>
      </w:tr>
      <w:tr w:rsidR="00584DDE" w:rsidRPr="00B64BB8" w14:paraId="122C91CF" w14:textId="77777777" w:rsidTr="000B63E4">
        <w:trPr>
          <w:trHeight w:val="300"/>
        </w:trPr>
        <w:tc>
          <w:tcPr>
            <w:tcW w:w="900" w:type="dxa"/>
            <w:tcBorders>
              <w:top w:val="nil"/>
              <w:left w:val="nil"/>
              <w:bottom w:val="nil"/>
              <w:right w:val="nil"/>
            </w:tcBorders>
            <w:noWrap/>
            <w:vAlign w:val="bottom"/>
            <w:hideMark/>
          </w:tcPr>
          <w:p w14:paraId="05C80FC8"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 xml:space="preserve">2012   </w:t>
            </w:r>
            <w:r>
              <w:rPr>
                <w:rFonts w:cs="Calibri"/>
                <w:color w:val="000000"/>
                <w:sz w:val="20"/>
                <w:szCs w:val="20"/>
              </w:rPr>
              <w:t xml:space="preserve">  </w:t>
            </w:r>
            <w:r w:rsidRPr="00B64BB8">
              <w:rPr>
                <w:rFonts w:cs="Calibri"/>
                <w:color w:val="000000"/>
                <w:sz w:val="20"/>
                <w:szCs w:val="20"/>
              </w:rPr>
              <w:t xml:space="preserve">  (n = 3)</w:t>
            </w:r>
          </w:p>
        </w:tc>
        <w:tc>
          <w:tcPr>
            <w:tcW w:w="956" w:type="dxa"/>
            <w:tcBorders>
              <w:top w:val="nil"/>
              <w:left w:val="nil"/>
              <w:bottom w:val="nil"/>
              <w:right w:val="nil"/>
            </w:tcBorders>
            <w:noWrap/>
            <w:vAlign w:val="bottom"/>
            <w:hideMark/>
          </w:tcPr>
          <w:p w14:paraId="671216BD"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35736</w:t>
            </w:r>
          </w:p>
        </w:tc>
        <w:tc>
          <w:tcPr>
            <w:tcW w:w="1010" w:type="dxa"/>
            <w:tcBorders>
              <w:top w:val="nil"/>
              <w:left w:val="nil"/>
              <w:bottom w:val="nil"/>
              <w:right w:val="nil"/>
            </w:tcBorders>
            <w:noWrap/>
            <w:vAlign w:val="bottom"/>
            <w:hideMark/>
          </w:tcPr>
          <w:p w14:paraId="3BFF3B82"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5833</w:t>
            </w:r>
          </w:p>
        </w:tc>
        <w:tc>
          <w:tcPr>
            <w:tcW w:w="1020" w:type="dxa"/>
            <w:tcBorders>
              <w:top w:val="nil"/>
              <w:left w:val="nil"/>
              <w:bottom w:val="nil"/>
              <w:right w:val="nil"/>
            </w:tcBorders>
            <w:noWrap/>
            <w:vAlign w:val="bottom"/>
            <w:hideMark/>
          </w:tcPr>
          <w:p w14:paraId="499AC4D1"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29903</w:t>
            </w:r>
          </w:p>
        </w:tc>
        <w:tc>
          <w:tcPr>
            <w:tcW w:w="1154" w:type="dxa"/>
            <w:tcBorders>
              <w:top w:val="nil"/>
              <w:left w:val="nil"/>
              <w:bottom w:val="nil"/>
              <w:right w:val="nil"/>
            </w:tcBorders>
            <w:noWrap/>
            <w:vAlign w:val="bottom"/>
            <w:hideMark/>
          </w:tcPr>
          <w:p w14:paraId="517D508E"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20.1</w:t>
            </w:r>
          </w:p>
        </w:tc>
        <w:tc>
          <w:tcPr>
            <w:tcW w:w="1080" w:type="dxa"/>
            <w:tcBorders>
              <w:top w:val="nil"/>
              <w:left w:val="nil"/>
              <w:bottom w:val="nil"/>
              <w:right w:val="nil"/>
            </w:tcBorders>
            <w:vAlign w:val="bottom"/>
            <w:hideMark/>
          </w:tcPr>
          <w:p w14:paraId="4F882E21"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886</w:t>
            </w:r>
          </w:p>
        </w:tc>
        <w:tc>
          <w:tcPr>
            <w:tcW w:w="1237" w:type="dxa"/>
            <w:tcBorders>
              <w:top w:val="nil"/>
              <w:left w:val="nil"/>
              <w:bottom w:val="nil"/>
              <w:right w:val="nil"/>
            </w:tcBorders>
            <w:vAlign w:val="bottom"/>
            <w:hideMark/>
          </w:tcPr>
          <w:p w14:paraId="365E79F6"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2.5%</w:t>
            </w:r>
          </w:p>
        </w:tc>
        <w:tc>
          <w:tcPr>
            <w:tcW w:w="993" w:type="dxa"/>
            <w:tcBorders>
              <w:top w:val="nil"/>
              <w:left w:val="nil"/>
              <w:bottom w:val="nil"/>
              <w:right w:val="nil"/>
            </w:tcBorders>
            <w:noWrap/>
            <w:vAlign w:val="bottom"/>
            <w:hideMark/>
          </w:tcPr>
          <w:p w14:paraId="6179A144"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15.2%</w:t>
            </w:r>
          </w:p>
        </w:tc>
      </w:tr>
      <w:tr w:rsidR="00584DDE" w:rsidRPr="00B64BB8" w14:paraId="1D3078AE" w14:textId="77777777" w:rsidTr="000B63E4">
        <w:trPr>
          <w:trHeight w:val="300"/>
        </w:trPr>
        <w:tc>
          <w:tcPr>
            <w:tcW w:w="900" w:type="dxa"/>
            <w:tcBorders>
              <w:top w:val="nil"/>
              <w:left w:val="nil"/>
              <w:bottom w:val="single" w:sz="4" w:space="0" w:color="auto"/>
              <w:right w:val="nil"/>
            </w:tcBorders>
            <w:noWrap/>
            <w:vAlign w:val="bottom"/>
            <w:hideMark/>
          </w:tcPr>
          <w:p w14:paraId="52E27F73"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2013 (n=3)</w:t>
            </w:r>
          </w:p>
        </w:tc>
        <w:tc>
          <w:tcPr>
            <w:tcW w:w="956" w:type="dxa"/>
            <w:tcBorders>
              <w:top w:val="nil"/>
              <w:left w:val="nil"/>
              <w:bottom w:val="single" w:sz="4" w:space="0" w:color="auto"/>
              <w:right w:val="nil"/>
            </w:tcBorders>
            <w:noWrap/>
            <w:vAlign w:val="bottom"/>
            <w:hideMark/>
          </w:tcPr>
          <w:p w14:paraId="56404308"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33058</w:t>
            </w:r>
          </w:p>
        </w:tc>
        <w:tc>
          <w:tcPr>
            <w:tcW w:w="1010" w:type="dxa"/>
            <w:tcBorders>
              <w:top w:val="nil"/>
              <w:left w:val="nil"/>
              <w:bottom w:val="single" w:sz="4" w:space="0" w:color="auto"/>
              <w:right w:val="nil"/>
            </w:tcBorders>
            <w:noWrap/>
            <w:vAlign w:val="bottom"/>
            <w:hideMark/>
          </w:tcPr>
          <w:p w14:paraId="7A586517"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13551</w:t>
            </w:r>
          </w:p>
        </w:tc>
        <w:tc>
          <w:tcPr>
            <w:tcW w:w="1020" w:type="dxa"/>
            <w:tcBorders>
              <w:top w:val="nil"/>
              <w:left w:val="nil"/>
              <w:bottom w:val="single" w:sz="4" w:space="0" w:color="auto"/>
              <w:right w:val="nil"/>
            </w:tcBorders>
            <w:noWrap/>
            <w:vAlign w:val="bottom"/>
            <w:hideMark/>
          </w:tcPr>
          <w:p w14:paraId="2C2B25BB"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19507</w:t>
            </w:r>
          </w:p>
        </w:tc>
        <w:tc>
          <w:tcPr>
            <w:tcW w:w="1154" w:type="dxa"/>
            <w:tcBorders>
              <w:top w:val="nil"/>
              <w:left w:val="nil"/>
              <w:bottom w:val="single" w:sz="4" w:space="0" w:color="auto"/>
              <w:right w:val="nil"/>
            </w:tcBorders>
            <w:noWrap/>
            <w:vAlign w:val="bottom"/>
            <w:hideMark/>
          </w:tcPr>
          <w:p w14:paraId="0E5352E0"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13.1</w:t>
            </w:r>
          </w:p>
        </w:tc>
        <w:tc>
          <w:tcPr>
            <w:tcW w:w="1080" w:type="dxa"/>
            <w:tcBorders>
              <w:top w:val="nil"/>
              <w:left w:val="nil"/>
              <w:bottom w:val="single" w:sz="4" w:space="0" w:color="auto"/>
              <w:right w:val="nil"/>
            </w:tcBorders>
            <w:vAlign w:val="bottom"/>
            <w:hideMark/>
          </w:tcPr>
          <w:p w14:paraId="2D9F09FB"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1463</w:t>
            </w:r>
          </w:p>
        </w:tc>
        <w:tc>
          <w:tcPr>
            <w:tcW w:w="1237" w:type="dxa"/>
            <w:tcBorders>
              <w:top w:val="nil"/>
              <w:left w:val="nil"/>
              <w:bottom w:val="single" w:sz="4" w:space="0" w:color="auto"/>
              <w:right w:val="nil"/>
            </w:tcBorders>
            <w:vAlign w:val="bottom"/>
            <w:hideMark/>
          </w:tcPr>
          <w:p w14:paraId="494EBB46"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4.4%</w:t>
            </w:r>
          </w:p>
        </w:tc>
        <w:tc>
          <w:tcPr>
            <w:tcW w:w="993" w:type="dxa"/>
            <w:tcBorders>
              <w:top w:val="nil"/>
              <w:left w:val="nil"/>
              <w:bottom w:val="single" w:sz="4" w:space="0" w:color="auto"/>
              <w:right w:val="nil"/>
            </w:tcBorders>
            <w:noWrap/>
            <w:vAlign w:val="bottom"/>
            <w:hideMark/>
          </w:tcPr>
          <w:p w14:paraId="6C734524"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10.8%</w:t>
            </w:r>
          </w:p>
        </w:tc>
      </w:tr>
      <w:tr w:rsidR="00584DDE" w:rsidRPr="00B64BB8" w14:paraId="6E44B552" w14:textId="77777777" w:rsidTr="000B63E4">
        <w:trPr>
          <w:trHeight w:val="300"/>
        </w:trPr>
        <w:tc>
          <w:tcPr>
            <w:tcW w:w="900" w:type="dxa"/>
            <w:tcBorders>
              <w:top w:val="nil"/>
              <w:left w:val="nil"/>
              <w:bottom w:val="nil"/>
              <w:right w:val="nil"/>
            </w:tcBorders>
            <w:noWrap/>
            <w:vAlign w:val="bottom"/>
            <w:hideMark/>
          </w:tcPr>
          <w:p w14:paraId="679275C3"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Average (n = 10)</w:t>
            </w:r>
          </w:p>
        </w:tc>
        <w:tc>
          <w:tcPr>
            <w:tcW w:w="956" w:type="dxa"/>
            <w:tcBorders>
              <w:top w:val="nil"/>
              <w:left w:val="nil"/>
              <w:bottom w:val="nil"/>
              <w:right w:val="nil"/>
            </w:tcBorders>
            <w:noWrap/>
            <w:vAlign w:val="bottom"/>
            <w:hideMark/>
          </w:tcPr>
          <w:p w14:paraId="78BCAFC6"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34767</w:t>
            </w:r>
          </w:p>
        </w:tc>
        <w:tc>
          <w:tcPr>
            <w:tcW w:w="1010" w:type="dxa"/>
            <w:tcBorders>
              <w:top w:val="nil"/>
              <w:left w:val="nil"/>
              <w:bottom w:val="nil"/>
              <w:right w:val="nil"/>
            </w:tcBorders>
            <w:noWrap/>
            <w:vAlign w:val="bottom"/>
            <w:hideMark/>
          </w:tcPr>
          <w:p w14:paraId="79B03B62"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7862</w:t>
            </w:r>
          </w:p>
        </w:tc>
        <w:tc>
          <w:tcPr>
            <w:tcW w:w="1020" w:type="dxa"/>
            <w:tcBorders>
              <w:top w:val="nil"/>
              <w:left w:val="nil"/>
              <w:bottom w:val="nil"/>
              <w:right w:val="nil"/>
            </w:tcBorders>
            <w:noWrap/>
            <w:vAlign w:val="bottom"/>
            <w:hideMark/>
          </w:tcPr>
          <w:p w14:paraId="78E31390"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26905</w:t>
            </w:r>
          </w:p>
        </w:tc>
        <w:tc>
          <w:tcPr>
            <w:tcW w:w="1154" w:type="dxa"/>
            <w:tcBorders>
              <w:top w:val="nil"/>
              <w:left w:val="nil"/>
              <w:bottom w:val="nil"/>
              <w:right w:val="nil"/>
            </w:tcBorders>
            <w:noWrap/>
            <w:vAlign w:val="bottom"/>
            <w:hideMark/>
          </w:tcPr>
          <w:p w14:paraId="3A7269FB"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18.0</w:t>
            </w:r>
          </w:p>
        </w:tc>
        <w:tc>
          <w:tcPr>
            <w:tcW w:w="1080" w:type="dxa"/>
            <w:tcBorders>
              <w:top w:val="nil"/>
              <w:left w:val="nil"/>
              <w:bottom w:val="nil"/>
              <w:right w:val="nil"/>
            </w:tcBorders>
            <w:vAlign w:val="bottom"/>
            <w:hideMark/>
          </w:tcPr>
          <w:p w14:paraId="5258A6F6"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1067</w:t>
            </w:r>
          </w:p>
        </w:tc>
        <w:tc>
          <w:tcPr>
            <w:tcW w:w="1237" w:type="dxa"/>
            <w:tcBorders>
              <w:top w:val="nil"/>
              <w:left w:val="nil"/>
              <w:bottom w:val="nil"/>
              <w:right w:val="nil"/>
            </w:tcBorders>
            <w:vAlign w:val="bottom"/>
            <w:hideMark/>
          </w:tcPr>
          <w:p w14:paraId="2E0A10F9"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3.1%</w:t>
            </w:r>
          </w:p>
        </w:tc>
        <w:tc>
          <w:tcPr>
            <w:tcW w:w="993" w:type="dxa"/>
            <w:tcBorders>
              <w:top w:val="nil"/>
              <w:left w:val="nil"/>
              <w:bottom w:val="nil"/>
              <w:right w:val="nil"/>
            </w:tcBorders>
            <w:noWrap/>
            <w:vAlign w:val="bottom"/>
            <w:hideMark/>
          </w:tcPr>
          <w:p w14:paraId="5339DF9F"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13.6%</w:t>
            </w:r>
          </w:p>
        </w:tc>
      </w:tr>
      <w:tr w:rsidR="00584DDE" w:rsidRPr="00B64BB8" w14:paraId="40C8FEBF" w14:textId="77777777" w:rsidTr="000B63E4">
        <w:trPr>
          <w:trHeight w:val="300"/>
        </w:trPr>
        <w:tc>
          <w:tcPr>
            <w:tcW w:w="900" w:type="dxa"/>
            <w:tcBorders>
              <w:top w:val="nil"/>
              <w:left w:val="nil"/>
              <w:bottom w:val="nil"/>
              <w:right w:val="nil"/>
            </w:tcBorders>
            <w:noWrap/>
            <w:vAlign w:val="bottom"/>
            <w:hideMark/>
          </w:tcPr>
          <w:p w14:paraId="5CECED78" w14:textId="77777777" w:rsidR="00584DDE" w:rsidRPr="00B64BB8" w:rsidRDefault="00584DDE" w:rsidP="000B63E4">
            <w:pPr>
              <w:spacing w:after="0" w:line="240" w:lineRule="auto"/>
              <w:jc w:val="center"/>
              <w:rPr>
                <w:rFonts w:cs="Calibri"/>
                <w:color w:val="000000"/>
                <w:sz w:val="20"/>
                <w:szCs w:val="20"/>
              </w:rPr>
            </w:pPr>
            <w:r>
              <w:rPr>
                <w:rFonts w:cs="Calibri"/>
                <w:color w:val="000000"/>
                <w:sz w:val="20"/>
                <w:szCs w:val="20"/>
              </w:rPr>
              <w:t>STDEV</w:t>
            </w:r>
          </w:p>
        </w:tc>
        <w:tc>
          <w:tcPr>
            <w:tcW w:w="956" w:type="dxa"/>
            <w:tcBorders>
              <w:top w:val="nil"/>
              <w:left w:val="nil"/>
              <w:bottom w:val="nil"/>
              <w:right w:val="nil"/>
            </w:tcBorders>
            <w:noWrap/>
            <w:vAlign w:val="bottom"/>
            <w:hideMark/>
          </w:tcPr>
          <w:p w14:paraId="085EF6FA"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1485</w:t>
            </w:r>
          </w:p>
        </w:tc>
        <w:tc>
          <w:tcPr>
            <w:tcW w:w="1010" w:type="dxa"/>
            <w:tcBorders>
              <w:top w:val="nil"/>
              <w:left w:val="nil"/>
              <w:bottom w:val="nil"/>
              <w:right w:val="nil"/>
            </w:tcBorders>
            <w:noWrap/>
            <w:vAlign w:val="bottom"/>
            <w:hideMark/>
          </w:tcPr>
          <w:p w14:paraId="3E359B41"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4994</w:t>
            </w:r>
          </w:p>
        </w:tc>
        <w:tc>
          <w:tcPr>
            <w:tcW w:w="1020" w:type="dxa"/>
            <w:tcBorders>
              <w:top w:val="nil"/>
              <w:left w:val="nil"/>
              <w:bottom w:val="nil"/>
              <w:right w:val="nil"/>
            </w:tcBorders>
            <w:noWrap/>
            <w:vAlign w:val="bottom"/>
            <w:hideMark/>
          </w:tcPr>
          <w:p w14:paraId="2991DC90"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6445</w:t>
            </w:r>
          </w:p>
        </w:tc>
        <w:tc>
          <w:tcPr>
            <w:tcW w:w="1154" w:type="dxa"/>
            <w:tcBorders>
              <w:top w:val="nil"/>
              <w:left w:val="nil"/>
              <w:bottom w:val="nil"/>
              <w:right w:val="nil"/>
            </w:tcBorders>
            <w:noWrap/>
            <w:vAlign w:val="bottom"/>
            <w:hideMark/>
          </w:tcPr>
          <w:p w14:paraId="5BC752E2"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4.3</w:t>
            </w:r>
          </w:p>
        </w:tc>
        <w:tc>
          <w:tcPr>
            <w:tcW w:w="1080" w:type="dxa"/>
            <w:tcBorders>
              <w:top w:val="nil"/>
              <w:left w:val="nil"/>
              <w:bottom w:val="nil"/>
              <w:right w:val="nil"/>
            </w:tcBorders>
            <w:noWrap/>
            <w:vAlign w:val="bottom"/>
            <w:hideMark/>
          </w:tcPr>
          <w:p w14:paraId="08C38863"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343</w:t>
            </w:r>
          </w:p>
        </w:tc>
        <w:tc>
          <w:tcPr>
            <w:tcW w:w="1237" w:type="dxa"/>
            <w:tcBorders>
              <w:top w:val="nil"/>
              <w:left w:val="nil"/>
              <w:bottom w:val="nil"/>
              <w:right w:val="nil"/>
            </w:tcBorders>
            <w:noWrap/>
            <w:vAlign w:val="bottom"/>
            <w:hideMark/>
          </w:tcPr>
          <w:p w14:paraId="5054011A"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1.1%</w:t>
            </w:r>
          </w:p>
        </w:tc>
        <w:tc>
          <w:tcPr>
            <w:tcW w:w="993" w:type="dxa"/>
            <w:tcBorders>
              <w:top w:val="nil"/>
              <w:left w:val="nil"/>
              <w:bottom w:val="nil"/>
              <w:right w:val="nil"/>
            </w:tcBorders>
            <w:noWrap/>
            <w:vAlign w:val="bottom"/>
            <w:hideMark/>
          </w:tcPr>
          <w:p w14:paraId="41BB12B2"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4.7%</w:t>
            </w:r>
          </w:p>
        </w:tc>
      </w:tr>
      <w:tr w:rsidR="00584DDE" w:rsidRPr="00B64BB8" w14:paraId="4EE6AEFE" w14:textId="77777777" w:rsidTr="000B63E4">
        <w:trPr>
          <w:trHeight w:val="405"/>
        </w:trPr>
        <w:tc>
          <w:tcPr>
            <w:tcW w:w="900" w:type="dxa"/>
            <w:tcBorders>
              <w:top w:val="nil"/>
              <w:left w:val="nil"/>
              <w:bottom w:val="single" w:sz="4" w:space="0" w:color="auto"/>
              <w:right w:val="nil"/>
            </w:tcBorders>
            <w:noWrap/>
            <w:vAlign w:val="bottom"/>
            <w:hideMark/>
          </w:tcPr>
          <w:p w14:paraId="79E1B52F"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%RSD</w:t>
            </w:r>
          </w:p>
        </w:tc>
        <w:tc>
          <w:tcPr>
            <w:tcW w:w="956" w:type="dxa"/>
            <w:tcBorders>
              <w:top w:val="nil"/>
              <w:left w:val="nil"/>
              <w:bottom w:val="single" w:sz="4" w:space="0" w:color="auto"/>
              <w:right w:val="nil"/>
            </w:tcBorders>
            <w:noWrap/>
            <w:vAlign w:val="bottom"/>
            <w:hideMark/>
          </w:tcPr>
          <w:p w14:paraId="62F0B712"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4.3%</w:t>
            </w:r>
          </w:p>
        </w:tc>
        <w:tc>
          <w:tcPr>
            <w:tcW w:w="1010" w:type="dxa"/>
            <w:tcBorders>
              <w:top w:val="nil"/>
              <w:left w:val="nil"/>
              <w:bottom w:val="single" w:sz="4" w:space="0" w:color="auto"/>
              <w:right w:val="nil"/>
            </w:tcBorders>
            <w:noWrap/>
            <w:vAlign w:val="bottom"/>
            <w:hideMark/>
          </w:tcPr>
          <w:p w14:paraId="47AC1610"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63.5%</w:t>
            </w:r>
          </w:p>
        </w:tc>
        <w:tc>
          <w:tcPr>
            <w:tcW w:w="1020" w:type="dxa"/>
            <w:tcBorders>
              <w:top w:val="nil"/>
              <w:left w:val="nil"/>
              <w:bottom w:val="single" w:sz="4" w:space="0" w:color="auto"/>
              <w:right w:val="nil"/>
            </w:tcBorders>
            <w:noWrap/>
            <w:vAlign w:val="bottom"/>
            <w:hideMark/>
          </w:tcPr>
          <w:p w14:paraId="2FD74C90"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24.0%</w:t>
            </w:r>
          </w:p>
        </w:tc>
        <w:tc>
          <w:tcPr>
            <w:tcW w:w="1154" w:type="dxa"/>
            <w:tcBorders>
              <w:top w:val="nil"/>
              <w:left w:val="nil"/>
              <w:bottom w:val="single" w:sz="4" w:space="0" w:color="auto"/>
              <w:right w:val="nil"/>
            </w:tcBorders>
            <w:noWrap/>
            <w:vAlign w:val="bottom"/>
            <w:hideMark/>
          </w:tcPr>
          <w:p w14:paraId="71A1079A"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24.0%</w:t>
            </w:r>
          </w:p>
        </w:tc>
        <w:tc>
          <w:tcPr>
            <w:tcW w:w="1080" w:type="dxa"/>
            <w:tcBorders>
              <w:top w:val="nil"/>
              <w:left w:val="nil"/>
              <w:bottom w:val="single" w:sz="4" w:space="0" w:color="auto"/>
              <w:right w:val="nil"/>
            </w:tcBorders>
            <w:noWrap/>
            <w:vAlign w:val="bottom"/>
            <w:hideMark/>
          </w:tcPr>
          <w:p w14:paraId="49AD903D"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32.2%</w:t>
            </w:r>
          </w:p>
        </w:tc>
        <w:tc>
          <w:tcPr>
            <w:tcW w:w="1237" w:type="dxa"/>
            <w:tcBorders>
              <w:top w:val="nil"/>
              <w:left w:val="nil"/>
              <w:bottom w:val="single" w:sz="4" w:space="0" w:color="auto"/>
              <w:right w:val="nil"/>
            </w:tcBorders>
            <w:noWrap/>
            <w:vAlign w:val="bottom"/>
            <w:hideMark/>
          </w:tcPr>
          <w:p w14:paraId="22834037"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37.4%</w:t>
            </w:r>
          </w:p>
        </w:tc>
        <w:tc>
          <w:tcPr>
            <w:tcW w:w="993" w:type="dxa"/>
            <w:tcBorders>
              <w:top w:val="nil"/>
              <w:left w:val="nil"/>
              <w:bottom w:val="single" w:sz="4" w:space="0" w:color="auto"/>
              <w:right w:val="nil"/>
            </w:tcBorders>
            <w:noWrap/>
            <w:vAlign w:val="bottom"/>
            <w:hideMark/>
          </w:tcPr>
          <w:p w14:paraId="20433F78" w14:textId="77777777" w:rsidR="00584DDE" w:rsidRPr="00B64BB8" w:rsidRDefault="00584DDE" w:rsidP="000B63E4">
            <w:pPr>
              <w:spacing w:after="0" w:line="240" w:lineRule="auto"/>
              <w:jc w:val="center"/>
              <w:rPr>
                <w:rFonts w:cs="Calibri"/>
                <w:color w:val="000000"/>
                <w:sz w:val="20"/>
                <w:szCs w:val="20"/>
              </w:rPr>
            </w:pPr>
            <w:r w:rsidRPr="00B64BB8">
              <w:rPr>
                <w:rFonts w:cs="Calibri"/>
                <w:color w:val="000000"/>
                <w:sz w:val="20"/>
                <w:szCs w:val="20"/>
              </w:rPr>
              <w:t>34.9%</w:t>
            </w:r>
          </w:p>
        </w:tc>
      </w:tr>
    </w:tbl>
    <w:p w14:paraId="02D41C4C" w14:textId="77777777" w:rsidR="00584DDE" w:rsidRPr="00546602" w:rsidRDefault="00584DDE" w:rsidP="00584DDE">
      <w:pPr>
        <w:spacing w:line="480" w:lineRule="auto"/>
        <w:jc w:val="both"/>
        <w:rPr>
          <w:rFonts w:cs="Arial"/>
          <w:sz w:val="8"/>
        </w:rPr>
      </w:pPr>
    </w:p>
    <w:p w14:paraId="023F7BC6" w14:textId="57172C2B" w:rsidR="00584DDE" w:rsidRPr="00CE1CC3" w:rsidRDefault="00584DDE" w:rsidP="00CE1CC3">
      <w:pPr>
        <w:spacing w:line="480" w:lineRule="auto"/>
        <w:jc w:val="both"/>
        <w:rPr>
          <w:rFonts w:cs="Arial"/>
        </w:rPr>
      </w:pPr>
      <w:r>
        <w:rPr>
          <w:rFonts w:cs="Arial"/>
        </w:rPr>
        <w:t>The average iron loading for 2011-2013 into Cell 1 was 34,767 kg/year (</w:t>
      </w:r>
      <w:r>
        <w:rPr>
          <w:rFonts w:cs="Calibri"/>
        </w:rPr>
        <w:t>σ</w:t>
      </w:r>
      <w:r>
        <w:rPr>
          <w:rFonts w:cs="Arial"/>
        </w:rPr>
        <w:t xml:space="preserve"> = 1485) with an average retention of 31,305 kg/year (</w:t>
      </w:r>
      <w:r>
        <w:rPr>
          <w:rFonts w:cs="Calibri"/>
        </w:rPr>
        <w:t>σ</w:t>
      </w:r>
      <w:r>
        <w:rPr>
          <w:rFonts w:cs="Arial"/>
        </w:rPr>
        <w:t xml:space="preserve"> = 6445) and an average removal rate of 18.0 g/m</w:t>
      </w:r>
      <w:r w:rsidRPr="00075C46">
        <w:rPr>
          <w:rFonts w:cs="Arial"/>
          <w:vertAlign w:val="superscript"/>
        </w:rPr>
        <w:t>2</w:t>
      </w:r>
      <w:r>
        <w:rPr>
          <w:rFonts w:cs="Arial"/>
        </w:rPr>
        <w:t>/day (</w:t>
      </w:r>
      <w:r>
        <w:rPr>
          <w:rFonts w:cs="Calibri"/>
        </w:rPr>
        <w:t>σ</w:t>
      </w:r>
      <w:r>
        <w:rPr>
          <w:rFonts w:cs="Arial"/>
        </w:rPr>
        <w:t xml:space="preserve"> = 4). Cell 1 exported an average of 7862 kg Fe/year with 1066 kg/year (</w:t>
      </w:r>
      <w:r>
        <w:rPr>
          <w:rFonts w:cs="Calibri"/>
        </w:rPr>
        <w:t>σ</w:t>
      </w:r>
      <w:r>
        <w:rPr>
          <w:rFonts w:cs="Arial"/>
        </w:rPr>
        <w:t xml:space="preserve"> = 343) due to storm-induced transport. Iron exported out of Cell 1 averages of 3.1% of the mass loading from the three AMD seeps (A, B, D), with 13.6% of the transported iron being d</w:t>
      </w:r>
      <w:r w:rsidR="00CE1CC3">
        <w:rPr>
          <w:rFonts w:cs="Arial"/>
        </w:rPr>
        <w:t xml:space="preserve">ue to storm disturbance. </w:t>
      </w:r>
    </w:p>
    <w:p w14:paraId="64893125" w14:textId="01CF215C" w:rsidR="00A90E7E" w:rsidRPr="00A90E7E" w:rsidRDefault="00A90E7E" w:rsidP="00A90E7E">
      <w:pPr>
        <w:spacing w:line="480" w:lineRule="auto"/>
        <w:rPr>
          <w:rFonts w:cs="Arial"/>
          <w:b/>
        </w:rPr>
      </w:pPr>
      <w:r w:rsidRPr="00A90E7E">
        <w:rPr>
          <w:rFonts w:asciiTheme="majorHAnsi" w:eastAsiaTheme="majorEastAsia" w:hAnsiTheme="majorHAnsi" w:cstheme="majorBidi"/>
          <w:i/>
          <w:iCs/>
        </w:rPr>
        <w:t>Cell 2N and 2S Storm Induced Iron Transport Profiles</w:t>
      </w:r>
      <w:r w:rsidRPr="00A90E7E">
        <w:rPr>
          <w:rFonts w:cs="Arial"/>
          <w:b/>
        </w:rPr>
        <w:t xml:space="preserve"> </w:t>
      </w:r>
    </w:p>
    <w:p w14:paraId="7E2F31FA" w14:textId="28564775" w:rsidR="00A90E7E" w:rsidRPr="00A90E7E" w:rsidRDefault="00A90E7E" w:rsidP="00A90E7E">
      <w:pPr>
        <w:spacing w:line="480" w:lineRule="auto"/>
        <w:jc w:val="both"/>
        <w:rPr>
          <w:rFonts w:cs="Arial"/>
        </w:rPr>
      </w:pPr>
      <w:r w:rsidRPr="00A90E7E">
        <w:rPr>
          <w:rFonts w:cs="Arial"/>
        </w:rPr>
        <w:t>The comparison of the three-year average performance of Cell 2N and 2S show consistency in removal efficiency and storm induced iron transport. The average iron loading for 2011-2013 into Cell2N and 2S was 7862 kg Fe/year (</w:t>
      </w:r>
      <w:r w:rsidRPr="00A90E7E">
        <w:rPr>
          <w:rFonts w:cstheme="minorHAnsi"/>
        </w:rPr>
        <w:t>σ</w:t>
      </w:r>
      <w:r w:rsidRPr="00A90E7E">
        <w:rPr>
          <w:rFonts w:cs="Arial"/>
        </w:rPr>
        <w:t>=5608) with an average retention of 7002 kg/year (</w:t>
      </w:r>
      <w:r w:rsidRPr="00A90E7E">
        <w:rPr>
          <w:rFonts w:cstheme="minorHAnsi"/>
        </w:rPr>
        <w:t>σ</w:t>
      </w:r>
      <w:r w:rsidRPr="00A90E7E">
        <w:rPr>
          <w:rFonts w:cs="Arial"/>
        </w:rPr>
        <w:t xml:space="preserve"> = 4903) and an average removal rate of 12.8 g/m</w:t>
      </w:r>
      <w:r w:rsidRPr="00A90E7E">
        <w:rPr>
          <w:rFonts w:cs="Arial"/>
          <w:vertAlign w:val="superscript"/>
        </w:rPr>
        <w:t>2</w:t>
      </w:r>
      <w:r w:rsidRPr="00A90E7E">
        <w:rPr>
          <w:rFonts w:cs="Arial"/>
        </w:rPr>
        <w:t>/day (</w:t>
      </w:r>
      <w:r w:rsidRPr="00A90E7E">
        <w:rPr>
          <w:rFonts w:cstheme="minorHAnsi"/>
        </w:rPr>
        <w:t>σ</w:t>
      </w:r>
      <w:r w:rsidRPr="00A90E7E">
        <w:rPr>
          <w:rFonts w:cs="Arial"/>
        </w:rPr>
        <w:t xml:space="preserve"> = 9) for Cell 2N. Cell 2S had an average retention of 6844 kg/year (</w:t>
      </w:r>
      <w:r w:rsidRPr="00A90E7E">
        <w:rPr>
          <w:rFonts w:cstheme="minorHAnsi"/>
        </w:rPr>
        <w:t>σ</w:t>
      </w:r>
      <w:r w:rsidRPr="00A90E7E">
        <w:rPr>
          <w:rFonts w:cs="Arial"/>
        </w:rPr>
        <w:t xml:space="preserve"> = 4268) and an average removal rate of 12.5 g/m</w:t>
      </w:r>
      <w:r w:rsidRPr="00A90E7E">
        <w:rPr>
          <w:rFonts w:cs="Arial"/>
          <w:vertAlign w:val="superscript"/>
        </w:rPr>
        <w:t>2</w:t>
      </w:r>
      <w:r w:rsidRPr="00A90E7E">
        <w:rPr>
          <w:rFonts w:cs="Arial"/>
        </w:rPr>
        <w:t>/day (</w:t>
      </w:r>
      <w:r w:rsidRPr="00A90E7E">
        <w:rPr>
          <w:rFonts w:cstheme="minorHAnsi"/>
        </w:rPr>
        <w:t>σ</w:t>
      </w:r>
      <w:r w:rsidRPr="00A90E7E">
        <w:rPr>
          <w:rFonts w:cs="Arial"/>
        </w:rPr>
        <w:t xml:space="preserve"> = 8). Cell2N transported 118 kg Fe/</w:t>
      </w:r>
      <w:proofErr w:type="spellStart"/>
      <w:r w:rsidRPr="00A90E7E">
        <w:rPr>
          <w:rFonts w:cs="Arial"/>
        </w:rPr>
        <w:t>yr</w:t>
      </w:r>
      <w:proofErr w:type="spellEnd"/>
      <w:r w:rsidRPr="00A90E7E">
        <w:rPr>
          <w:rFonts w:cs="Arial"/>
        </w:rPr>
        <w:t xml:space="preserve"> (σ = 37) which represents 15.4% of the mass loading into the cell. Of the material being transported out of Cell 2N, 9.3% of the transported material is storm induced. Cell2S transported 115 kg/</w:t>
      </w:r>
      <w:proofErr w:type="spellStart"/>
      <w:r w:rsidRPr="00A90E7E">
        <w:rPr>
          <w:rFonts w:cs="Arial"/>
        </w:rPr>
        <w:t>yr</w:t>
      </w:r>
      <w:proofErr w:type="spellEnd"/>
      <w:r w:rsidRPr="00A90E7E">
        <w:rPr>
          <w:rFonts w:cs="Arial"/>
        </w:rPr>
        <w:t xml:space="preserve"> (σ = 34) which represents 13% of the mass loading into the cell.  Of the material being transported out of Cell2S, 13% of it is storm induced </w:t>
      </w:r>
      <w:r w:rsidRPr="00A90E7E">
        <w:rPr>
          <w:rFonts w:cs="Arial"/>
        </w:rPr>
        <w:lastRenderedPageBreak/>
        <w:t>transport.  Tables 3.</w:t>
      </w:r>
      <w:r w:rsidR="00EB5EA7">
        <w:rPr>
          <w:rFonts w:cs="Arial"/>
        </w:rPr>
        <w:t>6</w:t>
      </w:r>
      <w:r w:rsidRPr="00A90E7E">
        <w:rPr>
          <w:rFonts w:cs="Arial"/>
        </w:rPr>
        <w:t xml:space="preserve"> and 3.</w:t>
      </w:r>
      <w:r w:rsidR="00EB5EA7">
        <w:rPr>
          <w:rFonts w:cs="Arial"/>
        </w:rPr>
        <w:t>7</w:t>
      </w:r>
      <w:r w:rsidRPr="00A90E7E">
        <w:rPr>
          <w:rFonts w:cs="Arial"/>
        </w:rPr>
        <w:t xml:space="preserve"> summarize individual storm events for both surface flow wetland cells (C2N and C2S). </w:t>
      </w:r>
    </w:p>
    <w:p w14:paraId="739D4658" w14:textId="6CE632F3" w:rsidR="00A90E7E" w:rsidRPr="00A90E7E" w:rsidRDefault="00EB5EA7" w:rsidP="00A90E7E">
      <w:pPr>
        <w:spacing w:line="240" w:lineRule="auto"/>
        <w:jc w:val="both"/>
        <w:rPr>
          <w:rFonts w:cs="Arial"/>
          <w:sz w:val="20"/>
        </w:rPr>
      </w:pPr>
      <w:r>
        <w:rPr>
          <w:rFonts w:cs="Arial"/>
          <w:sz w:val="20"/>
        </w:rPr>
        <w:t>Table 3.6</w:t>
      </w:r>
      <w:r w:rsidR="00A90E7E" w:rsidRPr="00A90E7E">
        <w:rPr>
          <w:rFonts w:cs="Arial"/>
          <w:sz w:val="20"/>
        </w:rPr>
        <w:t>: Cell 2N Storm Induced Iron Transport Summary (2011-2013)</w:t>
      </w:r>
    </w:p>
    <w:tbl>
      <w:tblPr>
        <w:tblW w:w="8105" w:type="dxa"/>
        <w:tblInd w:w="-5" w:type="dxa"/>
        <w:tblLayout w:type="fixed"/>
        <w:tblLook w:val="04A0" w:firstRow="1" w:lastRow="0" w:firstColumn="1" w:lastColumn="0" w:noHBand="0" w:noVBand="1"/>
      </w:tblPr>
      <w:tblGrid>
        <w:gridCol w:w="1183"/>
        <w:gridCol w:w="1162"/>
        <w:gridCol w:w="1080"/>
        <w:gridCol w:w="720"/>
        <w:gridCol w:w="1440"/>
        <w:gridCol w:w="1440"/>
        <w:gridCol w:w="1080"/>
      </w:tblGrid>
      <w:tr w:rsidR="00A90E7E" w:rsidRPr="00A90E7E" w14:paraId="08E8A436" w14:textId="77777777" w:rsidTr="00A90E7E">
        <w:trPr>
          <w:trHeight w:val="537"/>
        </w:trPr>
        <w:tc>
          <w:tcPr>
            <w:tcW w:w="1183" w:type="dxa"/>
            <w:tcBorders>
              <w:top w:val="single" w:sz="4" w:space="0" w:color="auto"/>
              <w:bottom w:val="double" w:sz="4" w:space="0" w:color="auto"/>
            </w:tcBorders>
            <w:shd w:val="clear" w:color="auto" w:fill="auto"/>
            <w:hideMark/>
          </w:tcPr>
          <w:p w14:paraId="73A087FD"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Intensity</w:t>
            </w:r>
            <w:r w:rsidRPr="00A90E7E">
              <w:rPr>
                <w:rFonts w:eastAsia="Times New Roman" w:cstheme="minorHAnsi"/>
                <w:color w:val="000000"/>
                <w:sz w:val="20"/>
                <w:szCs w:val="20"/>
              </w:rPr>
              <w:br/>
              <w:t>Class</w:t>
            </w:r>
          </w:p>
        </w:tc>
        <w:tc>
          <w:tcPr>
            <w:tcW w:w="1162" w:type="dxa"/>
            <w:tcBorders>
              <w:top w:val="single" w:sz="4" w:space="0" w:color="auto"/>
              <w:bottom w:val="double" w:sz="4" w:space="0" w:color="auto"/>
            </w:tcBorders>
            <w:shd w:val="clear" w:color="auto" w:fill="auto"/>
            <w:hideMark/>
          </w:tcPr>
          <w:p w14:paraId="708DF602"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Intensity (cm/</w:t>
            </w:r>
            <w:proofErr w:type="spellStart"/>
            <w:r w:rsidRPr="00A90E7E">
              <w:rPr>
                <w:rFonts w:eastAsia="Times New Roman" w:cstheme="minorHAnsi"/>
                <w:color w:val="000000"/>
                <w:sz w:val="20"/>
                <w:szCs w:val="20"/>
              </w:rPr>
              <w:t>hr</w:t>
            </w:r>
            <w:proofErr w:type="spellEnd"/>
            <w:r w:rsidRPr="00A90E7E">
              <w:rPr>
                <w:rFonts w:eastAsia="Times New Roman" w:cstheme="minorHAnsi"/>
                <w:color w:val="000000"/>
                <w:sz w:val="20"/>
                <w:szCs w:val="20"/>
              </w:rPr>
              <w:t>)</w:t>
            </w:r>
          </w:p>
        </w:tc>
        <w:tc>
          <w:tcPr>
            <w:tcW w:w="1080" w:type="dxa"/>
            <w:tcBorders>
              <w:top w:val="single" w:sz="4" w:space="0" w:color="auto"/>
              <w:bottom w:val="double" w:sz="4" w:space="0" w:color="auto"/>
            </w:tcBorders>
            <w:shd w:val="clear" w:color="auto" w:fill="auto"/>
            <w:hideMark/>
          </w:tcPr>
          <w:p w14:paraId="1123A9BC"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Duration (</w:t>
            </w:r>
            <w:proofErr w:type="spellStart"/>
            <w:r w:rsidRPr="00A90E7E">
              <w:rPr>
                <w:rFonts w:eastAsia="Times New Roman" w:cstheme="minorHAnsi"/>
                <w:color w:val="000000"/>
                <w:sz w:val="20"/>
                <w:szCs w:val="20"/>
              </w:rPr>
              <w:t>hr</w:t>
            </w:r>
            <w:proofErr w:type="spellEnd"/>
            <w:r w:rsidRPr="00A90E7E">
              <w:rPr>
                <w:rFonts w:eastAsia="Times New Roman" w:cstheme="minorHAnsi"/>
                <w:color w:val="000000"/>
                <w:sz w:val="20"/>
                <w:szCs w:val="20"/>
              </w:rPr>
              <w:t>)</w:t>
            </w:r>
          </w:p>
        </w:tc>
        <w:tc>
          <w:tcPr>
            <w:tcW w:w="720" w:type="dxa"/>
            <w:tcBorders>
              <w:top w:val="single" w:sz="4" w:space="0" w:color="auto"/>
              <w:bottom w:val="double" w:sz="4" w:space="0" w:color="auto"/>
            </w:tcBorders>
            <w:shd w:val="clear" w:color="auto" w:fill="auto"/>
          </w:tcPr>
          <w:p w14:paraId="20334047"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Yield (cm)</w:t>
            </w:r>
          </w:p>
        </w:tc>
        <w:tc>
          <w:tcPr>
            <w:tcW w:w="1440" w:type="dxa"/>
            <w:tcBorders>
              <w:top w:val="single" w:sz="4" w:space="0" w:color="auto"/>
              <w:bottom w:val="double" w:sz="4" w:space="0" w:color="auto"/>
            </w:tcBorders>
            <w:shd w:val="clear" w:color="auto" w:fill="auto"/>
            <w:hideMark/>
          </w:tcPr>
          <w:p w14:paraId="6935B95C"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Gross Fe Transport(kg)</w:t>
            </w:r>
          </w:p>
        </w:tc>
        <w:tc>
          <w:tcPr>
            <w:tcW w:w="1440" w:type="dxa"/>
            <w:tcBorders>
              <w:top w:val="single" w:sz="4" w:space="0" w:color="auto"/>
              <w:bottom w:val="double" w:sz="4" w:space="0" w:color="auto"/>
            </w:tcBorders>
            <w:shd w:val="clear" w:color="auto" w:fill="auto"/>
            <w:hideMark/>
          </w:tcPr>
          <w:p w14:paraId="4D14E8E5"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Net Fe Transport (kg)</w:t>
            </w:r>
          </w:p>
        </w:tc>
        <w:tc>
          <w:tcPr>
            <w:tcW w:w="1080" w:type="dxa"/>
            <w:tcBorders>
              <w:top w:val="single" w:sz="4" w:space="0" w:color="auto"/>
              <w:bottom w:val="double" w:sz="4" w:space="0" w:color="auto"/>
            </w:tcBorders>
            <w:shd w:val="clear" w:color="auto" w:fill="auto"/>
            <w:hideMark/>
          </w:tcPr>
          <w:p w14:paraId="3637774D" w14:textId="2500389A" w:rsidR="00A90E7E" w:rsidRPr="00A90E7E" w:rsidRDefault="009878C4" w:rsidP="009878C4">
            <w:pPr>
              <w:spacing w:after="0" w:line="240" w:lineRule="auto"/>
              <w:jc w:val="center"/>
              <w:rPr>
                <w:rFonts w:eastAsia="Times New Roman" w:cstheme="minorHAnsi"/>
                <w:color w:val="000000"/>
                <w:sz w:val="20"/>
                <w:szCs w:val="20"/>
              </w:rPr>
            </w:pPr>
            <w:r>
              <w:rPr>
                <w:rFonts w:eastAsia="Times New Roman" w:cstheme="minorHAnsi"/>
                <w:color w:val="000000"/>
                <w:sz w:val="20"/>
                <w:szCs w:val="20"/>
              </w:rPr>
              <w:t>% of Total Export</w:t>
            </w:r>
            <w:r w:rsidR="00A90E7E" w:rsidRPr="00A90E7E">
              <w:rPr>
                <w:rFonts w:eastAsia="Times New Roman" w:cstheme="minorHAnsi"/>
                <w:color w:val="000000"/>
                <w:sz w:val="20"/>
                <w:szCs w:val="20"/>
              </w:rPr>
              <w:t xml:space="preserve"> </w:t>
            </w:r>
          </w:p>
        </w:tc>
      </w:tr>
      <w:tr w:rsidR="00A90E7E" w:rsidRPr="00A90E7E" w14:paraId="0EC6C6AF" w14:textId="77777777" w:rsidTr="00A90E7E">
        <w:trPr>
          <w:trHeight w:val="243"/>
        </w:trPr>
        <w:tc>
          <w:tcPr>
            <w:tcW w:w="1183" w:type="dxa"/>
            <w:tcBorders>
              <w:top w:val="double" w:sz="4" w:space="0" w:color="auto"/>
            </w:tcBorders>
            <w:shd w:val="clear" w:color="auto" w:fill="auto"/>
            <w:noWrap/>
            <w:vAlign w:val="bottom"/>
            <w:hideMark/>
          </w:tcPr>
          <w:p w14:paraId="5FF059EC"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Low</w:t>
            </w:r>
          </w:p>
        </w:tc>
        <w:tc>
          <w:tcPr>
            <w:tcW w:w="1162" w:type="dxa"/>
            <w:tcBorders>
              <w:top w:val="double" w:sz="4" w:space="0" w:color="auto"/>
            </w:tcBorders>
            <w:shd w:val="clear" w:color="auto" w:fill="auto"/>
            <w:noWrap/>
            <w:vAlign w:val="bottom"/>
            <w:hideMark/>
          </w:tcPr>
          <w:p w14:paraId="22B69651"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0.26</w:t>
            </w:r>
          </w:p>
        </w:tc>
        <w:tc>
          <w:tcPr>
            <w:tcW w:w="1080" w:type="dxa"/>
            <w:tcBorders>
              <w:top w:val="double" w:sz="4" w:space="0" w:color="auto"/>
            </w:tcBorders>
            <w:shd w:val="clear" w:color="auto" w:fill="auto"/>
            <w:noWrap/>
            <w:vAlign w:val="bottom"/>
            <w:hideMark/>
          </w:tcPr>
          <w:p w14:paraId="51B16443"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1.50</w:t>
            </w:r>
          </w:p>
        </w:tc>
        <w:tc>
          <w:tcPr>
            <w:tcW w:w="720" w:type="dxa"/>
            <w:tcBorders>
              <w:top w:val="double" w:sz="4" w:space="0" w:color="auto"/>
            </w:tcBorders>
            <w:shd w:val="clear" w:color="auto" w:fill="auto"/>
            <w:vAlign w:val="bottom"/>
          </w:tcPr>
          <w:p w14:paraId="1D603915" w14:textId="77777777" w:rsidR="00A90E7E" w:rsidRPr="00A90E7E" w:rsidRDefault="00A90E7E" w:rsidP="00A90E7E">
            <w:pPr>
              <w:spacing w:after="0" w:line="240" w:lineRule="auto"/>
              <w:jc w:val="center"/>
              <w:rPr>
                <w:rFonts w:cstheme="minorHAnsi"/>
                <w:sz w:val="20"/>
                <w:szCs w:val="20"/>
              </w:rPr>
            </w:pPr>
            <w:r w:rsidRPr="00A90E7E">
              <w:rPr>
                <w:rFonts w:cstheme="minorHAnsi"/>
                <w:sz w:val="20"/>
                <w:szCs w:val="20"/>
              </w:rPr>
              <w:t>0.37</w:t>
            </w:r>
          </w:p>
        </w:tc>
        <w:tc>
          <w:tcPr>
            <w:tcW w:w="1440" w:type="dxa"/>
            <w:tcBorders>
              <w:top w:val="double" w:sz="4" w:space="0" w:color="auto"/>
            </w:tcBorders>
            <w:shd w:val="clear" w:color="auto" w:fill="auto"/>
            <w:noWrap/>
            <w:vAlign w:val="bottom"/>
            <w:hideMark/>
          </w:tcPr>
          <w:p w14:paraId="0F7A8CD6"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1.20</w:t>
            </w:r>
          </w:p>
        </w:tc>
        <w:tc>
          <w:tcPr>
            <w:tcW w:w="1440" w:type="dxa"/>
            <w:tcBorders>
              <w:top w:val="double" w:sz="4" w:space="0" w:color="auto"/>
            </w:tcBorders>
            <w:shd w:val="clear" w:color="auto" w:fill="auto"/>
            <w:noWrap/>
            <w:vAlign w:val="bottom"/>
            <w:hideMark/>
          </w:tcPr>
          <w:p w14:paraId="6B7995AD"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0.87</w:t>
            </w:r>
          </w:p>
        </w:tc>
        <w:tc>
          <w:tcPr>
            <w:tcW w:w="1080" w:type="dxa"/>
            <w:tcBorders>
              <w:top w:val="double" w:sz="4" w:space="0" w:color="auto"/>
            </w:tcBorders>
            <w:shd w:val="clear" w:color="auto" w:fill="auto"/>
            <w:noWrap/>
            <w:vAlign w:val="bottom"/>
            <w:hideMark/>
          </w:tcPr>
          <w:p w14:paraId="327006EF"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72.7%</w:t>
            </w:r>
          </w:p>
        </w:tc>
      </w:tr>
      <w:tr w:rsidR="00A90E7E" w:rsidRPr="00A90E7E" w14:paraId="5A514AC4" w14:textId="77777777" w:rsidTr="00A90E7E">
        <w:trPr>
          <w:trHeight w:val="278"/>
        </w:trPr>
        <w:tc>
          <w:tcPr>
            <w:tcW w:w="1183" w:type="dxa"/>
            <w:shd w:val="clear" w:color="auto" w:fill="auto"/>
            <w:noWrap/>
            <w:vAlign w:val="bottom"/>
            <w:hideMark/>
          </w:tcPr>
          <w:p w14:paraId="7AC0E277"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Low</w:t>
            </w:r>
          </w:p>
        </w:tc>
        <w:tc>
          <w:tcPr>
            <w:tcW w:w="1162" w:type="dxa"/>
            <w:shd w:val="clear" w:color="auto" w:fill="auto"/>
            <w:noWrap/>
            <w:vAlign w:val="bottom"/>
            <w:hideMark/>
          </w:tcPr>
          <w:p w14:paraId="54BCE697"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0.34</w:t>
            </w:r>
          </w:p>
        </w:tc>
        <w:tc>
          <w:tcPr>
            <w:tcW w:w="1080" w:type="dxa"/>
            <w:shd w:val="clear" w:color="auto" w:fill="auto"/>
            <w:noWrap/>
            <w:vAlign w:val="bottom"/>
            <w:hideMark/>
          </w:tcPr>
          <w:p w14:paraId="6DE71654"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7.00</w:t>
            </w:r>
          </w:p>
        </w:tc>
        <w:tc>
          <w:tcPr>
            <w:tcW w:w="720" w:type="dxa"/>
            <w:shd w:val="clear" w:color="auto" w:fill="auto"/>
            <w:vAlign w:val="bottom"/>
          </w:tcPr>
          <w:p w14:paraId="55508ECC" w14:textId="77777777" w:rsidR="00A90E7E" w:rsidRPr="00A90E7E" w:rsidRDefault="00A90E7E" w:rsidP="00A90E7E">
            <w:pPr>
              <w:spacing w:after="0" w:line="240" w:lineRule="auto"/>
              <w:jc w:val="center"/>
              <w:rPr>
                <w:rFonts w:cstheme="minorHAnsi"/>
                <w:sz w:val="20"/>
                <w:szCs w:val="20"/>
              </w:rPr>
            </w:pPr>
            <w:r w:rsidRPr="00A90E7E">
              <w:rPr>
                <w:rFonts w:cstheme="minorHAnsi"/>
                <w:sz w:val="20"/>
                <w:szCs w:val="20"/>
              </w:rPr>
              <w:t>0.26</w:t>
            </w:r>
          </w:p>
        </w:tc>
        <w:tc>
          <w:tcPr>
            <w:tcW w:w="1440" w:type="dxa"/>
            <w:shd w:val="clear" w:color="auto" w:fill="auto"/>
            <w:noWrap/>
            <w:vAlign w:val="bottom"/>
            <w:hideMark/>
          </w:tcPr>
          <w:p w14:paraId="0E8312BC"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1.45</w:t>
            </w:r>
          </w:p>
        </w:tc>
        <w:tc>
          <w:tcPr>
            <w:tcW w:w="1440" w:type="dxa"/>
            <w:shd w:val="clear" w:color="auto" w:fill="auto"/>
            <w:noWrap/>
            <w:vAlign w:val="bottom"/>
            <w:hideMark/>
          </w:tcPr>
          <w:p w14:paraId="55727BFB"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1.07</w:t>
            </w:r>
          </w:p>
        </w:tc>
        <w:tc>
          <w:tcPr>
            <w:tcW w:w="1080" w:type="dxa"/>
            <w:shd w:val="clear" w:color="auto" w:fill="auto"/>
            <w:noWrap/>
            <w:vAlign w:val="bottom"/>
            <w:hideMark/>
          </w:tcPr>
          <w:p w14:paraId="240B232D"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74.2%</w:t>
            </w:r>
          </w:p>
        </w:tc>
      </w:tr>
      <w:tr w:rsidR="00A90E7E" w:rsidRPr="00A90E7E" w14:paraId="2111A15B" w14:textId="77777777" w:rsidTr="00A90E7E">
        <w:trPr>
          <w:trHeight w:val="300"/>
        </w:trPr>
        <w:tc>
          <w:tcPr>
            <w:tcW w:w="1183" w:type="dxa"/>
            <w:shd w:val="clear" w:color="auto" w:fill="auto"/>
            <w:noWrap/>
            <w:vAlign w:val="bottom"/>
          </w:tcPr>
          <w:p w14:paraId="7BAE1DBC"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Moderate</w:t>
            </w:r>
          </w:p>
        </w:tc>
        <w:tc>
          <w:tcPr>
            <w:tcW w:w="1162" w:type="dxa"/>
            <w:shd w:val="clear" w:color="auto" w:fill="auto"/>
            <w:noWrap/>
            <w:vAlign w:val="bottom"/>
          </w:tcPr>
          <w:p w14:paraId="61B7C203"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1.02</w:t>
            </w:r>
          </w:p>
        </w:tc>
        <w:tc>
          <w:tcPr>
            <w:tcW w:w="1080" w:type="dxa"/>
            <w:shd w:val="clear" w:color="auto" w:fill="auto"/>
            <w:noWrap/>
            <w:vAlign w:val="bottom"/>
          </w:tcPr>
          <w:p w14:paraId="619ACBB9"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7.25</w:t>
            </w:r>
          </w:p>
        </w:tc>
        <w:tc>
          <w:tcPr>
            <w:tcW w:w="720" w:type="dxa"/>
            <w:shd w:val="clear" w:color="auto" w:fill="auto"/>
            <w:vAlign w:val="bottom"/>
          </w:tcPr>
          <w:p w14:paraId="0A8661DC" w14:textId="77777777" w:rsidR="00A90E7E" w:rsidRPr="00A90E7E" w:rsidRDefault="00A90E7E" w:rsidP="00A90E7E">
            <w:pPr>
              <w:spacing w:after="0" w:line="240" w:lineRule="auto"/>
              <w:jc w:val="center"/>
              <w:rPr>
                <w:rFonts w:cstheme="minorHAnsi"/>
                <w:sz w:val="20"/>
                <w:szCs w:val="20"/>
              </w:rPr>
            </w:pPr>
            <w:r w:rsidRPr="00A90E7E">
              <w:rPr>
                <w:rFonts w:cstheme="minorHAnsi"/>
                <w:sz w:val="20"/>
                <w:szCs w:val="20"/>
              </w:rPr>
              <w:t>3.3</w:t>
            </w:r>
          </w:p>
        </w:tc>
        <w:tc>
          <w:tcPr>
            <w:tcW w:w="1440" w:type="dxa"/>
            <w:shd w:val="clear" w:color="auto" w:fill="auto"/>
            <w:noWrap/>
            <w:vAlign w:val="bottom"/>
          </w:tcPr>
          <w:p w14:paraId="6064ECBE"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1.64</w:t>
            </w:r>
          </w:p>
        </w:tc>
        <w:tc>
          <w:tcPr>
            <w:tcW w:w="1440" w:type="dxa"/>
            <w:shd w:val="clear" w:color="auto" w:fill="auto"/>
            <w:noWrap/>
            <w:vAlign w:val="bottom"/>
          </w:tcPr>
          <w:p w14:paraId="1ADB1B3A"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1.50</w:t>
            </w:r>
          </w:p>
        </w:tc>
        <w:tc>
          <w:tcPr>
            <w:tcW w:w="1080" w:type="dxa"/>
            <w:shd w:val="clear" w:color="auto" w:fill="auto"/>
            <w:noWrap/>
            <w:vAlign w:val="bottom"/>
          </w:tcPr>
          <w:p w14:paraId="62B0509E"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91.7%</w:t>
            </w:r>
          </w:p>
        </w:tc>
      </w:tr>
      <w:tr w:rsidR="00A90E7E" w:rsidRPr="00A90E7E" w14:paraId="5A1C19F5" w14:textId="77777777" w:rsidTr="00A90E7E">
        <w:trPr>
          <w:trHeight w:val="300"/>
        </w:trPr>
        <w:tc>
          <w:tcPr>
            <w:tcW w:w="1183" w:type="dxa"/>
            <w:shd w:val="clear" w:color="auto" w:fill="auto"/>
            <w:noWrap/>
            <w:vAlign w:val="bottom"/>
            <w:hideMark/>
          </w:tcPr>
          <w:p w14:paraId="3C67DF60"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Moderate</w:t>
            </w:r>
          </w:p>
        </w:tc>
        <w:tc>
          <w:tcPr>
            <w:tcW w:w="1162" w:type="dxa"/>
            <w:shd w:val="clear" w:color="auto" w:fill="auto"/>
            <w:noWrap/>
            <w:vAlign w:val="bottom"/>
            <w:hideMark/>
          </w:tcPr>
          <w:p w14:paraId="77F12C01"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1.02</w:t>
            </w:r>
          </w:p>
        </w:tc>
        <w:tc>
          <w:tcPr>
            <w:tcW w:w="1080" w:type="dxa"/>
            <w:shd w:val="clear" w:color="auto" w:fill="auto"/>
            <w:noWrap/>
            <w:vAlign w:val="bottom"/>
            <w:hideMark/>
          </w:tcPr>
          <w:p w14:paraId="7A322329"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2.50</w:t>
            </w:r>
          </w:p>
        </w:tc>
        <w:tc>
          <w:tcPr>
            <w:tcW w:w="720" w:type="dxa"/>
            <w:shd w:val="clear" w:color="auto" w:fill="auto"/>
            <w:vAlign w:val="bottom"/>
          </w:tcPr>
          <w:p w14:paraId="707BE563" w14:textId="77777777" w:rsidR="00A90E7E" w:rsidRPr="00A90E7E" w:rsidRDefault="00A90E7E" w:rsidP="00A90E7E">
            <w:pPr>
              <w:spacing w:after="0" w:line="240" w:lineRule="auto"/>
              <w:jc w:val="center"/>
              <w:rPr>
                <w:rFonts w:cstheme="minorHAnsi"/>
                <w:sz w:val="20"/>
                <w:szCs w:val="20"/>
              </w:rPr>
            </w:pPr>
            <w:r w:rsidRPr="00A90E7E">
              <w:rPr>
                <w:rFonts w:cstheme="minorHAnsi"/>
                <w:sz w:val="20"/>
                <w:szCs w:val="20"/>
              </w:rPr>
              <w:t>2.8</w:t>
            </w:r>
          </w:p>
        </w:tc>
        <w:tc>
          <w:tcPr>
            <w:tcW w:w="1440" w:type="dxa"/>
            <w:shd w:val="clear" w:color="auto" w:fill="auto"/>
            <w:noWrap/>
            <w:vAlign w:val="bottom"/>
            <w:hideMark/>
          </w:tcPr>
          <w:p w14:paraId="5C1BECCA"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0.86</w:t>
            </w:r>
          </w:p>
        </w:tc>
        <w:tc>
          <w:tcPr>
            <w:tcW w:w="1440" w:type="dxa"/>
            <w:shd w:val="clear" w:color="auto" w:fill="auto"/>
            <w:noWrap/>
            <w:vAlign w:val="bottom"/>
            <w:hideMark/>
          </w:tcPr>
          <w:p w14:paraId="3657FBE4"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0.68</w:t>
            </w:r>
          </w:p>
        </w:tc>
        <w:tc>
          <w:tcPr>
            <w:tcW w:w="1080" w:type="dxa"/>
            <w:shd w:val="clear" w:color="auto" w:fill="auto"/>
            <w:noWrap/>
            <w:vAlign w:val="bottom"/>
            <w:hideMark/>
          </w:tcPr>
          <w:p w14:paraId="686732FE"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78.9%</w:t>
            </w:r>
          </w:p>
        </w:tc>
      </w:tr>
      <w:tr w:rsidR="00A90E7E" w:rsidRPr="00A90E7E" w14:paraId="34DE54BF" w14:textId="77777777" w:rsidTr="00A90E7E">
        <w:trPr>
          <w:trHeight w:val="300"/>
        </w:trPr>
        <w:tc>
          <w:tcPr>
            <w:tcW w:w="1183" w:type="dxa"/>
            <w:shd w:val="clear" w:color="auto" w:fill="auto"/>
            <w:noWrap/>
            <w:vAlign w:val="bottom"/>
            <w:hideMark/>
          </w:tcPr>
          <w:p w14:paraId="031CA420"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Moderate</w:t>
            </w:r>
          </w:p>
        </w:tc>
        <w:tc>
          <w:tcPr>
            <w:tcW w:w="1162" w:type="dxa"/>
            <w:shd w:val="clear" w:color="auto" w:fill="auto"/>
            <w:noWrap/>
            <w:vAlign w:val="bottom"/>
            <w:hideMark/>
          </w:tcPr>
          <w:p w14:paraId="7CD1041D"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1.40</w:t>
            </w:r>
          </w:p>
        </w:tc>
        <w:tc>
          <w:tcPr>
            <w:tcW w:w="1080" w:type="dxa"/>
            <w:shd w:val="clear" w:color="auto" w:fill="auto"/>
            <w:noWrap/>
            <w:vAlign w:val="bottom"/>
            <w:hideMark/>
          </w:tcPr>
          <w:p w14:paraId="7997B7FB"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3.00</w:t>
            </w:r>
          </w:p>
        </w:tc>
        <w:tc>
          <w:tcPr>
            <w:tcW w:w="720" w:type="dxa"/>
            <w:shd w:val="clear" w:color="auto" w:fill="auto"/>
            <w:vAlign w:val="bottom"/>
          </w:tcPr>
          <w:p w14:paraId="4C7A1B3C" w14:textId="77777777" w:rsidR="00A90E7E" w:rsidRPr="00A90E7E" w:rsidRDefault="00A90E7E" w:rsidP="00A90E7E">
            <w:pPr>
              <w:spacing w:after="0" w:line="240" w:lineRule="auto"/>
              <w:jc w:val="center"/>
              <w:rPr>
                <w:rFonts w:cstheme="minorHAnsi"/>
                <w:sz w:val="20"/>
                <w:szCs w:val="20"/>
              </w:rPr>
            </w:pPr>
            <w:r w:rsidRPr="00A90E7E">
              <w:rPr>
                <w:rFonts w:cstheme="minorHAnsi"/>
                <w:sz w:val="20"/>
                <w:szCs w:val="20"/>
              </w:rPr>
              <w:t>1.2</w:t>
            </w:r>
          </w:p>
        </w:tc>
        <w:tc>
          <w:tcPr>
            <w:tcW w:w="1440" w:type="dxa"/>
            <w:shd w:val="clear" w:color="auto" w:fill="auto"/>
            <w:noWrap/>
            <w:vAlign w:val="bottom"/>
            <w:hideMark/>
          </w:tcPr>
          <w:p w14:paraId="03739ACD"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1.42</w:t>
            </w:r>
          </w:p>
        </w:tc>
        <w:tc>
          <w:tcPr>
            <w:tcW w:w="1440" w:type="dxa"/>
            <w:shd w:val="clear" w:color="auto" w:fill="auto"/>
            <w:noWrap/>
            <w:vAlign w:val="bottom"/>
            <w:hideMark/>
          </w:tcPr>
          <w:p w14:paraId="05066153"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1.11</w:t>
            </w:r>
          </w:p>
        </w:tc>
        <w:tc>
          <w:tcPr>
            <w:tcW w:w="1080" w:type="dxa"/>
            <w:shd w:val="clear" w:color="auto" w:fill="auto"/>
            <w:noWrap/>
            <w:vAlign w:val="bottom"/>
            <w:hideMark/>
          </w:tcPr>
          <w:p w14:paraId="60D05F21"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78.3%</w:t>
            </w:r>
          </w:p>
        </w:tc>
      </w:tr>
      <w:tr w:rsidR="00A90E7E" w:rsidRPr="00A90E7E" w14:paraId="50EFB33E" w14:textId="77777777" w:rsidTr="00A90E7E">
        <w:trPr>
          <w:trHeight w:val="300"/>
        </w:trPr>
        <w:tc>
          <w:tcPr>
            <w:tcW w:w="1183" w:type="dxa"/>
            <w:shd w:val="clear" w:color="auto" w:fill="auto"/>
            <w:noWrap/>
            <w:vAlign w:val="bottom"/>
            <w:hideMark/>
          </w:tcPr>
          <w:p w14:paraId="50660278"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Moderate</w:t>
            </w:r>
          </w:p>
        </w:tc>
        <w:tc>
          <w:tcPr>
            <w:tcW w:w="1162" w:type="dxa"/>
            <w:shd w:val="clear" w:color="auto" w:fill="auto"/>
            <w:noWrap/>
            <w:vAlign w:val="bottom"/>
            <w:hideMark/>
          </w:tcPr>
          <w:p w14:paraId="7479A2B0"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1.42</w:t>
            </w:r>
          </w:p>
        </w:tc>
        <w:tc>
          <w:tcPr>
            <w:tcW w:w="1080" w:type="dxa"/>
            <w:shd w:val="clear" w:color="auto" w:fill="auto"/>
            <w:noWrap/>
            <w:vAlign w:val="bottom"/>
            <w:hideMark/>
          </w:tcPr>
          <w:p w14:paraId="796325C2"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3.50</w:t>
            </w:r>
          </w:p>
        </w:tc>
        <w:tc>
          <w:tcPr>
            <w:tcW w:w="720" w:type="dxa"/>
            <w:shd w:val="clear" w:color="auto" w:fill="auto"/>
            <w:vAlign w:val="bottom"/>
          </w:tcPr>
          <w:p w14:paraId="6BAC6C00" w14:textId="77777777" w:rsidR="00A90E7E" w:rsidRPr="00A90E7E" w:rsidRDefault="00A90E7E" w:rsidP="00A90E7E">
            <w:pPr>
              <w:spacing w:after="0" w:line="240" w:lineRule="auto"/>
              <w:jc w:val="center"/>
              <w:rPr>
                <w:rFonts w:cstheme="minorHAnsi"/>
                <w:sz w:val="20"/>
                <w:szCs w:val="20"/>
              </w:rPr>
            </w:pPr>
            <w:r w:rsidRPr="00A90E7E">
              <w:rPr>
                <w:rFonts w:cstheme="minorHAnsi"/>
                <w:sz w:val="20"/>
                <w:szCs w:val="20"/>
              </w:rPr>
              <w:t>2.1</w:t>
            </w:r>
          </w:p>
        </w:tc>
        <w:tc>
          <w:tcPr>
            <w:tcW w:w="1440" w:type="dxa"/>
            <w:shd w:val="clear" w:color="auto" w:fill="auto"/>
            <w:noWrap/>
            <w:vAlign w:val="bottom"/>
            <w:hideMark/>
          </w:tcPr>
          <w:p w14:paraId="50B824D3"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1.28</w:t>
            </w:r>
          </w:p>
        </w:tc>
        <w:tc>
          <w:tcPr>
            <w:tcW w:w="1440" w:type="dxa"/>
            <w:shd w:val="clear" w:color="auto" w:fill="auto"/>
            <w:noWrap/>
            <w:vAlign w:val="bottom"/>
            <w:hideMark/>
          </w:tcPr>
          <w:p w14:paraId="436990FD"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0.98</w:t>
            </w:r>
          </w:p>
        </w:tc>
        <w:tc>
          <w:tcPr>
            <w:tcW w:w="1080" w:type="dxa"/>
            <w:shd w:val="clear" w:color="auto" w:fill="auto"/>
            <w:noWrap/>
            <w:vAlign w:val="bottom"/>
            <w:hideMark/>
          </w:tcPr>
          <w:p w14:paraId="43EC07B0"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76.8%</w:t>
            </w:r>
          </w:p>
        </w:tc>
      </w:tr>
      <w:tr w:rsidR="00A90E7E" w:rsidRPr="00A90E7E" w14:paraId="602540C1" w14:textId="77777777" w:rsidTr="00A90E7E">
        <w:trPr>
          <w:trHeight w:val="305"/>
        </w:trPr>
        <w:tc>
          <w:tcPr>
            <w:tcW w:w="1183" w:type="dxa"/>
            <w:shd w:val="clear" w:color="auto" w:fill="auto"/>
            <w:noWrap/>
            <w:vAlign w:val="bottom"/>
            <w:hideMark/>
          </w:tcPr>
          <w:p w14:paraId="16BC363B"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Moderate</w:t>
            </w:r>
          </w:p>
        </w:tc>
        <w:tc>
          <w:tcPr>
            <w:tcW w:w="1162" w:type="dxa"/>
            <w:shd w:val="clear" w:color="auto" w:fill="auto"/>
            <w:noWrap/>
            <w:vAlign w:val="bottom"/>
            <w:hideMark/>
          </w:tcPr>
          <w:p w14:paraId="4D792DB4"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1.60</w:t>
            </w:r>
          </w:p>
        </w:tc>
        <w:tc>
          <w:tcPr>
            <w:tcW w:w="1080" w:type="dxa"/>
            <w:shd w:val="clear" w:color="auto" w:fill="auto"/>
            <w:noWrap/>
            <w:vAlign w:val="bottom"/>
            <w:hideMark/>
          </w:tcPr>
          <w:p w14:paraId="3CDB3C0A"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6.75</w:t>
            </w:r>
          </w:p>
        </w:tc>
        <w:tc>
          <w:tcPr>
            <w:tcW w:w="720" w:type="dxa"/>
            <w:shd w:val="clear" w:color="auto" w:fill="auto"/>
            <w:vAlign w:val="bottom"/>
          </w:tcPr>
          <w:p w14:paraId="419B29D1" w14:textId="77777777" w:rsidR="00A90E7E" w:rsidRPr="00A90E7E" w:rsidRDefault="00A90E7E" w:rsidP="00A90E7E">
            <w:pPr>
              <w:spacing w:after="0" w:line="240" w:lineRule="auto"/>
              <w:jc w:val="center"/>
              <w:rPr>
                <w:rFonts w:cstheme="minorHAnsi"/>
                <w:sz w:val="20"/>
                <w:szCs w:val="20"/>
              </w:rPr>
            </w:pPr>
            <w:r w:rsidRPr="00A90E7E">
              <w:rPr>
                <w:rFonts w:cstheme="minorHAnsi"/>
                <w:sz w:val="20"/>
                <w:szCs w:val="20"/>
              </w:rPr>
              <w:t>3.7</w:t>
            </w:r>
          </w:p>
        </w:tc>
        <w:tc>
          <w:tcPr>
            <w:tcW w:w="1440" w:type="dxa"/>
            <w:shd w:val="clear" w:color="auto" w:fill="auto"/>
            <w:noWrap/>
            <w:vAlign w:val="bottom"/>
            <w:hideMark/>
          </w:tcPr>
          <w:p w14:paraId="78A01D20"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0.89</w:t>
            </w:r>
          </w:p>
        </w:tc>
        <w:tc>
          <w:tcPr>
            <w:tcW w:w="1440" w:type="dxa"/>
            <w:shd w:val="clear" w:color="auto" w:fill="auto"/>
            <w:noWrap/>
            <w:vAlign w:val="bottom"/>
            <w:hideMark/>
          </w:tcPr>
          <w:p w14:paraId="318A4B8A"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0.59</w:t>
            </w:r>
          </w:p>
        </w:tc>
        <w:tc>
          <w:tcPr>
            <w:tcW w:w="1080" w:type="dxa"/>
            <w:shd w:val="clear" w:color="auto" w:fill="auto"/>
            <w:noWrap/>
            <w:vAlign w:val="bottom"/>
            <w:hideMark/>
          </w:tcPr>
          <w:p w14:paraId="2180AACD"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67.2%</w:t>
            </w:r>
          </w:p>
        </w:tc>
      </w:tr>
      <w:tr w:rsidR="00A90E7E" w:rsidRPr="00A90E7E" w14:paraId="1462D8E0" w14:textId="77777777" w:rsidTr="00A90E7E">
        <w:trPr>
          <w:trHeight w:val="300"/>
        </w:trPr>
        <w:tc>
          <w:tcPr>
            <w:tcW w:w="1183" w:type="dxa"/>
            <w:shd w:val="clear" w:color="auto" w:fill="auto"/>
            <w:noWrap/>
            <w:vAlign w:val="bottom"/>
            <w:hideMark/>
          </w:tcPr>
          <w:p w14:paraId="1032147E"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High</w:t>
            </w:r>
          </w:p>
        </w:tc>
        <w:tc>
          <w:tcPr>
            <w:tcW w:w="1162" w:type="dxa"/>
            <w:shd w:val="clear" w:color="auto" w:fill="auto"/>
            <w:noWrap/>
            <w:vAlign w:val="bottom"/>
            <w:hideMark/>
          </w:tcPr>
          <w:p w14:paraId="6C48DA39"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2.18</w:t>
            </w:r>
          </w:p>
        </w:tc>
        <w:tc>
          <w:tcPr>
            <w:tcW w:w="1080" w:type="dxa"/>
            <w:shd w:val="clear" w:color="auto" w:fill="auto"/>
            <w:noWrap/>
            <w:vAlign w:val="bottom"/>
            <w:hideMark/>
          </w:tcPr>
          <w:p w14:paraId="41E89C3E"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4.75</w:t>
            </w:r>
          </w:p>
        </w:tc>
        <w:tc>
          <w:tcPr>
            <w:tcW w:w="720" w:type="dxa"/>
            <w:shd w:val="clear" w:color="auto" w:fill="auto"/>
            <w:vAlign w:val="bottom"/>
          </w:tcPr>
          <w:p w14:paraId="13BEC0C8" w14:textId="77777777" w:rsidR="00A90E7E" w:rsidRPr="00A90E7E" w:rsidRDefault="00A90E7E" w:rsidP="00A90E7E">
            <w:pPr>
              <w:spacing w:after="0" w:line="240" w:lineRule="auto"/>
              <w:jc w:val="center"/>
              <w:rPr>
                <w:rFonts w:cstheme="minorHAnsi"/>
                <w:sz w:val="20"/>
                <w:szCs w:val="20"/>
              </w:rPr>
            </w:pPr>
            <w:r w:rsidRPr="00A90E7E">
              <w:rPr>
                <w:rFonts w:cstheme="minorHAnsi"/>
                <w:sz w:val="20"/>
                <w:szCs w:val="20"/>
              </w:rPr>
              <w:t>2.5</w:t>
            </w:r>
          </w:p>
        </w:tc>
        <w:tc>
          <w:tcPr>
            <w:tcW w:w="1440" w:type="dxa"/>
            <w:shd w:val="clear" w:color="auto" w:fill="auto"/>
            <w:noWrap/>
            <w:vAlign w:val="bottom"/>
            <w:hideMark/>
          </w:tcPr>
          <w:p w14:paraId="17F66C5C"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0.99</w:t>
            </w:r>
          </w:p>
        </w:tc>
        <w:tc>
          <w:tcPr>
            <w:tcW w:w="1440" w:type="dxa"/>
            <w:shd w:val="clear" w:color="auto" w:fill="auto"/>
            <w:noWrap/>
            <w:vAlign w:val="bottom"/>
            <w:hideMark/>
          </w:tcPr>
          <w:p w14:paraId="63A7C5A2"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0.60</w:t>
            </w:r>
          </w:p>
        </w:tc>
        <w:tc>
          <w:tcPr>
            <w:tcW w:w="1080" w:type="dxa"/>
            <w:shd w:val="clear" w:color="auto" w:fill="auto"/>
            <w:noWrap/>
            <w:vAlign w:val="bottom"/>
            <w:hideMark/>
          </w:tcPr>
          <w:p w14:paraId="3655CB3E"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60.1%</w:t>
            </w:r>
          </w:p>
        </w:tc>
      </w:tr>
      <w:tr w:rsidR="00A90E7E" w:rsidRPr="00A90E7E" w14:paraId="2EE5DE7F" w14:textId="77777777" w:rsidTr="00A90E7E">
        <w:trPr>
          <w:trHeight w:val="300"/>
        </w:trPr>
        <w:tc>
          <w:tcPr>
            <w:tcW w:w="1183" w:type="dxa"/>
            <w:shd w:val="clear" w:color="auto" w:fill="auto"/>
            <w:noWrap/>
            <w:vAlign w:val="center"/>
            <w:hideMark/>
          </w:tcPr>
          <w:p w14:paraId="2F26CA90"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High</w:t>
            </w:r>
          </w:p>
        </w:tc>
        <w:tc>
          <w:tcPr>
            <w:tcW w:w="1162" w:type="dxa"/>
            <w:shd w:val="clear" w:color="auto" w:fill="auto"/>
            <w:noWrap/>
            <w:hideMark/>
          </w:tcPr>
          <w:p w14:paraId="7E35D132"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2.21</w:t>
            </w:r>
          </w:p>
        </w:tc>
        <w:tc>
          <w:tcPr>
            <w:tcW w:w="1080" w:type="dxa"/>
            <w:shd w:val="clear" w:color="auto" w:fill="auto"/>
            <w:noWrap/>
            <w:hideMark/>
          </w:tcPr>
          <w:p w14:paraId="71A77807"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3.75</w:t>
            </w:r>
          </w:p>
        </w:tc>
        <w:tc>
          <w:tcPr>
            <w:tcW w:w="720" w:type="dxa"/>
            <w:shd w:val="clear" w:color="auto" w:fill="auto"/>
            <w:vAlign w:val="bottom"/>
          </w:tcPr>
          <w:p w14:paraId="40B490F7" w14:textId="77777777" w:rsidR="00A90E7E" w:rsidRPr="00A90E7E" w:rsidRDefault="00A90E7E" w:rsidP="00A90E7E">
            <w:pPr>
              <w:spacing w:after="0" w:line="240" w:lineRule="auto"/>
              <w:jc w:val="center"/>
              <w:rPr>
                <w:rFonts w:cstheme="minorHAnsi"/>
                <w:sz w:val="20"/>
                <w:szCs w:val="20"/>
              </w:rPr>
            </w:pPr>
            <w:r w:rsidRPr="00A90E7E">
              <w:rPr>
                <w:rFonts w:cstheme="minorHAnsi"/>
                <w:sz w:val="20"/>
                <w:szCs w:val="20"/>
              </w:rPr>
              <w:t>6.0</w:t>
            </w:r>
          </w:p>
        </w:tc>
        <w:tc>
          <w:tcPr>
            <w:tcW w:w="1440" w:type="dxa"/>
            <w:shd w:val="clear" w:color="auto" w:fill="auto"/>
            <w:noWrap/>
            <w:hideMark/>
          </w:tcPr>
          <w:p w14:paraId="6A2A2746"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2.64</w:t>
            </w:r>
          </w:p>
        </w:tc>
        <w:tc>
          <w:tcPr>
            <w:tcW w:w="1440" w:type="dxa"/>
            <w:shd w:val="clear" w:color="auto" w:fill="auto"/>
            <w:noWrap/>
            <w:hideMark/>
          </w:tcPr>
          <w:p w14:paraId="6E319692"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1.47</w:t>
            </w:r>
          </w:p>
        </w:tc>
        <w:tc>
          <w:tcPr>
            <w:tcW w:w="1080" w:type="dxa"/>
            <w:shd w:val="clear" w:color="auto" w:fill="auto"/>
            <w:noWrap/>
            <w:hideMark/>
          </w:tcPr>
          <w:p w14:paraId="7F6A5FB0"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55.7%</w:t>
            </w:r>
          </w:p>
        </w:tc>
      </w:tr>
      <w:tr w:rsidR="00A90E7E" w:rsidRPr="00A90E7E" w14:paraId="1C590386" w14:textId="77777777" w:rsidTr="00A90E7E">
        <w:trPr>
          <w:trHeight w:val="80"/>
        </w:trPr>
        <w:tc>
          <w:tcPr>
            <w:tcW w:w="1183" w:type="dxa"/>
            <w:shd w:val="clear" w:color="auto" w:fill="auto"/>
            <w:noWrap/>
            <w:vAlign w:val="center"/>
            <w:hideMark/>
          </w:tcPr>
          <w:p w14:paraId="439575D8"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High</w:t>
            </w:r>
          </w:p>
        </w:tc>
        <w:tc>
          <w:tcPr>
            <w:tcW w:w="1162" w:type="dxa"/>
            <w:shd w:val="clear" w:color="auto" w:fill="auto"/>
            <w:noWrap/>
            <w:hideMark/>
          </w:tcPr>
          <w:p w14:paraId="57D6B2CA"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2.87</w:t>
            </w:r>
          </w:p>
        </w:tc>
        <w:tc>
          <w:tcPr>
            <w:tcW w:w="1080" w:type="dxa"/>
            <w:shd w:val="clear" w:color="auto" w:fill="auto"/>
            <w:noWrap/>
            <w:hideMark/>
          </w:tcPr>
          <w:p w14:paraId="6295C89F"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9.75</w:t>
            </w:r>
          </w:p>
        </w:tc>
        <w:tc>
          <w:tcPr>
            <w:tcW w:w="720" w:type="dxa"/>
            <w:shd w:val="clear" w:color="auto" w:fill="auto"/>
            <w:vAlign w:val="bottom"/>
          </w:tcPr>
          <w:p w14:paraId="273E626A" w14:textId="77777777" w:rsidR="00A90E7E" w:rsidRPr="00A90E7E" w:rsidRDefault="00A90E7E" w:rsidP="00A90E7E">
            <w:pPr>
              <w:spacing w:after="0" w:line="240" w:lineRule="auto"/>
              <w:jc w:val="center"/>
              <w:rPr>
                <w:rFonts w:cstheme="minorHAnsi"/>
                <w:sz w:val="20"/>
                <w:szCs w:val="20"/>
              </w:rPr>
            </w:pPr>
            <w:r w:rsidRPr="00A90E7E">
              <w:rPr>
                <w:rFonts w:cstheme="minorHAnsi"/>
                <w:sz w:val="20"/>
                <w:szCs w:val="20"/>
              </w:rPr>
              <w:t>3.5</w:t>
            </w:r>
          </w:p>
        </w:tc>
        <w:tc>
          <w:tcPr>
            <w:tcW w:w="1440" w:type="dxa"/>
            <w:shd w:val="clear" w:color="auto" w:fill="auto"/>
            <w:noWrap/>
            <w:hideMark/>
          </w:tcPr>
          <w:p w14:paraId="1F525081"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0.59</w:t>
            </w:r>
          </w:p>
        </w:tc>
        <w:tc>
          <w:tcPr>
            <w:tcW w:w="1440" w:type="dxa"/>
            <w:shd w:val="clear" w:color="auto" w:fill="auto"/>
            <w:noWrap/>
            <w:hideMark/>
          </w:tcPr>
          <w:p w14:paraId="33E73018"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0.43</w:t>
            </w:r>
          </w:p>
        </w:tc>
        <w:tc>
          <w:tcPr>
            <w:tcW w:w="1080" w:type="dxa"/>
            <w:shd w:val="clear" w:color="auto" w:fill="auto"/>
            <w:noWrap/>
            <w:hideMark/>
          </w:tcPr>
          <w:p w14:paraId="472CCA48"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74.1%</w:t>
            </w:r>
          </w:p>
        </w:tc>
      </w:tr>
      <w:tr w:rsidR="00A90E7E" w:rsidRPr="00A90E7E" w14:paraId="31C41278" w14:textId="77777777" w:rsidTr="00A90E7E">
        <w:trPr>
          <w:trHeight w:val="95"/>
        </w:trPr>
        <w:tc>
          <w:tcPr>
            <w:tcW w:w="1183" w:type="dxa"/>
            <w:tcBorders>
              <w:bottom w:val="single" w:sz="4" w:space="0" w:color="auto"/>
            </w:tcBorders>
            <w:shd w:val="clear" w:color="auto" w:fill="auto"/>
            <w:noWrap/>
            <w:vAlign w:val="center"/>
            <w:hideMark/>
          </w:tcPr>
          <w:p w14:paraId="1DE8FD94"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Extreme</w:t>
            </w:r>
          </w:p>
        </w:tc>
        <w:tc>
          <w:tcPr>
            <w:tcW w:w="1162" w:type="dxa"/>
            <w:tcBorders>
              <w:bottom w:val="single" w:sz="4" w:space="0" w:color="auto"/>
            </w:tcBorders>
            <w:shd w:val="clear" w:color="auto" w:fill="auto"/>
            <w:noWrap/>
            <w:hideMark/>
          </w:tcPr>
          <w:p w14:paraId="0E54DEB3"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8.51</w:t>
            </w:r>
          </w:p>
        </w:tc>
        <w:tc>
          <w:tcPr>
            <w:tcW w:w="1080" w:type="dxa"/>
            <w:tcBorders>
              <w:bottom w:val="single" w:sz="4" w:space="0" w:color="auto"/>
            </w:tcBorders>
            <w:shd w:val="clear" w:color="auto" w:fill="auto"/>
            <w:noWrap/>
            <w:hideMark/>
          </w:tcPr>
          <w:p w14:paraId="68F03AE3"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9.75</w:t>
            </w:r>
          </w:p>
        </w:tc>
        <w:tc>
          <w:tcPr>
            <w:tcW w:w="720" w:type="dxa"/>
            <w:tcBorders>
              <w:bottom w:val="single" w:sz="4" w:space="0" w:color="auto"/>
            </w:tcBorders>
            <w:shd w:val="clear" w:color="auto" w:fill="auto"/>
            <w:vAlign w:val="bottom"/>
          </w:tcPr>
          <w:p w14:paraId="631009B4"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18.4</w:t>
            </w:r>
          </w:p>
        </w:tc>
        <w:tc>
          <w:tcPr>
            <w:tcW w:w="1440" w:type="dxa"/>
            <w:tcBorders>
              <w:bottom w:val="single" w:sz="4" w:space="0" w:color="auto"/>
            </w:tcBorders>
            <w:shd w:val="clear" w:color="auto" w:fill="auto"/>
            <w:noWrap/>
            <w:hideMark/>
          </w:tcPr>
          <w:p w14:paraId="7951262A"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2.77</w:t>
            </w:r>
          </w:p>
        </w:tc>
        <w:tc>
          <w:tcPr>
            <w:tcW w:w="1440" w:type="dxa"/>
            <w:tcBorders>
              <w:bottom w:val="single" w:sz="4" w:space="0" w:color="auto"/>
            </w:tcBorders>
            <w:shd w:val="clear" w:color="auto" w:fill="auto"/>
            <w:noWrap/>
            <w:hideMark/>
          </w:tcPr>
          <w:p w14:paraId="3932090D"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0.73</w:t>
            </w:r>
          </w:p>
        </w:tc>
        <w:tc>
          <w:tcPr>
            <w:tcW w:w="1080" w:type="dxa"/>
            <w:tcBorders>
              <w:bottom w:val="single" w:sz="4" w:space="0" w:color="auto"/>
            </w:tcBorders>
            <w:shd w:val="clear" w:color="auto" w:fill="auto"/>
            <w:noWrap/>
            <w:hideMark/>
          </w:tcPr>
          <w:p w14:paraId="4F9211DC"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26.2%</w:t>
            </w:r>
          </w:p>
        </w:tc>
      </w:tr>
    </w:tbl>
    <w:p w14:paraId="4A054E80" w14:textId="77777777" w:rsidR="00A90E7E" w:rsidRPr="00A90E7E" w:rsidRDefault="00A90E7E" w:rsidP="00A90E7E">
      <w:pPr>
        <w:spacing w:line="480" w:lineRule="auto"/>
        <w:jc w:val="both"/>
        <w:rPr>
          <w:rFonts w:cs="Arial"/>
        </w:rPr>
      </w:pPr>
    </w:p>
    <w:p w14:paraId="48A15439" w14:textId="2C502CAF" w:rsidR="00A90E7E" w:rsidRPr="00A90E7E" w:rsidRDefault="00A90E7E" w:rsidP="00A90E7E">
      <w:pPr>
        <w:spacing w:line="480" w:lineRule="auto"/>
        <w:jc w:val="both"/>
        <w:rPr>
          <w:rFonts w:cs="Arial"/>
        </w:rPr>
      </w:pPr>
      <w:r w:rsidRPr="00A90E7E">
        <w:rPr>
          <w:rFonts w:cs="Arial"/>
        </w:rPr>
        <w:t>Cell2N had an average export of 0.98 kg Fe/storm (σ = 0.50 kg Fe/storm, n = 11) with total cell export consisting of 68% storm-</w:t>
      </w:r>
      <w:r w:rsidR="006D6139" w:rsidRPr="00A90E7E">
        <w:rPr>
          <w:rFonts w:cs="Arial"/>
        </w:rPr>
        <w:t>induced transport</w:t>
      </w:r>
      <w:r w:rsidRPr="00A90E7E">
        <w:rPr>
          <w:rFonts w:cs="Arial"/>
        </w:rPr>
        <w:t xml:space="preserve"> (σ = 16%, n = 11) on average for individual storms. Cell2S had an average export of 3.21 kg Fe/storm (σ = 3.66 kg Fe/storm, n = 7) with the total cell export consisting of 80% storm-induced transport (σ = 10%, n = 11) on average for individual storms.</w:t>
      </w:r>
    </w:p>
    <w:p w14:paraId="7028F2BC" w14:textId="2269A623" w:rsidR="00A90E7E" w:rsidRPr="00A90E7E" w:rsidRDefault="00EB5EA7" w:rsidP="00A90E7E">
      <w:pPr>
        <w:spacing w:after="0" w:line="240" w:lineRule="auto"/>
        <w:jc w:val="both"/>
        <w:rPr>
          <w:rFonts w:cs="Arial"/>
          <w:sz w:val="20"/>
        </w:rPr>
      </w:pPr>
      <w:r>
        <w:rPr>
          <w:rFonts w:cs="Arial"/>
          <w:sz w:val="20"/>
        </w:rPr>
        <w:t>Table 3.7</w:t>
      </w:r>
      <w:r w:rsidR="00A90E7E" w:rsidRPr="00A90E7E">
        <w:rPr>
          <w:rFonts w:cs="Arial"/>
          <w:sz w:val="20"/>
        </w:rPr>
        <w:t>: Cell 2S Storm Induced Iron Transport Summary (2011-2013)</w:t>
      </w:r>
    </w:p>
    <w:tbl>
      <w:tblPr>
        <w:tblW w:w="8105" w:type="dxa"/>
        <w:tblInd w:w="-5" w:type="dxa"/>
        <w:tblBorders>
          <w:bottom w:val="single" w:sz="4" w:space="0" w:color="auto"/>
        </w:tblBorders>
        <w:tblLayout w:type="fixed"/>
        <w:tblLook w:val="04A0" w:firstRow="1" w:lastRow="0" w:firstColumn="1" w:lastColumn="0" w:noHBand="0" w:noVBand="1"/>
      </w:tblPr>
      <w:tblGrid>
        <w:gridCol w:w="1166"/>
        <w:gridCol w:w="999"/>
        <w:gridCol w:w="1080"/>
        <w:gridCol w:w="720"/>
        <w:gridCol w:w="1440"/>
        <w:gridCol w:w="1440"/>
        <w:gridCol w:w="1260"/>
      </w:tblGrid>
      <w:tr w:rsidR="00A90E7E" w:rsidRPr="00A90E7E" w14:paraId="0435EFFB" w14:textId="77777777" w:rsidTr="00A90E7E">
        <w:trPr>
          <w:trHeight w:val="683"/>
        </w:trPr>
        <w:tc>
          <w:tcPr>
            <w:tcW w:w="1166" w:type="dxa"/>
            <w:tcBorders>
              <w:top w:val="single" w:sz="4" w:space="0" w:color="auto"/>
              <w:bottom w:val="double" w:sz="4" w:space="0" w:color="auto"/>
            </w:tcBorders>
            <w:shd w:val="clear" w:color="auto" w:fill="auto"/>
            <w:hideMark/>
          </w:tcPr>
          <w:p w14:paraId="6DF502F1"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Calibri"/>
                <w:color w:val="000000"/>
                <w:sz w:val="20"/>
                <w:szCs w:val="20"/>
              </w:rPr>
              <w:t>Intensity</w:t>
            </w:r>
            <w:r w:rsidRPr="00A90E7E">
              <w:rPr>
                <w:rFonts w:ascii="Calibri" w:eastAsia="Times New Roman" w:hAnsi="Calibri" w:cs="Calibri"/>
                <w:color w:val="000000"/>
                <w:sz w:val="20"/>
                <w:szCs w:val="20"/>
              </w:rPr>
              <w:br/>
              <w:t>Class</w:t>
            </w:r>
          </w:p>
        </w:tc>
        <w:tc>
          <w:tcPr>
            <w:tcW w:w="999" w:type="dxa"/>
            <w:tcBorders>
              <w:top w:val="single" w:sz="4" w:space="0" w:color="auto"/>
              <w:bottom w:val="double" w:sz="4" w:space="0" w:color="auto"/>
            </w:tcBorders>
            <w:shd w:val="clear" w:color="auto" w:fill="auto"/>
            <w:hideMark/>
          </w:tcPr>
          <w:p w14:paraId="6B7EC013"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Calibri"/>
                <w:color w:val="000000"/>
                <w:sz w:val="20"/>
                <w:szCs w:val="20"/>
              </w:rPr>
              <w:t>Intensity (cm/</w:t>
            </w:r>
            <w:proofErr w:type="spellStart"/>
            <w:r w:rsidRPr="00A90E7E">
              <w:rPr>
                <w:rFonts w:ascii="Calibri" w:eastAsia="Times New Roman" w:hAnsi="Calibri" w:cs="Calibri"/>
                <w:color w:val="000000"/>
                <w:sz w:val="20"/>
                <w:szCs w:val="20"/>
              </w:rPr>
              <w:t>hr</w:t>
            </w:r>
            <w:proofErr w:type="spellEnd"/>
            <w:r w:rsidRPr="00A90E7E">
              <w:rPr>
                <w:rFonts w:ascii="Calibri" w:eastAsia="Times New Roman" w:hAnsi="Calibri" w:cs="Calibri"/>
                <w:color w:val="000000"/>
                <w:sz w:val="20"/>
                <w:szCs w:val="20"/>
              </w:rPr>
              <w:t>)</w:t>
            </w:r>
          </w:p>
        </w:tc>
        <w:tc>
          <w:tcPr>
            <w:tcW w:w="1080" w:type="dxa"/>
            <w:tcBorders>
              <w:top w:val="single" w:sz="4" w:space="0" w:color="auto"/>
              <w:bottom w:val="double" w:sz="4" w:space="0" w:color="auto"/>
            </w:tcBorders>
            <w:shd w:val="clear" w:color="auto" w:fill="auto"/>
            <w:hideMark/>
          </w:tcPr>
          <w:p w14:paraId="789B81B9"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Calibri"/>
                <w:color w:val="000000"/>
                <w:sz w:val="20"/>
                <w:szCs w:val="20"/>
              </w:rPr>
              <w:t>Duration (</w:t>
            </w:r>
            <w:proofErr w:type="spellStart"/>
            <w:r w:rsidRPr="00A90E7E">
              <w:rPr>
                <w:rFonts w:ascii="Calibri" w:eastAsia="Times New Roman" w:hAnsi="Calibri" w:cs="Calibri"/>
                <w:color w:val="000000"/>
                <w:sz w:val="20"/>
                <w:szCs w:val="20"/>
              </w:rPr>
              <w:t>hr</w:t>
            </w:r>
            <w:proofErr w:type="spellEnd"/>
            <w:r w:rsidRPr="00A90E7E">
              <w:rPr>
                <w:rFonts w:ascii="Calibri" w:eastAsia="Times New Roman" w:hAnsi="Calibri" w:cs="Calibri"/>
                <w:color w:val="000000"/>
                <w:sz w:val="20"/>
                <w:szCs w:val="20"/>
              </w:rPr>
              <w:t>)</w:t>
            </w:r>
          </w:p>
        </w:tc>
        <w:tc>
          <w:tcPr>
            <w:tcW w:w="720" w:type="dxa"/>
            <w:tcBorders>
              <w:top w:val="single" w:sz="4" w:space="0" w:color="auto"/>
              <w:bottom w:val="double" w:sz="4" w:space="0" w:color="auto"/>
            </w:tcBorders>
            <w:shd w:val="clear" w:color="auto" w:fill="auto"/>
          </w:tcPr>
          <w:p w14:paraId="00CC9AE9"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Calibri"/>
                <w:color w:val="000000"/>
                <w:sz w:val="20"/>
                <w:szCs w:val="20"/>
              </w:rPr>
              <w:t>Yield (cm)</w:t>
            </w:r>
          </w:p>
        </w:tc>
        <w:tc>
          <w:tcPr>
            <w:tcW w:w="1440" w:type="dxa"/>
            <w:tcBorders>
              <w:top w:val="single" w:sz="4" w:space="0" w:color="auto"/>
              <w:bottom w:val="double" w:sz="4" w:space="0" w:color="auto"/>
            </w:tcBorders>
            <w:shd w:val="clear" w:color="auto" w:fill="auto"/>
            <w:hideMark/>
          </w:tcPr>
          <w:p w14:paraId="445F8422"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Calibri"/>
                <w:color w:val="000000"/>
                <w:sz w:val="20"/>
                <w:szCs w:val="20"/>
              </w:rPr>
              <w:t>Gross Fe Transport (kg)</w:t>
            </w:r>
          </w:p>
        </w:tc>
        <w:tc>
          <w:tcPr>
            <w:tcW w:w="1440" w:type="dxa"/>
            <w:tcBorders>
              <w:top w:val="single" w:sz="4" w:space="0" w:color="auto"/>
              <w:bottom w:val="double" w:sz="4" w:space="0" w:color="auto"/>
            </w:tcBorders>
            <w:shd w:val="clear" w:color="auto" w:fill="auto"/>
            <w:hideMark/>
          </w:tcPr>
          <w:p w14:paraId="1F5CDBA1"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Calibri"/>
                <w:color w:val="000000"/>
                <w:sz w:val="20"/>
                <w:szCs w:val="20"/>
              </w:rPr>
              <w:t>Net Fe Transport (kg)</w:t>
            </w:r>
          </w:p>
        </w:tc>
        <w:tc>
          <w:tcPr>
            <w:tcW w:w="1260" w:type="dxa"/>
            <w:tcBorders>
              <w:top w:val="single" w:sz="4" w:space="0" w:color="auto"/>
              <w:bottom w:val="double" w:sz="4" w:space="0" w:color="auto"/>
            </w:tcBorders>
            <w:shd w:val="clear" w:color="auto" w:fill="auto"/>
            <w:hideMark/>
          </w:tcPr>
          <w:p w14:paraId="4862752C" w14:textId="20A76E9E" w:rsidR="00A90E7E" w:rsidRPr="00A90E7E" w:rsidRDefault="00A90E7E" w:rsidP="006D6139">
            <w:pPr>
              <w:spacing w:after="0" w:line="240" w:lineRule="auto"/>
              <w:jc w:val="center"/>
              <w:rPr>
                <w:rFonts w:ascii="Calibri" w:eastAsia="Times New Roman" w:hAnsi="Calibri" w:cs="Times New Roman"/>
                <w:color w:val="000000"/>
                <w:sz w:val="20"/>
              </w:rPr>
            </w:pPr>
            <w:r w:rsidRPr="00A90E7E">
              <w:rPr>
                <w:rFonts w:ascii="Calibri" w:eastAsia="Times New Roman" w:hAnsi="Calibri" w:cs="Calibri"/>
                <w:color w:val="000000"/>
                <w:sz w:val="20"/>
                <w:szCs w:val="20"/>
              </w:rPr>
              <w:t xml:space="preserve">% of Total </w:t>
            </w:r>
            <w:r w:rsidR="006D6139">
              <w:rPr>
                <w:rFonts w:ascii="Calibri" w:eastAsia="Times New Roman" w:hAnsi="Calibri" w:cs="Calibri"/>
                <w:color w:val="000000"/>
                <w:sz w:val="20"/>
                <w:szCs w:val="20"/>
              </w:rPr>
              <w:t>Export</w:t>
            </w:r>
          </w:p>
        </w:tc>
      </w:tr>
      <w:tr w:rsidR="00A90E7E" w:rsidRPr="00A90E7E" w14:paraId="736B66F4" w14:textId="77777777" w:rsidTr="00A90E7E">
        <w:trPr>
          <w:trHeight w:val="315"/>
        </w:trPr>
        <w:tc>
          <w:tcPr>
            <w:tcW w:w="1166" w:type="dxa"/>
            <w:tcBorders>
              <w:top w:val="double" w:sz="4" w:space="0" w:color="auto"/>
            </w:tcBorders>
            <w:shd w:val="clear" w:color="auto" w:fill="auto"/>
            <w:noWrap/>
            <w:vAlign w:val="bottom"/>
          </w:tcPr>
          <w:p w14:paraId="24441F3E"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Moderate</w:t>
            </w:r>
          </w:p>
        </w:tc>
        <w:tc>
          <w:tcPr>
            <w:tcW w:w="999" w:type="dxa"/>
            <w:tcBorders>
              <w:top w:val="double" w:sz="4" w:space="0" w:color="auto"/>
            </w:tcBorders>
            <w:shd w:val="clear" w:color="auto" w:fill="auto"/>
            <w:noWrap/>
            <w:vAlign w:val="bottom"/>
          </w:tcPr>
          <w:p w14:paraId="646F43B2"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1.02</w:t>
            </w:r>
          </w:p>
        </w:tc>
        <w:tc>
          <w:tcPr>
            <w:tcW w:w="1080" w:type="dxa"/>
            <w:tcBorders>
              <w:top w:val="double" w:sz="4" w:space="0" w:color="auto"/>
            </w:tcBorders>
            <w:shd w:val="clear" w:color="auto" w:fill="auto"/>
            <w:noWrap/>
            <w:vAlign w:val="bottom"/>
          </w:tcPr>
          <w:p w14:paraId="1B84EA05"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7.00</w:t>
            </w:r>
          </w:p>
        </w:tc>
        <w:tc>
          <w:tcPr>
            <w:tcW w:w="720" w:type="dxa"/>
            <w:tcBorders>
              <w:top w:val="double" w:sz="4" w:space="0" w:color="auto"/>
            </w:tcBorders>
            <w:shd w:val="clear" w:color="auto" w:fill="auto"/>
            <w:vAlign w:val="bottom"/>
          </w:tcPr>
          <w:p w14:paraId="551279F0" w14:textId="77777777" w:rsidR="00A90E7E" w:rsidRPr="00A90E7E" w:rsidRDefault="00A90E7E" w:rsidP="00A90E7E">
            <w:pPr>
              <w:spacing w:after="0" w:line="240" w:lineRule="auto"/>
              <w:jc w:val="center"/>
              <w:rPr>
                <w:sz w:val="20"/>
              </w:rPr>
            </w:pPr>
            <w:r w:rsidRPr="00A90E7E">
              <w:rPr>
                <w:rFonts w:ascii="Calibri" w:hAnsi="Calibri" w:cs="Calibri"/>
                <w:sz w:val="20"/>
              </w:rPr>
              <w:t>3.0</w:t>
            </w:r>
          </w:p>
        </w:tc>
        <w:tc>
          <w:tcPr>
            <w:tcW w:w="1440" w:type="dxa"/>
            <w:tcBorders>
              <w:top w:val="double" w:sz="4" w:space="0" w:color="auto"/>
            </w:tcBorders>
            <w:shd w:val="clear" w:color="auto" w:fill="auto"/>
            <w:noWrap/>
            <w:vAlign w:val="bottom"/>
          </w:tcPr>
          <w:p w14:paraId="40DCC7E6"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2.59</w:t>
            </w:r>
          </w:p>
        </w:tc>
        <w:tc>
          <w:tcPr>
            <w:tcW w:w="1440" w:type="dxa"/>
            <w:tcBorders>
              <w:top w:val="double" w:sz="4" w:space="0" w:color="auto"/>
            </w:tcBorders>
            <w:shd w:val="clear" w:color="auto" w:fill="auto"/>
            <w:noWrap/>
            <w:vAlign w:val="bottom"/>
          </w:tcPr>
          <w:p w14:paraId="70EDA8FB"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2.24</w:t>
            </w:r>
          </w:p>
        </w:tc>
        <w:tc>
          <w:tcPr>
            <w:tcW w:w="1260" w:type="dxa"/>
            <w:tcBorders>
              <w:top w:val="double" w:sz="4" w:space="0" w:color="auto"/>
            </w:tcBorders>
            <w:shd w:val="clear" w:color="auto" w:fill="auto"/>
            <w:noWrap/>
            <w:vAlign w:val="bottom"/>
          </w:tcPr>
          <w:p w14:paraId="68788AA2"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86.2%</w:t>
            </w:r>
          </w:p>
        </w:tc>
      </w:tr>
      <w:tr w:rsidR="00A90E7E" w:rsidRPr="00A90E7E" w14:paraId="7180471A" w14:textId="77777777" w:rsidTr="00A90E7E">
        <w:trPr>
          <w:trHeight w:val="300"/>
        </w:trPr>
        <w:tc>
          <w:tcPr>
            <w:tcW w:w="1166" w:type="dxa"/>
            <w:shd w:val="clear" w:color="auto" w:fill="auto"/>
            <w:noWrap/>
            <w:vAlign w:val="bottom"/>
            <w:hideMark/>
          </w:tcPr>
          <w:p w14:paraId="7A599360"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Moderate</w:t>
            </w:r>
          </w:p>
        </w:tc>
        <w:tc>
          <w:tcPr>
            <w:tcW w:w="999" w:type="dxa"/>
            <w:shd w:val="clear" w:color="auto" w:fill="auto"/>
            <w:noWrap/>
            <w:vAlign w:val="bottom"/>
            <w:hideMark/>
          </w:tcPr>
          <w:p w14:paraId="5977CA13"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1.40</w:t>
            </w:r>
          </w:p>
        </w:tc>
        <w:tc>
          <w:tcPr>
            <w:tcW w:w="1080" w:type="dxa"/>
            <w:shd w:val="clear" w:color="auto" w:fill="auto"/>
            <w:noWrap/>
            <w:vAlign w:val="bottom"/>
            <w:hideMark/>
          </w:tcPr>
          <w:p w14:paraId="63903303"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3.50</w:t>
            </w:r>
          </w:p>
        </w:tc>
        <w:tc>
          <w:tcPr>
            <w:tcW w:w="720" w:type="dxa"/>
            <w:shd w:val="clear" w:color="auto" w:fill="auto"/>
            <w:vAlign w:val="bottom"/>
          </w:tcPr>
          <w:p w14:paraId="2E01DA73" w14:textId="77777777" w:rsidR="00A90E7E" w:rsidRPr="00A90E7E" w:rsidRDefault="00A90E7E" w:rsidP="00A90E7E">
            <w:pPr>
              <w:spacing w:after="0" w:line="240" w:lineRule="auto"/>
              <w:jc w:val="center"/>
              <w:rPr>
                <w:sz w:val="20"/>
              </w:rPr>
            </w:pPr>
            <w:r w:rsidRPr="00A90E7E">
              <w:rPr>
                <w:sz w:val="20"/>
              </w:rPr>
              <w:t>2.31</w:t>
            </w:r>
          </w:p>
        </w:tc>
        <w:tc>
          <w:tcPr>
            <w:tcW w:w="1440" w:type="dxa"/>
            <w:shd w:val="clear" w:color="auto" w:fill="auto"/>
            <w:noWrap/>
            <w:vAlign w:val="bottom"/>
            <w:hideMark/>
          </w:tcPr>
          <w:p w14:paraId="182637E2"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10.14</w:t>
            </w:r>
          </w:p>
        </w:tc>
        <w:tc>
          <w:tcPr>
            <w:tcW w:w="1440" w:type="dxa"/>
            <w:shd w:val="clear" w:color="auto" w:fill="auto"/>
            <w:noWrap/>
            <w:vAlign w:val="bottom"/>
            <w:hideMark/>
          </w:tcPr>
          <w:p w14:paraId="0D3AA53B"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9.25</w:t>
            </w:r>
          </w:p>
        </w:tc>
        <w:tc>
          <w:tcPr>
            <w:tcW w:w="1260" w:type="dxa"/>
            <w:shd w:val="clear" w:color="auto" w:fill="auto"/>
            <w:noWrap/>
            <w:vAlign w:val="bottom"/>
            <w:hideMark/>
          </w:tcPr>
          <w:p w14:paraId="1DE190E4"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91.2%</w:t>
            </w:r>
          </w:p>
        </w:tc>
      </w:tr>
      <w:tr w:rsidR="00A90E7E" w:rsidRPr="00A90E7E" w14:paraId="7D0C7295" w14:textId="77777777" w:rsidTr="00A90E7E">
        <w:trPr>
          <w:trHeight w:val="300"/>
        </w:trPr>
        <w:tc>
          <w:tcPr>
            <w:tcW w:w="1166" w:type="dxa"/>
            <w:shd w:val="clear" w:color="auto" w:fill="auto"/>
            <w:noWrap/>
            <w:vAlign w:val="bottom"/>
            <w:hideMark/>
          </w:tcPr>
          <w:p w14:paraId="6134AD33"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Moderate</w:t>
            </w:r>
          </w:p>
        </w:tc>
        <w:tc>
          <w:tcPr>
            <w:tcW w:w="999" w:type="dxa"/>
            <w:shd w:val="clear" w:color="auto" w:fill="auto"/>
            <w:noWrap/>
            <w:vAlign w:val="bottom"/>
            <w:hideMark/>
          </w:tcPr>
          <w:p w14:paraId="3CE56800"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2.82</w:t>
            </w:r>
          </w:p>
        </w:tc>
        <w:tc>
          <w:tcPr>
            <w:tcW w:w="1080" w:type="dxa"/>
            <w:shd w:val="clear" w:color="auto" w:fill="auto"/>
            <w:noWrap/>
            <w:vAlign w:val="bottom"/>
            <w:hideMark/>
          </w:tcPr>
          <w:p w14:paraId="47D3A61C"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2.75</w:t>
            </w:r>
          </w:p>
        </w:tc>
        <w:tc>
          <w:tcPr>
            <w:tcW w:w="720" w:type="dxa"/>
            <w:shd w:val="clear" w:color="auto" w:fill="auto"/>
            <w:vAlign w:val="bottom"/>
          </w:tcPr>
          <w:p w14:paraId="1D985F68" w14:textId="77777777" w:rsidR="00A90E7E" w:rsidRPr="00A90E7E" w:rsidRDefault="00A90E7E" w:rsidP="00A90E7E">
            <w:pPr>
              <w:spacing w:after="0" w:line="240" w:lineRule="auto"/>
              <w:jc w:val="center"/>
              <w:rPr>
                <w:sz w:val="20"/>
              </w:rPr>
            </w:pPr>
            <w:r w:rsidRPr="00A90E7E">
              <w:rPr>
                <w:sz w:val="20"/>
              </w:rPr>
              <w:t>1.19</w:t>
            </w:r>
          </w:p>
        </w:tc>
        <w:tc>
          <w:tcPr>
            <w:tcW w:w="1440" w:type="dxa"/>
            <w:shd w:val="clear" w:color="auto" w:fill="auto"/>
            <w:noWrap/>
            <w:vAlign w:val="bottom"/>
            <w:hideMark/>
          </w:tcPr>
          <w:p w14:paraId="7990ED72"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11.79</w:t>
            </w:r>
          </w:p>
        </w:tc>
        <w:tc>
          <w:tcPr>
            <w:tcW w:w="1440" w:type="dxa"/>
            <w:shd w:val="clear" w:color="auto" w:fill="auto"/>
            <w:noWrap/>
            <w:vAlign w:val="bottom"/>
            <w:hideMark/>
          </w:tcPr>
          <w:p w14:paraId="47F2385B"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8.67</w:t>
            </w:r>
          </w:p>
        </w:tc>
        <w:tc>
          <w:tcPr>
            <w:tcW w:w="1260" w:type="dxa"/>
            <w:shd w:val="clear" w:color="auto" w:fill="auto"/>
            <w:noWrap/>
            <w:vAlign w:val="bottom"/>
            <w:hideMark/>
          </w:tcPr>
          <w:p w14:paraId="3268E456"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73.5%</w:t>
            </w:r>
          </w:p>
        </w:tc>
      </w:tr>
      <w:tr w:rsidR="00A90E7E" w:rsidRPr="00A90E7E" w14:paraId="680C2311" w14:textId="77777777" w:rsidTr="00A90E7E">
        <w:trPr>
          <w:trHeight w:val="300"/>
        </w:trPr>
        <w:tc>
          <w:tcPr>
            <w:tcW w:w="1166" w:type="dxa"/>
            <w:shd w:val="clear" w:color="auto" w:fill="auto"/>
            <w:noWrap/>
            <w:vAlign w:val="bottom"/>
            <w:hideMark/>
          </w:tcPr>
          <w:p w14:paraId="6194B8EF"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Moderate</w:t>
            </w:r>
          </w:p>
        </w:tc>
        <w:tc>
          <w:tcPr>
            <w:tcW w:w="999" w:type="dxa"/>
            <w:shd w:val="clear" w:color="auto" w:fill="auto"/>
            <w:noWrap/>
            <w:vAlign w:val="bottom"/>
            <w:hideMark/>
          </w:tcPr>
          <w:p w14:paraId="21879DF0"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1.02</w:t>
            </w:r>
          </w:p>
        </w:tc>
        <w:tc>
          <w:tcPr>
            <w:tcW w:w="1080" w:type="dxa"/>
            <w:shd w:val="clear" w:color="auto" w:fill="auto"/>
            <w:noWrap/>
            <w:vAlign w:val="bottom"/>
            <w:hideMark/>
          </w:tcPr>
          <w:p w14:paraId="6AC2D65A"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2.50</w:t>
            </w:r>
          </w:p>
        </w:tc>
        <w:tc>
          <w:tcPr>
            <w:tcW w:w="720" w:type="dxa"/>
            <w:shd w:val="clear" w:color="auto" w:fill="auto"/>
            <w:vAlign w:val="bottom"/>
          </w:tcPr>
          <w:p w14:paraId="4FA6368D" w14:textId="77777777" w:rsidR="00A90E7E" w:rsidRPr="00A90E7E" w:rsidRDefault="00A90E7E" w:rsidP="00A90E7E">
            <w:pPr>
              <w:spacing w:after="0" w:line="240" w:lineRule="auto"/>
              <w:jc w:val="center"/>
              <w:rPr>
                <w:sz w:val="20"/>
              </w:rPr>
            </w:pPr>
            <w:r w:rsidRPr="00A90E7E">
              <w:rPr>
                <w:sz w:val="20"/>
              </w:rPr>
              <w:t>2.21</w:t>
            </w:r>
          </w:p>
        </w:tc>
        <w:tc>
          <w:tcPr>
            <w:tcW w:w="1440" w:type="dxa"/>
            <w:shd w:val="clear" w:color="auto" w:fill="auto"/>
            <w:noWrap/>
            <w:vAlign w:val="bottom"/>
            <w:hideMark/>
          </w:tcPr>
          <w:p w14:paraId="3687A2BA"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0.86</w:t>
            </w:r>
          </w:p>
        </w:tc>
        <w:tc>
          <w:tcPr>
            <w:tcW w:w="1440" w:type="dxa"/>
            <w:shd w:val="clear" w:color="auto" w:fill="auto"/>
            <w:noWrap/>
            <w:vAlign w:val="bottom"/>
            <w:hideMark/>
          </w:tcPr>
          <w:p w14:paraId="0C7A9BCE"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0.68</w:t>
            </w:r>
          </w:p>
        </w:tc>
        <w:tc>
          <w:tcPr>
            <w:tcW w:w="1260" w:type="dxa"/>
            <w:shd w:val="clear" w:color="auto" w:fill="auto"/>
            <w:noWrap/>
            <w:vAlign w:val="bottom"/>
            <w:hideMark/>
          </w:tcPr>
          <w:p w14:paraId="56B7E655"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79.0%</w:t>
            </w:r>
          </w:p>
        </w:tc>
      </w:tr>
      <w:tr w:rsidR="00A90E7E" w:rsidRPr="00A90E7E" w14:paraId="05298AD8" w14:textId="77777777" w:rsidTr="00A90E7E">
        <w:trPr>
          <w:trHeight w:val="300"/>
        </w:trPr>
        <w:tc>
          <w:tcPr>
            <w:tcW w:w="1166" w:type="dxa"/>
            <w:shd w:val="clear" w:color="auto" w:fill="auto"/>
            <w:noWrap/>
            <w:vAlign w:val="bottom"/>
            <w:hideMark/>
          </w:tcPr>
          <w:p w14:paraId="34AA3B5D"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High</w:t>
            </w:r>
          </w:p>
        </w:tc>
        <w:tc>
          <w:tcPr>
            <w:tcW w:w="999" w:type="dxa"/>
            <w:shd w:val="clear" w:color="auto" w:fill="auto"/>
            <w:noWrap/>
            <w:vAlign w:val="bottom"/>
            <w:hideMark/>
          </w:tcPr>
          <w:p w14:paraId="01B41FC1"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3.38</w:t>
            </w:r>
          </w:p>
        </w:tc>
        <w:tc>
          <w:tcPr>
            <w:tcW w:w="1080" w:type="dxa"/>
            <w:shd w:val="clear" w:color="auto" w:fill="auto"/>
            <w:noWrap/>
            <w:vAlign w:val="bottom"/>
            <w:hideMark/>
          </w:tcPr>
          <w:p w14:paraId="7632CEBB"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3.75</w:t>
            </w:r>
          </w:p>
        </w:tc>
        <w:tc>
          <w:tcPr>
            <w:tcW w:w="720" w:type="dxa"/>
            <w:shd w:val="clear" w:color="auto" w:fill="auto"/>
            <w:vAlign w:val="bottom"/>
          </w:tcPr>
          <w:p w14:paraId="1631CECE" w14:textId="77777777" w:rsidR="00A90E7E" w:rsidRPr="00A90E7E" w:rsidRDefault="00A90E7E" w:rsidP="00A90E7E">
            <w:pPr>
              <w:spacing w:after="0" w:line="240" w:lineRule="auto"/>
              <w:jc w:val="center"/>
              <w:rPr>
                <w:sz w:val="20"/>
              </w:rPr>
            </w:pPr>
            <w:r w:rsidRPr="00A90E7E">
              <w:rPr>
                <w:sz w:val="20"/>
              </w:rPr>
              <w:t>2.72</w:t>
            </w:r>
          </w:p>
        </w:tc>
        <w:tc>
          <w:tcPr>
            <w:tcW w:w="1440" w:type="dxa"/>
            <w:shd w:val="clear" w:color="auto" w:fill="auto"/>
            <w:noWrap/>
            <w:vAlign w:val="bottom"/>
            <w:hideMark/>
          </w:tcPr>
          <w:p w14:paraId="0FD76A6A"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1.81</w:t>
            </w:r>
          </w:p>
        </w:tc>
        <w:tc>
          <w:tcPr>
            <w:tcW w:w="1440" w:type="dxa"/>
            <w:shd w:val="clear" w:color="auto" w:fill="auto"/>
            <w:noWrap/>
            <w:vAlign w:val="bottom"/>
            <w:hideMark/>
          </w:tcPr>
          <w:p w14:paraId="561A131D"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1.17</w:t>
            </w:r>
          </w:p>
        </w:tc>
        <w:tc>
          <w:tcPr>
            <w:tcW w:w="1260" w:type="dxa"/>
            <w:shd w:val="clear" w:color="auto" w:fill="auto"/>
            <w:noWrap/>
            <w:vAlign w:val="bottom"/>
            <w:hideMark/>
          </w:tcPr>
          <w:p w14:paraId="415C18A0"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64.7%</w:t>
            </w:r>
          </w:p>
        </w:tc>
      </w:tr>
      <w:tr w:rsidR="00A90E7E" w:rsidRPr="00A90E7E" w14:paraId="5FB1BBCC" w14:textId="77777777" w:rsidTr="00A90E7E">
        <w:trPr>
          <w:trHeight w:val="300"/>
        </w:trPr>
        <w:tc>
          <w:tcPr>
            <w:tcW w:w="1166" w:type="dxa"/>
            <w:shd w:val="clear" w:color="auto" w:fill="auto"/>
            <w:noWrap/>
            <w:vAlign w:val="bottom"/>
            <w:hideMark/>
          </w:tcPr>
          <w:p w14:paraId="25C03658"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High</w:t>
            </w:r>
          </w:p>
        </w:tc>
        <w:tc>
          <w:tcPr>
            <w:tcW w:w="999" w:type="dxa"/>
            <w:shd w:val="clear" w:color="auto" w:fill="auto"/>
            <w:noWrap/>
            <w:vAlign w:val="bottom"/>
            <w:hideMark/>
          </w:tcPr>
          <w:p w14:paraId="59F19872"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4.67</w:t>
            </w:r>
          </w:p>
        </w:tc>
        <w:tc>
          <w:tcPr>
            <w:tcW w:w="1080" w:type="dxa"/>
            <w:shd w:val="clear" w:color="auto" w:fill="auto"/>
            <w:noWrap/>
            <w:vAlign w:val="bottom"/>
            <w:hideMark/>
          </w:tcPr>
          <w:p w14:paraId="24723C63"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4.00</w:t>
            </w:r>
          </w:p>
        </w:tc>
        <w:tc>
          <w:tcPr>
            <w:tcW w:w="720" w:type="dxa"/>
            <w:shd w:val="clear" w:color="auto" w:fill="auto"/>
            <w:vAlign w:val="bottom"/>
          </w:tcPr>
          <w:p w14:paraId="4D8355D1" w14:textId="77777777" w:rsidR="00A90E7E" w:rsidRPr="00A90E7E" w:rsidRDefault="00A90E7E" w:rsidP="00A90E7E">
            <w:pPr>
              <w:spacing w:after="0" w:line="240" w:lineRule="auto"/>
              <w:jc w:val="center"/>
              <w:rPr>
                <w:sz w:val="20"/>
              </w:rPr>
            </w:pPr>
            <w:r w:rsidRPr="00A90E7E">
              <w:rPr>
                <w:sz w:val="20"/>
              </w:rPr>
              <w:t>3.35</w:t>
            </w:r>
          </w:p>
        </w:tc>
        <w:tc>
          <w:tcPr>
            <w:tcW w:w="1440" w:type="dxa"/>
            <w:shd w:val="clear" w:color="auto" w:fill="auto"/>
            <w:noWrap/>
            <w:vAlign w:val="bottom"/>
            <w:hideMark/>
          </w:tcPr>
          <w:p w14:paraId="42800113"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0.77</w:t>
            </w:r>
          </w:p>
        </w:tc>
        <w:tc>
          <w:tcPr>
            <w:tcW w:w="1440" w:type="dxa"/>
            <w:shd w:val="clear" w:color="auto" w:fill="auto"/>
            <w:noWrap/>
            <w:vAlign w:val="bottom"/>
            <w:hideMark/>
          </w:tcPr>
          <w:p w14:paraId="43B6210D"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0.67</w:t>
            </w:r>
          </w:p>
        </w:tc>
        <w:tc>
          <w:tcPr>
            <w:tcW w:w="1260" w:type="dxa"/>
            <w:shd w:val="clear" w:color="auto" w:fill="auto"/>
            <w:noWrap/>
            <w:vAlign w:val="bottom"/>
            <w:hideMark/>
          </w:tcPr>
          <w:p w14:paraId="3D1EBFD2"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87.5%</w:t>
            </w:r>
          </w:p>
        </w:tc>
      </w:tr>
      <w:tr w:rsidR="00A90E7E" w:rsidRPr="00A90E7E" w14:paraId="7D666A2E" w14:textId="77777777" w:rsidTr="00A90E7E">
        <w:trPr>
          <w:trHeight w:val="300"/>
        </w:trPr>
        <w:tc>
          <w:tcPr>
            <w:tcW w:w="1166" w:type="dxa"/>
            <w:shd w:val="clear" w:color="auto" w:fill="auto"/>
            <w:noWrap/>
            <w:vAlign w:val="bottom"/>
            <w:hideMark/>
          </w:tcPr>
          <w:p w14:paraId="407E5927"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Extreme</w:t>
            </w:r>
          </w:p>
        </w:tc>
        <w:tc>
          <w:tcPr>
            <w:tcW w:w="999" w:type="dxa"/>
            <w:shd w:val="clear" w:color="auto" w:fill="auto"/>
            <w:noWrap/>
            <w:vAlign w:val="bottom"/>
            <w:hideMark/>
          </w:tcPr>
          <w:p w14:paraId="4A2EF10D"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3.23</w:t>
            </w:r>
          </w:p>
        </w:tc>
        <w:tc>
          <w:tcPr>
            <w:tcW w:w="1080" w:type="dxa"/>
            <w:shd w:val="clear" w:color="auto" w:fill="auto"/>
            <w:noWrap/>
            <w:vAlign w:val="bottom"/>
            <w:hideMark/>
          </w:tcPr>
          <w:p w14:paraId="05E26F4B"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7.25</w:t>
            </w:r>
          </w:p>
        </w:tc>
        <w:tc>
          <w:tcPr>
            <w:tcW w:w="720" w:type="dxa"/>
            <w:shd w:val="clear" w:color="auto" w:fill="auto"/>
            <w:vAlign w:val="bottom"/>
          </w:tcPr>
          <w:p w14:paraId="5AD4557B"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9.49</w:t>
            </w:r>
          </w:p>
        </w:tc>
        <w:tc>
          <w:tcPr>
            <w:tcW w:w="1440" w:type="dxa"/>
            <w:shd w:val="clear" w:color="auto" w:fill="auto"/>
            <w:noWrap/>
            <w:vAlign w:val="bottom"/>
            <w:hideMark/>
          </w:tcPr>
          <w:p w14:paraId="1EE0233B"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0.66</w:t>
            </w:r>
          </w:p>
        </w:tc>
        <w:tc>
          <w:tcPr>
            <w:tcW w:w="1440" w:type="dxa"/>
            <w:shd w:val="clear" w:color="auto" w:fill="auto"/>
            <w:noWrap/>
            <w:vAlign w:val="bottom"/>
            <w:hideMark/>
          </w:tcPr>
          <w:p w14:paraId="17B45638"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0.49</w:t>
            </w:r>
          </w:p>
        </w:tc>
        <w:tc>
          <w:tcPr>
            <w:tcW w:w="1260" w:type="dxa"/>
            <w:shd w:val="clear" w:color="auto" w:fill="auto"/>
            <w:noWrap/>
            <w:vAlign w:val="bottom"/>
            <w:hideMark/>
          </w:tcPr>
          <w:p w14:paraId="7C5C5644" w14:textId="77777777" w:rsidR="00A90E7E" w:rsidRPr="00A90E7E" w:rsidRDefault="00A90E7E" w:rsidP="00A90E7E">
            <w:pPr>
              <w:spacing w:after="0" w:line="240" w:lineRule="auto"/>
              <w:jc w:val="center"/>
              <w:rPr>
                <w:rFonts w:ascii="Calibri" w:eastAsia="Times New Roman" w:hAnsi="Calibri" w:cs="Times New Roman"/>
                <w:color w:val="000000"/>
                <w:sz w:val="20"/>
              </w:rPr>
            </w:pPr>
            <w:r w:rsidRPr="00A90E7E">
              <w:rPr>
                <w:rFonts w:ascii="Calibri" w:eastAsia="Times New Roman" w:hAnsi="Calibri" w:cs="Times New Roman"/>
                <w:color w:val="000000"/>
                <w:sz w:val="20"/>
              </w:rPr>
              <w:t>75.4%</w:t>
            </w:r>
          </w:p>
        </w:tc>
      </w:tr>
    </w:tbl>
    <w:p w14:paraId="5D047419" w14:textId="77777777" w:rsidR="00A90E7E" w:rsidRPr="00A90E7E" w:rsidRDefault="00A90E7E" w:rsidP="00A90E7E">
      <w:pPr>
        <w:spacing w:line="360" w:lineRule="auto"/>
        <w:jc w:val="both"/>
        <w:rPr>
          <w:rFonts w:cs="Arial"/>
        </w:rPr>
      </w:pPr>
      <w:r w:rsidRPr="00A90E7E">
        <w:rPr>
          <w:rFonts w:cs="Arial"/>
        </w:rPr>
        <w:t xml:space="preserve"> </w:t>
      </w:r>
    </w:p>
    <w:p w14:paraId="0EE6D9FF" w14:textId="77777777" w:rsidR="00A90E7E" w:rsidRPr="00A90E7E" w:rsidRDefault="00A90E7E" w:rsidP="00A90E7E">
      <w:pPr>
        <w:spacing w:line="480" w:lineRule="auto"/>
        <w:jc w:val="both"/>
        <w:rPr>
          <w:rFonts w:cs="Arial"/>
        </w:rPr>
      </w:pPr>
      <w:r w:rsidRPr="00A90E7E">
        <w:rPr>
          <w:rFonts w:cs="Arial"/>
        </w:rPr>
        <w:lastRenderedPageBreak/>
        <w:t>The comparison of average storm induced transport out of the preliminary oxidation cell and the secondary oxidation cells indicates that the secondary surface flow wetlands serve as an iron removal buffer during times of storm disturbance. The average amount of iron being transported to the vertical flow bioreactors due to storm activity was mitigated by 47% due to the cooperative function of the secondary oxidation cells. Cells 3N and 3S would receive an average iron loading of 7862 kg Fe/year (</w:t>
      </w:r>
      <w:r w:rsidRPr="00A90E7E">
        <w:rPr>
          <w:rFonts w:cstheme="minorHAnsi"/>
        </w:rPr>
        <w:t>σ</w:t>
      </w:r>
      <w:r w:rsidRPr="00A90E7E">
        <w:rPr>
          <w:rFonts w:cs="Arial"/>
        </w:rPr>
        <w:t>=5608) from Cell 1 if the secondary oxidation cells had not been included in the system design.</w:t>
      </w:r>
    </w:p>
    <w:p w14:paraId="4945C93A" w14:textId="77777777" w:rsidR="00A90E7E" w:rsidRPr="00A90E7E" w:rsidRDefault="00A90E7E" w:rsidP="00A90E7E">
      <w:pPr>
        <w:spacing w:line="480" w:lineRule="auto"/>
        <w:jc w:val="both"/>
        <w:rPr>
          <w:rFonts w:cs="Arial"/>
        </w:rPr>
      </w:pPr>
      <w:r w:rsidRPr="00A90E7E">
        <w:rPr>
          <w:rFonts w:cs="Arial"/>
        </w:rPr>
        <w:t>There is no apparent relationship between storm intensity, duration, or yield with respect to the amount of iron transported from Cell2N and Cell2S.  The Cell2N and Cell2S iron transport profiles indicate that iron transport peaks during the storm events with a steady decline in transported iron as the cell returns to baseline While the Cell 1 transport mechanism was dominated by post-storm disturbance transport, Cells 2N and 2S exhibit a mechanism of transport maximized during each storm event. Low and moderate intensity storms show the largest relative amount of transported material over time;67-86% of Fe transport is storm induced in comparison to high and extreme storms (26%-74%) for Cell 2N.</w:t>
      </w:r>
    </w:p>
    <w:p w14:paraId="15459BC0" w14:textId="2BC136B6" w:rsidR="00A90E7E" w:rsidRPr="00A90E7E" w:rsidRDefault="00A90E7E" w:rsidP="00A90E7E">
      <w:pPr>
        <w:spacing w:line="480" w:lineRule="auto"/>
        <w:jc w:val="both"/>
        <w:rPr>
          <w:rFonts w:cs="Arial"/>
        </w:rPr>
      </w:pPr>
      <w:r w:rsidRPr="00A90E7E">
        <w:rPr>
          <w:noProof/>
        </w:rPr>
        <w:lastRenderedPageBreak/>
        <w:drawing>
          <wp:anchor distT="0" distB="0" distL="114300" distR="114300" simplePos="0" relativeHeight="251669504" behindDoc="0" locked="0" layoutInCell="1" allowOverlap="1" wp14:anchorId="03AF2101" wp14:editId="06C987A6">
            <wp:simplePos x="0" y="0"/>
            <wp:positionH relativeFrom="column">
              <wp:posOffset>-1376045</wp:posOffset>
            </wp:positionH>
            <wp:positionV relativeFrom="paragraph">
              <wp:posOffset>1372235</wp:posOffset>
            </wp:positionV>
            <wp:extent cx="8230235" cy="5485765"/>
            <wp:effectExtent l="635"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l="20140" t="23701" r="22043" b="10674"/>
                    <a:stretch/>
                  </pic:blipFill>
                  <pic:spPr bwMode="auto">
                    <a:xfrm rot="16200000">
                      <a:off x="0" y="0"/>
                      <a:ext cx="8230235" cy="5485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CE89A0" w14:textId="79A5EB2D" w:rsidR="004602C7" w:rsidRDefault="004602C7" w:rsidP="00A90E7E">
      <w:pPr>
        <w:spacing w:line="480" w:lineRule="auto"/>
        <w:jc w:val="both"/>
        <w:rPr>
          <w:rFonts w:cs="Arial"/>
        </w:rPr>
      </w:pPr>
      <w:r w:rsidRPr="00A90E7E">
        <w:rPr>
          <w:noProof/>
        </w:rPr>
        <w:lastRenderedPageBreak/>
        <w:drawing>
          <wp:inline distT="0" distB="0" distL="0" distR="0" wp14:anchorId="6D3C0B57" wp14:editId="71D93EA7">
            <wp:extent cx="8235123" cy="5260288"/>
            <wp:effectExtent l="1587"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3090" t="25629" r="22917" b="11074"/>
                    <a:stretch/>
                  </pic:blipFill>
                  <pic:spPr bwMode="auto">
                    <a:xfrm rot="16200000">
                      <a:off x="0" y="0"/>
                      <a:ext cx="8254585" cy="5272719"/>
                    </a:xfrm>
                    <a:prstGeom prst="rect">
                      <a:avLst/>
                    </a:prstGeom>
                    <a:ln>
                      <a:noFill/>
                    </a:ln>
                    <a:extLst>
                      <a:ext uri="{53640926-AAD7-44D8-BBD7-CCE9431645EC}">
                        <a14:shadowObscured xmlns:a14="http://schemas.microsoft.com/office/drawing/2010/main"/>
                      </a:ext>
                    </a:extLst>
                  </pic:spPr>
                </pic:pic>
              </a:graphicData>
            </a:graphic>
          </wp:inline>
        </w:drawing>
      </w:r>
      <w:r w:rsidR="00A90E7E" w:rsidRPr="00A90E7E">
        <w:rPr>
          <w:rFonts w:cs="Arial"/>
        </w:rPr>
        <w:t xml:space="preserve"> </w:t>
      </w:r>
      <w:r w:rsidR="00A90E7E" w:rsidRPr="00A90E7E">
        <w:rPr>
          <w:rFonts w:cs="Arial"/>
        </w:rPr>
        <w:lastRenderedPageBreak/>
        <w:t>High and ext</w:t>
      </w:r>
      <w:r w:rsidR="006D6139">
        <w:rPr>
          <w:rFonts w:cs="Arial"/>
        </w:rPr>
        <w:t xml:space="preserve">reme intensity storms show less % </w:t>
      </w:r>
      <w:r w:rsidR="00A90E7E" w:rsidRPr="00A90E7E">
        <w:rPr>
          <w:rFonts w:cs="Arial"/>
        </w:rPr>
        <w:t xml:space="preserve">mass transport relative to low and moderate intensity storms. As with the Cell 1 results, it appears that the total amount of mass transported by storms is most sensitive to the number of storm events (storm frequency) observed for a region rather than intensity, duration, or yield. Moderate intensity storms have the largest net transport as dilution is minimized, while the rainfall intensity is suitable for disturbing each cell. </w:t>
      </w:r>
    </w:p>
    <w:p w14:paraId="2D958DB2" w14:textId="77777777" w:rsidR="00CE1CC3" w:rsidRDefault="00CE1CC3" w:rsidP="00CE1CC3">
      <w:pPr>
        <w:pStyle w:val="Heading4"/>
        <w:jc w:val="both"/>
      </w:pPr>
      <w:r w:rsidRPr="00C124B9">
        <w:t>Cell 2N: Average Storm-Induced Iron Transport Over Time</w:t>
      </w:r>
      <w:r>
        <w:t xml:space="preserve"> </w:t>
      </w:r>
    </w:p>
    <w:p w14:paraId="5D699F0F" w14:textId="77777777" w:rsidR="00CE1CC3" w:rsidRPr="00B64BB8" w:rsidRDefault="00CE1CC3" w:rsidP="00CE1CC3">
      <w:pPr>
        <w:jc w:val="both"/>
      </w:pPr>
    </w:p>
    <w:p w14:paraId="3807E189" w14:textId="77777777" w:rsidR="00CE1CC3" w:rsidRDefault="00CE1CC3" w:rsidP="00CE1CC3">
      <w:pPr>
        <w:spacing w:line="480" w:lineRule="auto"/>
        <w:jc w:val="both"/>
        <w:rPr>
          <w:rFonts w:cs="Arial"/>
        </w:rPr>
      </w:pPr>
      <w:r>
        <w:rPr>
          <w:rFonts w:cs="Arial"/>
        </w:rPr>
        <w:t xml:space="preserve">Eleven storm-induced iron transport profiles were collected at the effluent of the northern surface flow wetland (C2Nout) and were classified based on their rainfall intensity.  An average iron mass transport was determined for each classification (Table 3.11). </w:t>
      </w:r>
    </w:p>
    <w:p w14:paraId="21640B81" w14:textId="220495AE" w:rsidR="00CE1CC3" w:rsidRPr="004602C7" w:rsidRDefault="00CE1CC3" w:rsidP="00CE1CC3">
      <w:pPr>
        <w:spacing w:line="240" w:lineRule="auto"/>
        <w:jc w:val="both"/>
        <w:rPr>
          <w:rFonts w:cs="Arial"/>
          <w:sz w:val="20"/>
        </w:rPr>
      </w:pPr>
      <w:r w:rsidRPr="004602C7">
        <w:rPr>
          <w:rFonts w:cs="Arial"/>
          <w:sz w:val="20"/>
        </w:rPr>
        <w:t>Table 3.</w:t>
      </w:r>
      <w:r w:rsidR="004602C7" w:rsidRPr="004602C7">
        <w:rPr>
          <w:rFonts w:cs="Arial"/>
          <w:sz w:val="20"/>
        </w:rPr>
        <w:t>8</w:t>
      </w:r>
      <w:r w:rsidRPr="004602C7">
        <w:rPr>
          <w:rFonts w:cs="Arial"/>
          <w:sz w:val="20"/>
        </w:rPr>
        <w:t>: Average Iron Mass Transport Based on Storm Intensity Classifications for Cell2N</w:t>
      </w:r>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1260"/>
        <w:gridCol w:w="1080"/>
        <w:gridCol w:w="1080"/>
        <w:gridCol w:w="1260"/>
        <w:gridCol w:w="1440"/>
        <w:gridCol w:w="1080"/>
      </w:tblGrid>
      <w:tr w:rsidR="00CE1CC3" w:rsidRPr="005705F1" w14:paraId="23593C8B" w14:textId="77777777" w:rsidTr="000B63E4">
        <w:trPr>
          <w:trHeight w:val="610"/>
        </w:trPr>
        <w:tc>
          <w:tcPr>
            <w:tcW w:w="1080" w:type="dxa"/>
            <w:tcBorders>
              <w:top w:val="single" w:sz="4" w:space="0" w:color="auto"/>
              <w:bottom w:val="double" w:sz="4" w:space="0" w:color="auto"/>
            </w:tcBorders>
            <w:vAlign w:val="center"/>
            <w:hideMark/>
          </w:tcPr>
          <w:p w14:paraId="161A1953" w14:textId="77777777" w:rsidR="00CE1CC3" w:rsidRPr="005705F1" w:rsidRDefault="00CE1CC3" w:rsidP="000B63E4">
            <w:pPr>
              <w:jc w:val="both"/>
              <w:rPr>
                <w:rFonts w:ascii="Calibri" w:hAnsi="Calibri" w:cs="Calibri"/>
                <w:color w:val="000000"/>
                <w:sz w:val="20"/>
                <w:szCs w:val="20"/>
              </w:rPr>
            </w:pPr>
            <w:r w:rsidRPr="005705F1">
              <w:rPr>
                <w:rFonts w:ascii="Calibri" w:hAnsi="Calibri" w:cs="Calibri"/>
                <w:color w:val="000000"/>
                <w:sz w:val="20"/>
                <w:szCs w:val="20"/>
              </w:rPr>
              <w:t>Intensity</w:t>
            </w:r>
          </w:p>
        </w:tc>
        <w:tc>
          <w:tcPr>
            <w:tcW w:w="1260" w:type="dxa"/>
            <w:tcBorders>
              <w:top w:val="single" w:sz="4" w:space="0" w:color="auto"/>
              <w:bottom w:val="double" w:sz="4" w:space="0" w:color="auto"/>
            </w:tcBorders>
            <w:vAlign w:val="center"/>
            <w:hideMark/>
          </w:tcPr>
          <w:p w14:paraId="024A473E" w14:textId="77777777" w:rsidR="00CE1CC3" w:rsidRPr="005705F1" w:rsidRDefault="00CE1CC3" w:rsidP="004602C7">
            <w:pPr>
              <w:jc w:val="center"/>
              <w:rPr>
                <w:rFonts w:ascii="Calibri" w:hAnsi="Calibri" w:cs="Calibri"/>
                <w:color w:val="000000"/>
                <w:sz w:val="20"/>
                <w:szCs w:val="20"/>
              </w:rPr>
            </w:pPr>
            <w:r w:rsidRPr="005705F1">
              <w:rPr>
                <w:rFonts w:ascii="Calibri" w:hAnsi="Calibri" w:cs="Calibri"/>
                <w:color w:val="000000"/>
                <w:sz w:val="20"/>
                <w:szCs w:val="20"/>
              </w:rPr>
              <w:t>Average Intensity ±σ (cm/</w:t>
            </w:r>
            <w:proofErr w:type="spellStart"/>
            <w:r w:rsidRPr="005705F1">
              <w:rPr>
                <w:rFonts w:ascii="Calibri" w:hAnsi="Calibri" w:cs="Calibri"/>
                <w:color w:val="000000"/>
                <w:sz w:val="20"/>
                <w:szCs w:val="20"/>
              </w:rPr>
              <w:t>hr</w:t>
            </w:r>
            <w:proofErr w:type="spellEnd"/>
            <w:r w:rsidRPr="005705F1">
              <w:rPr>
                <w:rFonts w:ascii="Calibri" w:hAnsi="Calibri" w:cs="Calibri"/>
                <w:color w:val="000000"/>
                <w:sz w:val="20"/>
                <w:szCs w:val="20"/>
              </w:rPr>
              <w:t>)</w:t>
            </w:r>
          </w:p>
        </w:tc>
        <w:tc>
          <w:tcPr>
            <w:tcW w:w="1080" w:type="dxa"/>
            <w:tcBorders>
              <w:top w:val="single" w:sz="4" w:space="0" w:color="auto"/>
              <w:bottom w:val="double" w:sz="4" w:space="0" w:color="auto"/>
            </w:tcBorders>
            <w:vAlign w:val="center"/>
            <w:hideMark/>
          </w:tcPr>
          <w:p w14:paraId="769BD0F0" w14:textId="77777777" w:rsidR="00CE1CC3" w:rsidRPr="005705F1" w:rsidRDefault="00CE1CC3" w:rsidP="004602C7">
            <w:pPr>
              <w:jc w:val="center"/>
              <w:rPr>
                <w:rFonts w:ascii="Calibri" w:hAnsi="Calibri" w:cs="Calibri"/>
                <w:color w:val="000000"/>
                <w:sz w:val="20"/>
                <w:szCs w:val="20"/>
              </w:rPr>
            </w:pPr>
            <w:r w:rsidRPr="005705F1">
              <w:rPr>
                <w:rFonts w:ascii="Calibri" w:hAnsi="Calibri" w:cs="Calibri"/>
                <w:color w:val="000000"/>
                <w:sz w:val="20"/>
                <w:szCs w:val="20"/>
              </w:rPr>
              <w:t>Average Duration ±σ (</w:t>
            </w:r>
            <w:proofErr w:type="spellStart"/>
            <w:r w:rsidRPr="005705F1">
              <w:rPr>
                <w:rFonts w:ascii="Calibri" w:hAnsi="Calibri" w:cs="Calibri"/>
                <w:color w:val="000000"/>
                <w:sz w:val="20"/>
                <w:szCs w:val="20"/>
              </w:rPr>
              <w:t>hrs</w:t>
            </w:r>
            <w:proofErr w:type="spellEnd"/>
            <w:r w:rsidRPr="005705F1">
              <w:rPr>
                <w:rFonts w:ascii="Calibri" w:hAnsi="Calibri" w:cs="Calibri"/>
                <w:color w:val="000000"/>
                <w:sz w:val="20"/>
                <w:szCs w:val="20"/>
              </w:rPr>
              <w:t>)</w:t>
            </w:r>
          </w:p>
        </w:tc>
        <w:tc>
          <w:tcPr>
            <w:tcW w:w="1080" w:type="dxa"/>
            <w:tcBorders>
              <w:top w:val="single" w:sz="4" w:space="0" w:color="auto"/>
              <w:bottom w:val="double" w:sz="4" w:space="0" w:color="auto"/>
            </w:tcBorders>
            <w:vAlign w:val="center"/>
          </w:tcPr>
          <w:p w14:paraId="52AB88F7" w14:textId="77777777" w:rsidR="00CE1CC3" w:rsidRPr="005705F1" w:rsidRDefault="00CE1CC3" w:rsidP="004602C7">
            <w:pPr>
              <w:jc w:val="center"/>
              <w:rPr>
                <w:rFonts w:ascii="Calibri" w:hAnsi="Calibri" w:cs="Calibri"/>
                <w:color w:val="000000"/>
                <w:sz w:val="20"/>
                <w:szCs w:val="20"/>
              </w:rPr>
            </w:pPr>
            <w:r w:rsidRPr="005705F1">
              <w:rPr>
                <w:rFonts w:ascii="Calibri" w:hAnsi="Calibri" w:cs="Calibri"/>
                <w:color w:val="000000"/>
                <w:sz w:val="20"/>
                <w:szCs w:val="20"/>
              </w:rPr>
              <w:t>Average Yield ±σ (cm)</w:t>
            </w:r>
          </w:p>
        </w:tc>
        <w:tc>
          <w:tcPr>
            <w:tcW w:w="1260" w:type="dxa"/>
            <w:tcBorders>
              <w:top w:val="single" w:sz="4" w:space="0" w:color="auto"/>
              <w:bottom w:val="double" w:sz="4" w:space="0" w:color="auto"/>
            </w:tcBorders>
            <w:vAlign w:val="center"/>
            <w:hideMark/>
          </w:tcPr>
          <w:p w14:paraId="19B24D5D" w14:textId="77777777" w:rsidR="00CE1CC3" w:rsidRPr="005705F1" w:rsidRDefault="00CE1CC3" w:rsidP="004602C7">
            <w:pPr>
              <w:jc w:val="center"/>
              <w:rPr>
                <w:rFonts w:ascii="Calibri" w:hAnsi="Calibri" w:cs="Calibri"/>
                <w:color w:val="000000"/>
                <w:sz w:val="20"/>
                <w:szCs w:val="20"/>
              </w:rPr>
            </w:pPr>
            <w:r w:rsidRPr="005705F1">
              <w:rPr>
                <w:rFonts w:ascii="Calibri" w:hAnsi="Calibri" w:cs="Calibri"/>
                <w:color w:val="000000"/>
                <w:sz w:val="20"/>
                <w:szCs w:val="20"/>
              </w:rPr>
              <w:t>Gross Fe Transport ±σ (kg)</w:t>
            </w:r>
          </w:p>
        </w:tc>
        <w:tc>
          <w:tcPr>
            <w:tcW w:w="1440" w:type="dxa"/>
            <w:tcBorders>
              <w:top w:val="single" w:sz="4" w:space="0" w:color="auto"/>
              <w:bottom w:val="double" w:sz="4" w:space="0" w:color="auto"/>
            </w:tcBorders>
            <w:vAlign w:val="center"/>
            <w:hideMark/>
          </w:tcPr>
          <w:p w14:paraId="684EB642" w14:textId="77777777" w:rsidR="00CE1CC3" w:rsidRPr="005705F1" w:rsidRDefault="00CE1CC3" w:rsidP="004602C7">
            <w:pPr>
              <w:jc w:val="center"/>
              <w:rPr>
                <w:rFonts w:ascii="Calibri" w:hAnsi="Calibri" w:cs="Calibri"/>
                <w:color w:val="000000"/>
                <w:sz w:val="20"/>
                <w:szCs w:val="20"/>
              </w:rPr>
            </w:pPr>
            <w:r w:rsidRPr="005705F1">
              <w:rPr>
                <w:rFonts w:ascii="Calibri" w:hAnsi="Calibri" w:cs="Calibri"/>
                <w:color w:val="000000"/>
                <w:sz w:val="20"/>
                <w:szCs w:val="20"/>
              </w:rPr>
              <w:t>Net Fe Transport (kg)</w:t>
            </w:r>
          </w:p>
        </w:tc>
        <w:tc>
          <w:tcPr>
            <w:tcW w:w="1080" w:type="dxa"/>
            <w:tcBorders>
              <w:top w:val="single" w:sz="4" w:space="0" w:color="auto"/>
              <w:bottom w:val="double" w:sz="4" w:space="0" w:color="auto"/>
            </w:tcBorders>
            <w:vAlign w:val="center"/>
            <w:hideMark/>
          </w:tcPr>
          <w:p w14:paraId="2EB2FB23" w14:textId="2951EFEC" w:rsidR="00CE1CC3" w:rsidRPr="005705F1" w:rsidRDefault="004602C7" w:rsidP="004602C7">
            <w:pPr>
              <w:jc w:val="center"/>
              <w:rPr>
                <w:rFonts w:ascii="Calibri" w:hAnsi="Calibri" w:cs="Calibri"/>
                <w:color w:val="000000"/>
                <w:sz w:val="20"/>
                <w:szCs w:val="20"/>
              </w:rPr>
            </w:pPr>
            <w:r>
              <w:rPr>
                <w:rFonts w:ascii="Calibri" w:hAnsi="Calibri" w:cs="Calibri"/>
                <w:color w:val="000000"/>
                <w:sz w:val="20"/>
                <w:szCs w:val="20"/>
              </w:rPr>
              <w:t>% of Total Export</w:t>
            </w:r>
          </w:p>
        </w:tc>
      </w:tr>
      <w:tr w:rsidR="00CE1CC3" w:rsidRPr="005705F1" w14:paraId="1296A074" w14:textId="77777777" w:rsidTr="000B63E4">
        <w:trPr>
          <w:trHeight w:val="315"/>
        </w:trPr>
        <w:tc>
          <w:tcPr>
            <w:tcW w:w="1080" w:type="dxa"/>
            <w:noWrap/>
            <w:vAlign w:val="center"/>
            <w:hideMark/>
          </w:tcPr>
          <w:p w14:paraId="31745745" w14:textId="77777777" w:rsidR="00CE1CC3" w:rsidRPr="003C5BA5" w:rsidRDefault="00CE1CC3" w:rsidP="000B63E4">
            <w:pPr>
              <w:jc w:val="both"/>
              <w:rPr>
                <w:rFonts w:ascii="Calibri" w:hAnsi="Calibri" w:cs="Calibri"/>
                <w:color w:val="000000"/>
                <w:sz w:val="18"/>
                <w:szCs w:val="20"/>
              </w:rPr>
            </w:pPr>
            <w:r w:rsidRPr="003C5BA5">
              <w:rPr>
                <w:rFonts w:ascii="Calibri" w:hAnsi="Calibri" w:cs="Calibri"/>
                <w:color w:val="000000"/>
                <w:sz w:val="18"/>
                <w:szCs w:val="20"/>
              </w:rPr>
              <w:t xml:space="preserve">Low </w:t>
            </w:r>
            <w:r w:rsidRPr="003C5BA5">
              <w:rPr>
                <w:rFonts w:ascii="Calibri" w:hAnsi="Calibri" w:cs="Calibri"/>
                <w:color w:val="000000"/>
                <w:sz w:val="18"/>
                <w:szCs w:val="20"/>
              </w:rPr>
              <w:br/>
              <w:t xml:space="preserve">   (n = 3)</w:t>
            </w:r>
          </w:p>
        </w:tc>
        <w:tc>
          <w:tcPr>
            <w:tcW w:w="1260" w:type="dxa"/>
            <w:noWrap/>
            <w:vAlign w:val="center"/>
          </w:tcPr>
          <w:p w14:paraId="5744C370"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0.527 ± 0.395</w:t>
            </w:r>
          </w:p>
        </w:tc>
        <w:tc>
          <w:tcPr>
            <w:tcW w:w="1080" w:type="dxa"/>
            <w:noWrap/>
            <w:vAlign w:val="center"/>
          </w:tcPr>
          <w:p w14:paraId="040A8392"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5.17 ± 3.18</w:t>
            </w:r>
          </w:p>
        </w:tc>
        <w:tc>
          <w:tcPr>
            <w:tcW w:w="1080" w:type="dxa"/>
            <w:vAlign w:val="center"/>
          </w:tcPr>
          <w:p w14:paraId="22663063" w14:textId="77777777" w:rsidR="00CE1CC3" w:rsidRPr="003C5BA5" w:rsidRDefault="00CE1CC3" w:rsidP="004602C7">
            <w:pPr>
              <w:jc w:val="center"/>
              <w:rPr>
                <w:sz w:val="18"/>
                <w:szCs w:val="20"/>
              </w:rPr>
            </w:pPr>
            <w:r w:rsidRPr="003C5BA5">
              <w:rPr>
                <w:rFonts w:ascii="Calibri" w:hAnsi="Calibri" w:cs="Calibri"/>
                <w:color w:val="000000"/>
                <w:sz w:val="18"/>
                <w:szCs w:val="20"/>
              </w:rPr>
              <w:t>1.75 ±0.74</w:t>
            </w:r>
          </w:p>
        </w:tc>
        <w:tc>
          <w:tcPr>
            <w:tcW w:w="1260" w:type="dxa"/>
            <w:noWrap/>
            <w:vAlign w:val="center"/>
          </w:tcPr>
          <w:p w14:paraId="455B1038"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1.39 ±0.74</w:t>
            </w:r>
          </w:p>
        </w:tc>
        <w:tc>
          <w:tcPr>
            <w:tcW w:w="1440" w:type="dxa"/>
            <w:noWrap/>
            <w:vAlign w:val="center"/>
          </w:tcPr>
          <w:p w14:paraId="518A0E68"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0.777 ±0.074</w:t>
            </w:r>
          </w:p>
        </w:tc>
        <w:tc>
          <w:tcPr>
            <w:tcW w:w="1080" w:type="dxa"/>
            <w:noWrap/>
            <w:vAlign w:val="center"/>
          </w:tcPr>
          <w:p w14:paraId="3857925C"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55.7%</w:t>
            </w:r>
          </w:p>
        </w:tc>
      </w:tr>
      <w:tr w:rsidR="00CE1CC3" w:rsidRPr="005705F1" w14:paraId="543BC422" w14:textId="77777777" w:rsidTr="000B63E4">
        <w:trPr>
          <w:trHeight w:val="315"/>
        </w:trPr>
        <w:tc>
          <w:tcPr>
            <w:tcW w:w="1080" w:type="dxa"/>
            <w:noWrap/>
            <w:vAlign w:val="center"/>
            <w:hideMark/>
          </w:tcPr>
          <w:p w14:paraId="37962B21" w14:textId="77777777" w:rsidR="00CE1CC3" w:rsidRPr="003C5BA5" w:rsidRDefault="00CE1CC3" w:rsidP="000B63E4">
            <w:pPr>
              <w:jc w:val="both"/>
              <w:rPr>
                <w:rFonts w:ascii="Calibri" w:hAnsi="Calibri" w:cs="Calibri"/>
                <w:color w:val="000000"/>
                <w:sz w:val="18"/>
                <w:szCs w:val="20"/>
              </w:rPr>
            </w:pPr>
            <w:r w:rsidRPr="003C5BA5">
              <w:rPr>
                <w:rFonts w:ascii="Calibri" w:hAnsi="Calibri" w:cs="Calibri"/>
                <w:color w:val="000000"/>
                <w:sz w:val="18"/>
                <w:szCs w:val="20"/>
              </w:rPr>
              <w:t>Moderate</w:t>
            </w:r>
            <w:r w:rsidRPr="003C5BA5">
              <w:rPr>
                <w:rFonts w:ascii="Calibri" w:hAnsi="Calibri" w:cs="Calibri"/>
                <w:color w:val="000000"/>
                <w:sz w:val="18"/>
                <w:szCs w:val="20"/>
              </w:rPr>
              <w:br/>
              <w:t xml:space="preserve">   (n = 4)</w:t>
            </w:r>
          </w:p>
        </w:tc>
        <w:tc>
          <w:tcPr>
            <w:tcW w:w="1260" w:type="dxa"/>
            <w:noWrap/>
            <w:vAlign w:val="center"/>
          </w:tcPr>
          <w:p w14:paraId="1701522E"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1.36 ± 0.25</w:t>
            </w:r>
          </w:p>
        </w:tc>
        <w:tc>
          <w:tcPr>
            <w:tcW w:w="1080" w:type="dxa"/>
            <w:noWrap/>
            <w:vAlign w:val="center"/>
          </w:tcPr>
          <w:p w14:paraId="28BA633D"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3.94 ± 1.92</w:t>
            </w:r>
          </w:p>
        </w:tc>
        <w:tc>
          <w:tcPr>
            <w:tcW w:w="1080" w:type="dxa"/>
            <w:vAlign w:val="center"/>
          </w:tcPr>
          <w:p w14:paraId="117DDB4D" w14:textId="77777777" w:rsidR="00CE1CC3" w:rsidRPr="003C5BA5" w:rsidRDefault="00CE1CC3" w:rsidP="004602C7">
            <w:pPr>
              <w:jc w:val="center"/>
              <w:rPr>
                <w:sz w:val="18"/>
                <w:szCs w:val="20"/>
              </w:rPr>
            </w:pPr>
            <w:r w:rsidRPr="003C5BA5">
              <w:rPr>
                <w:rFonts w:ascii="Calibri" w:hAnsi="Calibri" w:cs="Calibri"/>
                <w:color w:val="000000"/>
                <w:sz w:val="18"/>
                <w:szCs w:val="20"/>
              </w:rPr>
              <w:t>1.11 ±0.28</w:t>
            </w:r>
          </w:p>
        </w:tc>
        <w:tc>
          <w:tcPr>
            <w:tcW w:w="1260" w:type="dxa"/>
            <w:noWrap/>
            <w:vAlign w:val="center"/>
          </w:tcPr>
          <w:p w14:paraId="2452DF08"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0.841 ±0.247</w:t>
            </w:r>
          </w:p>
        </w:tc>
        <w:tc>
          <w:tcPr>
            <w:tcW w:w="1440" w:type="dxa"/>
            <w:noWrap/>
            <w:vAlign w:val="center"/>
          </w:tcPr>
          <w:p w14:paraId="1A430961"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0.753 ±0.055</w:t>
            </w:r>
          </w:p>
        </w:tc>
        <w:tc>
          <w:tcPr>
            <w:tcW w:w="1080" w:type="dxa"/>
            <w:noWrap/>
            <w:vAlign w:val="center"/>
          </w:tcPr>
          <w:p w14:paraId="18CB8F0E"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89.5%</w:t>
            </w:r>
          </w:p>
        </w:tc>
      </w:tr>
      <w:tr w:rsidR="00CE1CC3" w:rsidRPr="005705F1" w14:paraId="28727FA8" w14:textId="77777777" w:rsidTr="000B63E4">
        <w:trPr>
          <w:trHeight w:val="315"/>
        </w:trPr>
        <w:tc>
          <w:tcPr>
            <w:tcW w:w="1080" w:type="dxa"/>
            <w:noWrap/>
            <w:vAlign w:val="center"/>
            <w:hideMark/>
          </w:tcPr>
          <w:p w14:paraId="13E02119" w14:textId="77777777" w:rsidR="00CE1CC3" w:rsidRPr="003C5BA5" w:rsidRDefault="00CE1CC3" w:rsidP="000B63E4">
            <w:pPr>
              <w:jc w:val="both"/>
              <w:rPr>
                <w:rFonts w:ascii="Calibri" w:hAnsi="Calibri" w:cs="Calibri"/>
                <w:color w:val="000000"/>
                <w:sz w:val="18"/>
                <w:szCs w:val="20"/>
              </w:rPr>
            </w:pPr>
            <w:r w:rsidRPr="003C5BA5">
              <w:rPr>
                <w:rFonts w:ascii="Calibri" w:hAnsi="Calibri" w:cs="Calibri"/>
                <w:color w:val="000000"/>
                <w:sz w:val="18"/>
                <w:szCs w:val="20"/>
              </w:rPr>
              <w:t xml:space="preserve">High </w:t>
            </w:r>
            <w:r w:rsidRPr="003C5BA5">
              <w:rPr>
                <w:rFonts w:ascii="Calibri" w:hAnsi="Calibri" w:cs="Calibri"/>
                <w:color w:val="000000"/>
                <w:sz w:val="18"/>
                <w:szCs w:val="20"/>
              </w:rPr>
              <w:br/>
              <w:t xml:space="preserve">   (n = 3)</w:t>
            </w:r>
          </w:p>
        </w:tc>
        <w:tc>
          <w:tcPr>
            <w:tcW w:w="1260" w:type="dxa"/>
            <w:noWrap/>
            <w:vAlign w:val="center"/>
          </w:tcPr>
          <w:p w14:paraId="18628045"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2.42 ± 0.39</w:t>
            </w:r>
          </w:p>
        </w:tc>
        <w:tc>
          <w:tcPr>
            <w:tcW w:w="1080" w:type="dxa"/>
            <w:noWrap/>
            <w:vAlign w:val="center"/>
          </w:tcPr>
          <w:p w14:paraId="15DF95C9"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6.08 ± 3.21</w:t>
            </w:r>
          </w:p>
        </w:tc>
        <w:tc>
          <w:tcPr>
            <w:tcW w:w="1080" w:type="dxa"/>
            <w:vAlign w:val="center"/>
          </w:tcPr>
          <w:p w14:paraId="3D81F4C5" w14:textId="77777777" w:rsidR="00CE1CC3" w:rsidRPr="003C5BA5" w:rsidRDefault="00CE1CC3" w:rsidP="004602C7">
            <w:pPr>
              <w:spacing w:after="160"/>
              <w:jc w:val="center"/>
              <w:rPr>
                <w:rFonts w:ascii="Calibri" w:hAnsi="Calibri" w:cs="Calibri"/>
                <w:color w:val="000000"/>
                <w:sz w:val="18"/>
                <w:szCs w:val="20"/>
              </w:rPr>
            </w:pPr>
            <w:r w:rsidRPr="003C5BA5">
              <w:rPr>
                <w:rFonts w:ascii="Calibri" w:hAnsi="Calibri" w:cs="Calibri"/>
                <w:color w:val="000000"/>
                <w:sz w:val="18"/>
                <w:szCs w:val="20"/>
              </w:rPr>
              <w:t>1.41 ± 1.09</w:t>
            </w:r>
          </w:p>
        </w:tc>
        <w:tc>
          <w:tcPr>
            <w:tcW w:w="1260" w:type="dxa"/>
            <w:noWrap/>
            <w:vAlign w:val="center"/>
          </w:tcPr>
          <w:p w14:paraId="3D97FE9C"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0.836 ± 0.558</w:t>
            </w:r>
          </w:p>
        </w:tc>
        <w:tc>
          <w:tcPr>
            <w:tcW w:w="1440" w:type="dxa"/>
            <w:noWrap/>
            <w:vAlign w:val="center"/>
          </w:tcPr>
          <w:p w14:paraId="0B0F86BC"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0.633 ± 0.096</w:t>
            </w:r>
          </w:p>
        </w:tc>
        <w:tc>
          <w:tcPr>
            <w:tcW w:w="1080" w:type="dxa"/>
            <w:noWrap/>
            <w:vAlign w:val="center"/>
          </w:tcPr>
          <w:p w14:paraId="6DB08886"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75.7%</w:t>
            </w:r>
          </w:p>
        </w:tc>
      </w:tr>
      <w:tr w:rsidR="00CE1CC3" w:rsidRPr="005705F1" w14:paraId="45693514" w14:textId="77777777" w:rsidTr="000B63E4">
        <w:trPr>
          <w:trHeight w:val="315"/>
        </w:trPr>
        <w:tc>
          <w:tcPr>
            <w:tcW w:w="1080" w:type="dxa"/>
            <w:tcBorders>
              <w:bottom w:val="single" w:sz="4" w:space="0" w:color="auto"/>
            </w:tcBorders>
            <w:noWrap/>
            <w:vAlign w:val="center"/>
          </w:tcPr>
          <w:p w14:paraId="4B9816FD" w14:textId="77777777" w:rsidR="00CE1CC3" w:rsidRPr="003C5BA5" w:rsidRDefault="00CE1CC3" w:rsidP="000B63E4">
            <w:pPr>
              <w:jc w:val="both"/>
              <w:rPr>
                <w:rFonts w:ascii="Calibri" w:hAnsi="Calibri" w:cs="Calibri"/>
                <w:color w:val="000000"/>
                <w:sz w:val="18"/>
                <w:szCs w:val="20"/>
              </w:rPr>
            </w:pPr>
            <w:r w:rsidRPr="003C5BA5">
              <w:rPr>
                <w:rFonts w:ascii="Calibri" w:hAnsi="Calibri" w:cs="Calibri"/>
                <w:color w:val="000000"/>
                <w:sz w:val="18"/>
                <w:szCs w:val="20"/>
              </w:rPr>
              <w:t>Extreme</w:t>
            </w:r>
            <w:r w:rsidRPr="003C5BA5">
              <w:rPr>
                <w:rFonts w:ascii="Calibri" w:hAnsi="Calibri" w:cs="Calibri"/>
                <w:color w:val="000000"/>
                <w:sz w:val="18"/>
                <w:szCs w:val="20"/>
              </w:rPr>
              <w:br/>
              <w:t xml:space="preserve">   (n = 1)</w:t>
            </w:r>
          </w:p>
        </w:tc>
        <w:tc>
          <w:tcPr>
            <w:tcW w:w="1260" w:type="dxa"/>
            <w:tcBorders>
              <w:bottom w:val="single" w:sz="4" w:space="0" w:color="auto"/>
            </w:tcBorders>
            <w:noWrap/>
            <w:vAlign w:val="center"/>
          </w:tcPr>
          <w:p w14:paraId="24B6C247"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1.99</w:t>
            </w:r>
          </w:p>
        </w:tc>
        <w:tc>
          <w:tcPr>
            <w:tcW w:w="1080" w:type="dxa"/>
            <w:tcBorders>
              <w:bottom w:val="single" w:sz="4" w:space="0" w:color="auto"/>
            </w:tcBorders>
            <w:noWrap/>
            <w:vAlign w:val="center"/>
          </w:tcPr>
          <w:p w14:paraId="1247D385"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5.08</w:t>
            </w:r>
          </w:p>
        </w:tc>
        <w:tc>
          <w:tcPr>
            <w:tcW w:w="1080" w:type="dxa"/>
            <w:tcBorders>
              <w:bottom w:val="single" w:sz="4" w:space="0" w:color="auto"/>
            </w:tcBorders>
            <w:vAlign w:val="center"/>
          </w:tcPr>
          <w:p w14:paraId="688A51DB"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1.51</w:t>
            </w:r>
          </w:p>
        </w:tc>
        <w:tc>
          <w:tcPr>
            <w:tcW w:w="1260" w:type="dxa"/>
            <w:tcBorders>
              <w:bottom w:val="single" w:sz="4" w:space="0" w:color="auto"/>
            </w:tcBorders>
            <w:noWrap/>
            <w:vAlign w:val="center"/>
          </w:tcPr>
          <w:p w14:paraId="1D7335C6"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0.887</w:t>
            </w:r>
          </w:p>
        </w:tc>
        <w:tc>
          <w:tcPr>
            <w:tcW w:w="1440" w:type="dxa"/>
            <w:tcBorders>
              <w:bottom w:val="single" w:sz="4" w:space="0" w:color="auto"/>
            </w:tcBorders>
            <w:noWrap/>
            <w:vAlign w:val="center"/>
          </w:tcPr>
          <w:p w14:paraId="67E2A007" w14:textId="77777777" w:rsidR="00CE1CC3" w:rsidRPr="003C5BA5" w:rsidRDefault="00CE1CC3" w:rsidP="004602C7">
            <w:pPr>
              <w:jc w:val="center"/>
              <w:rPr>
                <w:rFonts w:ascii="Calibri" w:hAnsi="Calibri" w:cs="Calibri"/>
                <w:color w:val="000000"/>
                <w:sz w:val="18"/>
                <w:szCs w:val="20"/>
              </w:rPr>
            </w:pPr>
            <w:r w:rsidRPr="003C5BA5">
              <w:rPr>
                <w:rFonts w:ascii="Calibri" w:hAnsi="Calibri" w:cs="Calibri"/>
                <w:color w:val="000000"/>
                <w:sz w:val="18"/>
                <w:szCs w:val="20"/>
              </w:rPr>
              <w:t>0.610</w:t>
            </w:r>
          </w:p>
        </w:tc>
        <w:tc>
          <w:tcPr>
            <w:tcW w:w="1080" w:type="dxa"/>
            <w:tcBorders>
              <w:bottom w:val="single" w:sz="4" w:space="0" w:color="auto"/>
            </w:tcBorders>
            <w:noWrap/>
            <w:vAlign w:val="center"/>
          </w:tcPr>
          <w:p w14:paraId="7C222819" w14:textId="77777777" w:rsidR="00CE1CC3" w:rsidRPr="003C5BA5" w:rsidRDefault="00CE1CC3" w:rsidP="004602C7">
            <w:pPr>
              <w:ind w:left="49"/>
              <w:jc w:val="center"/>
              <w:rPr>
                <w:rFonts w:ascii="Calibri" w:hAnsi="Calibri" w:cs="Calibri"/>
                <w:color w:val="000000"/>
                <w:sz w:val="18"/>
                <w:szCs w:val="20"/>
              </w:rPr>
            </w:pPr>
            <w:r w:rsidRPr="003C5BA5">
              <w:rPr>
                <w:rFonts w:ascii="Calibri" w:hAnsi="Calibri" w:cs="Calibri"/>
                <w:color w:val="000000"/>
                <w:sz w:val="18"/>
                <w:szCs w:val="20"/>
              </w:rPr>
              <w:t>68.8%</w:t>
            </w:r>
          </w:p>
        </w:tc>
      </w:tr>
    </w:tbl>
    <w:p w14:paraId="70260C9D" w14:textId="77777777" w:rsidR="00CE1CC3" w:rsidRPr="002C0F3B" w:rsidRDefault="00CE1CC3" w:rsidP="00CE1CC3">
      <w:pPr>
        <w:spacing w:line="480" w:lineRule="auto"/>
        <w:jc w:val="both"/>
        <w:rPr>
          <w:rFonts w:cs="Arial"/>
          <w:sz w:val="4"/>
        </w:rPr>
      </w:pPr>
    </w:p>
    <w:p w14:paraId="7EBEE6C1" w14:textId="42144E8D" w:rsidR="00CE1CC3" w:rsidRDefault="00CE1CC3" w:rsidP="00CE1CC3">
      <w:pPr>
        <w:spacing w:line="480" w:lineRule="auto"/>
        <w:jc w:val="both"/>
        <w:rPr>
          <w:rFonts w:cs="Arial"/>
        </w:rPr>
      </w:pPr>
      <w:r>
        <w:rPr>
          <w:rFonts w:cs="Arial"/>
        </w:rPr>
        <w:t xml:space="preserve">Storms were observed to transport iron above the baseline value for all four storm intensities. The average amount of iron transported out of </w:t>
      </w:r>
      <w:r w:rsidRPr="00C124B9">
        <w:rPr>
          <w:rFonts w:cs="Arial"/>
        </w:rPr>
        <w:t xml:space="preserve">Cell2N </w:t>
      </w:r>
      <w:r>
        <w:rPr>
          <w:rFonts w:cs="Arial"/>
        </w:rPr>
        <w:t>wa</w:t>
      </w:r>
      <w:r w:rsidRPr="00C124B9">
        <w:rPr>
          <w:rFonts w:cs="Arial"/>
        </w:rPr>
        <w:t>s 0.980</w:t>
      </w:r>
      <w:r w:rsidRPr="00C124B9">
        <w:rPr>
          <w:rFonts w:cs="Calibri"/>
        </w:rPr>
        <w:t>±</w:t>
      </w:r>
      <w:r w:rsidRPr="00C124B9">
        <w:rPr>
          <w:rFonts w:cs="Arial"/>
        </w:rPr>
        <w:t>0.510 kg/storm for all</w:t>
      </w:r>
      <w:r>
        <w:rPr>
          <w:rFonts w:cs="Arial"/>
        </w:rPr>
        <w:t xml:space="preserve"> storms sampled, of which 68.2</w:t>
      </w:r>
      <w:r>
        <w:rPr>
          <w:rFonts w:cs="Calibri"/>
        </w:rPr>
        <w:t>±</w:t>
      </w:r>
      <w:r>
        <w:rPr>
          <w:rFonts w:cs="Arial"/>
        </w:rPr>
        <w:t>16.4%; (n = 11) of the transported iron was due</w:t>
      </w:r>
      <w:r w:rsidR="004602C7">
        <w:rPr>
          <w:rFonts w:cs="Arial"/>
        </w:rPr>
        <w:t xml:space="preserve"> to storm disturbance.  There is </w:t>
      </w:r>
      <w:r>
        <w:rPr>
          <w:rFonts w:cs="Arial"/>
        </w:rPr>
        <w:t xml:space="preserve">no apparent quantitative relationship between storm intensity and the amount of mass transport of iron.  A storm event of any intensity exceeding 0.25 cm/h exports iron out of Cell 2N (less than 1.00 kg of Fe per storm; see Table </w:t>
      </w:r>
      <w:r w:rsidR="004602C7">
        <w:rPr>
          <w:rFonts w:cs="Arial"/>
        </w:rPr>
        <w:t>3.8</w:t>
      </w:r>
      <w:r>
        <w:rPr>
          <w:rFonts w:cs="Arial"/>
        </w:rPr>
        <w:t xml:space="preserve">). Average individual storm transport </w:t>
      </w:r>
      <w:r>
        <w:rPr>
          <w:rFonts w:cs="Arial"/>
        </w:rPr>
        <w:lastRenderedPageBreak/>
        <w:t>of iron is statistically significant with respect to baseline transport based on the one-tailed Student’s t test (</w:t>
      </w:r>
      <w:r>
        <w:rPr>
          <w:rFonts w:cs="Calibri"/>
        </w:rPr>
        <w:t>α</w:t>
      </w:r>
      <w:r>
        <w:rPr>
          <w:rFonts w:cs="Arial"/>
        </w:rPr>
        <w:t>=0.05; -1.93 t stat; 1.72 t Critical).</w:t>
      </w:r>
    </w:p>
    <w:p w14:paraId="7CA786E6" w14:textId="77777777" w:rsidR="00CE1CC3" w:rsidRPr="00411456" w:rsidRDefault="00CE1CC3" w:rsidP="00CE1CC3">
      <w:pPr>
        <w:spacing w:line="240" w:lineRule="auto"/>
        <w:jc w:val="both"/>
        <w:rPr>
          <w:rFonts w:cs="Arial"/>
          <w:sz w:val="20"/>
        </w:rPr>
      </w:pPr>
      <w:r w:rsidRPr="0085448A">
        <w:rPr>
          <w:noProof/>
        </w:rPr>
        <w:drawing>
          <wp:inline distT="0" distB="0" distL="0" distR="0" wp14:anchorId="3A522781" wp14:editId="7CC255BA">
            <wp:extent cx="5257800" cy="3251835"/>
            <wp:effectExtent l="0" t="0" r="0" b="5715"/>
            <wp:docPr id="243" name="Chart 2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1EF3172" w14:textId="058A11A0" w:rsidR="00CE1CC3" w:rsidRPr="00411456" w:rsidRDefault="00CE1CC3" w:rsidP="00CE1CC3">
      <w:pPr>
        <w:spacing w:line="240" w:lineRule="auto"/>
        <w:jc w:val="both"/>
        <w:rPr>
          <w:rFonts w:cs="Arial"/>
          <w:sz w:val="20"/>
        </w:rPr>
      </w:pPr>
      <w:r w:rsidRPr="00411456">
        <w:rPr>
          <w:rFonts w:cs="Arial"/>
          <w:sz w:val="20"/>
        </w:rPr>
        <w:t xml:space="preserve">Figure </w:t>
      </w:r>
      <w:r w:rsidR="004602C7">
        <w:rPr>
          <w:rFonts w:cs="Arial"/>
          <w:sz w:val="20"/>
        </w:rPr>
        <w:t>3.13</w:t>
      </w:r>
      <w:r w:rsidRPr="00411456">
        <w:rPr>
          <w:rFonts w:cs="Arial"/>
          <w:sz w:val="20"/>
        </w:rPr>
        <w:t>: Monthly storm induced iron transport distribution over the three-year period of the storm tra</w:t>
      </w:r>
      <w:r>
        <w:rPr>
          <w:rFonts w:cs="Arial"/>
          <w:sz w:val="20"/>
        </w:rPr>
        <w:t>nsport profile data collection for Cell2N</w:t>
      </w:r>
      <w:r w:rsidRPr="00411456">
        <w:rPr>
          <w:rFonts w:cs="Arial"/>
          <w:sz w:val="20"/>
        </w:rPr>
        <w:t xml:space="preserve"> </w:t>
      </w:r>
    </w:p>
    <w:p w14:paraId="1048C10D" w14:textId="77777777" w:rsidR="00CE1CC3" w:rsidRPr="00631A43" w:rsidRDefault="00CE1CC3" w:rsidP="00CE1CC3">
      <w:pPr>
        <w:spacing w:line="240" w:lineRule="auto"/>
        <w:jc w:val="both"/>
        <w:rPr>
          <w:rFonts w:cs="Arial"/>
          <w:sz w:val="20"/>
        </w:rPr>
      </w:pPr>
    </w:p>
    <w:p w14:paraId="5222D302" w14:textId="73CEB9CA" w:rsidR="00CE1CC3" w:rsidRPr="002B7B87" w:rsidRDefault="00CE1CC3" w:rsidP="00CE1CC3">
      <w:pPr>
        <w:spacing w:line="480" w:lineRule="auto"/>
        <w:jc w:val="both"/>
        <w:rPr>
          <w:rFonts w:cs="Arial"/>
        </w:rPr>
      </w:pPr>
      <w:r>
        <w:rPr>
          <w:rFonts w:cs="Arial"/>
        </w:rPr>
        <w:t>The positive linear correlation between monthly storm induced mass transport of iron out of Cell 1 and the average frequency of storms each month for 2011-2013 (y=0.6795x+1.895; r</w:t>
      </w:r>
      <w:r w:rsidRPr="002B7B87">
        <w:rPr>
          <w:rFonts w:cs="Arial"/>
          <w:vertAlign w:val="superscript"/>
        </w:rPr>
        <w:t>2</w:t>
      </w:r>
      <w:r>
        <w:rPr>
          <w:rFonts w:cs="Arial"/>
        </w:rPr>
        <w:t xml:space="preserve"> = 0.8150) supports the statement that the quantity of material being exported above baseline is dependent on storm frequency rather than storm intensity. Low intensity storms transported the largest quantity of iron consistently each season over the higher intensity events (Figure </w:t>
      </w:r>
      <w:r w:rsidR="004602C7">
        <w:rPr>
          <w:rFonts w:cs="Arial"/>
        </w:rPr>
        <w:t>3.13</w:t>
      </w:r>
      <w:r>
        <w:rPr>
          <w:rFonts w:cs="Arial"/>
        </w:rPr>
        <w:t xml:space="preserve">). As there are nearly six times as many low intensity storms than moderate and high, and three times as many as the extreme events; the small quantity of iron transported for individual events is additive resulting in the largest contribution with increasing time. </w:t>
      </w:r>
    </w:p>
    <w:p w14:paraId="1D05D1EA" w14:textId="77777777" w:rsidR="00CE1CC3" w:rsidRPr="002C0F3B" w:rsidRDefault="00CE1CC3" w:rsidP="00CE1CC3">
      <w:pPr>
        <w:spacing w:line="240" w:lineRule="auto"/>
        <w:jc w:val="both"/>
        <w:rPr>
          <w:rFonts w:cs="Arial"/>
          <w:highlight w:val="magenta"/>
        </w:rPr>
      </w:pPr>
      <w:r w:rsidRPr="0085448A">
        <w:rPr>
          <w:noProof/>
        </w:rPr>
        <w:lastRenderedPageBreak/>
        <w:drawing>
          <wp:inline distT="0" distB="0" distL="0" distR="0" wp14:anchorId="465FC6EB" wp14:editId="635EF312">
            <wp:extent cx="5257800" cy="2740025"/>
            <wp:effectExtent l="0" t="0" r="0" b="3175"/>
            <wp:docPr id="242" name="Chart 2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352BDDA" w14:textId="454CE49F" w:rsidR="00CE1CC3" w:rsidRPr="002B2BA1" w:rsidRDefault="00CE1CC3" w:rsidP="00CE1CC3">
      <w:pPr>
        <w:spacing w:line="240" w:lineRule="auto"/>
        <w:jc w:val="both"/>
        <w:rPr>
          <w:rFonts w:cs="Arial"/>
          <w:sz w:val="20"/>
        </w:rPr>
      </w:pPr>
      <w:r>
        <w:rPr>
          <w:rFonts w:cs="Arial"/>
          <w:sz w:val="20"/>
        </w:rPr>
        <w:t xml:space="preserve">Figure </w:t>
      </w:r>
      <w:r w:rsidR="004602C7">
        <w:rPr>
          <w:rFonts w:cs="Arial"/>
          <w:sz w:val="20"/>
        </w:rPr>
        <w:t>3.14</w:t>
      </w:r>
      <w:r w:rsidRPr="00B30B07">
        <w:rPr>
          <w:rFonts w:cs="Arial"/>
          <w:sz w:val="20"/>
        </w:rPr>
        <w:t>: Average seasonal iron export from Cell</w:t>
      </w:r>
      <w:r>
        <w:rPr>
          <w:rFonts w:cs="Arial"/>
          <w:sz w:val="20"/>
        </w:rPr>
        <w:t xml:space="preserve"> 2N</w:t>
      </w:r>
      <w:r w:rsidRPr="00B30B07">
        <w:rPr>
          <w:rFonts w:cs="Arial"/>
          <w:sz w:val="20"/>
        </w:rPr>
        <w:t xml:space="preserve"> of the MRPTS based on rainfall intensity (2011-2013)</w:t>
      </w:r>
      <w:r>
        <w:rPr>
          <w:rFonts w:cs="Arial"/>
          <w:sz w:val="20"/>
        </w:rPr>
        <w:t xml:space="preserve"> with error bars representing the standard deviation of the iron transport between individual events at each intensity. </w:t>
      </w:r>
    </w:p>
    <w:p w14:paraId="1849FE62" w14:textId="77777777" w:rsidR="00CE1CC3" w:rsidRDefault="00CE1CC3" w:rsidP="00CE1CC3">
      <w:pPr>
        <w:spacing w:line="240" w:lineRule="auto"/>
        <w:jc w:val="both"/>
        <w:rPr>
          <w:rFonts w:cs="Arial"/>
        </w:rPr>
      </w:pPr>
    </w:p>
    <w:p w14:paraId="69B0B331" w14:textId="620A721B" w:rsidR="00CE1CC3" w:rsidRPr="004602C7" w:rsidRDefault="00CE1CC3" w:rsidP="004602C7">
      <w:pPr>
        <w:spacing w:line="240" w:lineRule="auto"/>
        <w:rPr>
          <w:rFonts w:cs="Arial"/>
          <w:sz w:val="20"/>
        </w:rPr>
      </w:pPr>
      <w:r w:rsidRPr="004602C7">
        <w:rPr>
          <w:rFonts w:cs="Arial"/>
          <w:sz w:val="20"/>
        </w:rPr>
        <w:t xml:space="preserve">Table </w:t>
      </w:r>
      <w:r w:rsidR="004602C7">
        <w:rPr>
          <w:rFonts w:cs="Arial"/>
          <w:sz w:val="20"/>
        </w:rPr>
        <w:t>3.9</w:t>
      </w:r>
      <w:r w:rsidRPr="004602C7">
        <w:rPr>
          <w:rFonts w:cs="Arial"/>
          <w:sz w:val="20"/>
        </w:rPr>
        <w:t>: Summary of Annual Iron Mass Loading and Transport for Cell 2N from 2011-2013</w:t>
      </w:r>
    </w:p>
    <w:tbl>
      <w:tblPr>
        <w:tblW w:w="8311" w:type="dxa"/>
        <w:tblLook w:val="04A0" w:firstRow="1" w:lastRow="0" w:firstColumn="1" w:lastColumn="0" w:noHBand="0" w:noVBand="1"/>
      </w:tblPr>
      <w:tblGrid>
        <w:gridCol w:w="995"/>
        <w:gridCol w:w="956"/>
        <w:gridCol w:w="1015"/>
        <w:gridCol w:w="1020"/>
        <w:gridCol w:w="1103"/>
        <w:gridCol w:w="1010"/>
        <w:gridCol w:w="1281"/>
        <w:gridCol w:w="931"/>
      </w:tblGrid>
      <w:tr w:rsidR="00CE1CC3" w:rsidRPr="00EF38D3" w14:paraId="6C5651D9" w14:textId="77777777" w:rsidTr="000B63E4">
        <w:trPr>
          <w:trHeight w:val="674"/>
        </w:trPr>
        <w:tc>
          <w:tcPr>
            <w:tcW w:w="995" w:type="dxa"/>
            <w:tcBorders>
              <w:top w:val="single" w:sz="4" w:space="0" w:color="auto"/>
              <w:left w:val="nil"/>
              <w:bottom w:val="double" w:sz="6" w:space="0" w:color="auto"/>
              <w:right w:val="nil"/>
            </w:tcBorders>
            <w:vAlign w:val="bottom"/>
            <w:hideMark/>
          </w:tcPr>
          <w:p w14:paraId="3AD75B7B" w14:textId="384F39B4" w:rsidR="00CE1CC3" w:rsidRPr="00EF38D3" w:rsidRDefault="00CE1CC3" w:rsidP="004602C7">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Year</w:t>
            </w:r>
          </w:p>
        </w:tc>
        <w:tc>
          <w:tcPr>
            <w:tcW w:w="956" w:type="dxa"/>
            <w:tcBorders>
              <w:top w:val="single" w:sz="4" w:space="0" w:color="auto"/>
              <w:left w:val="nil"/>
              <w:bottom w:val="double" w:sz="6" w:space="0" w:color="auto"/>
              <w:right w:val="nil"/>
            </w:tcBorders>
            <w:vAlign w:val="bottom"/>
            <w:hideMark/>
          </w:tcPr>
          <w:p w14:paraId="72DD611C" w14:textId="77777777" w:rsidR="00CE1CC3" w:rsidRPr="00EF38D3" w:rsidRDefault="00CE1CC3" w:rsidP="004602C7">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Loading Fe (kg/year)</w:t>
            </w:r>
          </w:p>
        </w:tc>
        <w:tc>
          <w:tcPr>
            <w:tcW w:w="1015" w:type="dxa"/>
            <w:tcBorders>
              <w:top w:val="single" w:sz="4" w:space="0" w:color="auto"/>
              <w:left w:val="nil"/>
              <w:bottom w:val="double" w:sz="6" w:space="0" w:color="auto"/>
              <w:right w:val="nil"/>
            </w:tcBorders>
            <w:vAlign w:val="bottom"/>
            <w:hideMark/>
          </w:tcPr>
          <w:p w14:paraId="31E370CD"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Gross Fe Transport</w:t>
            </w:r>
            <w:r w:rsidRPr="00EF38D3">
              <w:rPr>
                <w:rFonts w:ascii="Calibri" w:hAnsi="Calibri" w:cs="Calibri"/>
                <w:color w:val="000000"/>
                <w:sz w:val="20"/>
                <w:szCs w:val="20"/>
              </w:rPr>
              <w:t xml:space="preserve"> (kg/year)</w:t>
            </w:r>
          </w:p>
        </w:tc>
        <w:tc>
          <w:tcPr>
            <w:tcW w:w="1020" w:type="dxa"/>
            <w:tcBorders>
              <w:top w:val="single" w:sz="4" w:space="0" w:color="auto"/>
              <w:left w:val="nil"/>
              <w:bottom w:val="double" w:sz="6" w:space="0" w:color="auto"/>
              <w:right w:val="nil"/>
            </w:tcBorders>
            <w:vAlign w:val="bottom"/>
            <w:hideMark/>
          </w:tcPr>
          <w:p w14:paraId="7D6B253C" w14:textId="77777777" w:rsidR="00CE1CC3" w:rsidRPr="00EF38D3" w:rsidRDefault="00CE1CC3" w:rsidP="004602C7">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Cell Fe Retention (kg/year)</w:t>
            </w:r>
          </w:p>
        </w:tc>
        <w:tc>
          <w:tcPr>
            <w:tcW w:w="1103" w:type="dxa"/>
            <w:tcBorders>
              <w:top w:val="single" w:sz="4" w:space="0" w:color="auto"/>
              <w:left w:val="nil"/>
              <w:bottom w:val="double" w:sz="6" w:space="0" w:color="auto"/>
              <w:right w:val="nil"/>
            </w:tcBorders>
            <w:vAlign w:val="bottom"/>
            <w:hideMark/>
          </w:tcPr>
          <w:p w14:paraId="12807AEA" w14:textId="52657B27" w:rsidR="00CE1CC3" w:rsidRPr="00EF38D3" w:rsidRDefault="00CE1CC3" w:rsidP="004602C7">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Removal Rate (g/m</w:t>
            </w:r>
            <w:r w:rsidRPr="00EF38D3">
              <w:rPr>
                <w:rFonts w:ascii="Calibri" w:hAnsi="Calibri" w:cs="Calibri"/>
                <w:color w:val="000000"/>
                <w:sz w:val="20"/>
                <w:szCs w:val="20"/>
                <w:vertAlign w:val="superscript"/>
              </w:rPr>
              <w:t>2</w:t>
            </w:r>
            <w:r w:rsidRPr="00EF38D3">
              <w:rPr>
                <w:rFonts w:ascii="Calibri" w:hAnsi="Calibri" w:cs="Calibri"/>
                <w:color w:val="000000"/>
                <w:sz w:val="20"/>
                <w:szCs w:val="20"/>
              </w:rPr>
              <w:t>/day)</w:t>
            </w:r>
          </w:p>
        </w:tc>
        <w:tc>
          <w:tcPr>
            <w:tcW w:w="1010" w:type="dxa"/>
            <w:tcBorders>
              <w:top w:val="single" w:sz="4" w:space="0" w:color="auto"/>
              <w:left w:val="nil"/>
              <w:bottom w:val="double" w:sz="6" w:space="0" w:color="auto"/>
              <w:right w:val="nil"/>
            </w:tcBorders>
            <w:vAlign w:val="bottom"/>
            <w:hideMark/>
          </w:tcPr>
          <w:p w14:paraId="65F83042" w14:textId="77777777" w:rsidR="00CE1CC3" w:rsidRPr="00EF38D3" w:rsidRDefault="00CE1CC3" w:rsidP="004602C7">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Net Fe Transport (kg/year)</w:t>
            </w:r>
          </w:p>
        </w:tc>
        <w:tc>
          <w:tcPr>
            <w:tcW w:w="1281" w:type="dxa"/>
            <w:tcBorders>
              <w:top w:val="single" w:sz="4" w:space="0" w:color="auto"/>
              <w:left w:val="nil"/>
              <w:bottom w:val="double" w:sz="6" w:space="0" w:color="auto"/>
              <w:right w:val="nil"/>
            </w:tcBorders>
            <w:vAlign w:val="bottom"/>
            <w:hideMark/>
          </w:tcPr>
          <w:p w14:paraId="7D60383A" w14:textId="77777777" w:rsidR="00CE1CC3" w:rsidRPr="00EF38D3" w:rsidRDefault="00CE1CC3" w:rsidP="004602C7">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 xml:space="preserve">% Transport </w:t>
            </w:r>
            <w:r>
              <w:rPr>
                <w:rFonts w:ascii="Calibri" w:hAnsi="Calibri" w:cs="Calibri"/>
                <w:color w:val="000000"/>
                <w:sz w:val="20"/>
                <w:szCs w:val="20"/>
              </w:rPr>
              <w:t>relative to Fe Loading</w:t>
            </w:r>
          </w:p>
        </w:tc>
        <w:tc>
          <w:tcPr>
            <w:tcW w:w="931" w:type="dxa"/>
            <w:tcBorders>
              <w:top w:val="single" w:sz="4" w:space="0" w:color="auto"/>
              <w:left w:val="nil"/>
              <w:bottom w:val="double" w:sz="6" w:space="0" w:color="auto"/>
              <w:right w:val="nil"/>
            </w:tcBorders>
            <w:vAlign w:val="bottom"/>
            <w:hideMark/>
          </w:tcPr>
          <w:p w14:paraId="6F5A0A9E" w14:textId="1E9983FA"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 xml:space="preserve">%Storm Induced </w:t>
            </w:r>
            <w:r w:rsidR="004602C7">
              <w:rPr>
                <w:rFonts w:ascii="Calibri" w:hAnsi="Calibri" w:cs="Calibri"/>
                <w:color w:val="000000"/>
                <w:sz w:val="18"/>
                <w:szCs w:val="20"/>
              </w:rPr>
              <w:t>Export</w:t>
            </w:r>
          </w:p>
        </w:tc>
      </w:tr>
      <w:tr w:rsidR="00CE1CC3" w:rsidRPr="00EF38D3" w14:paraId="53D32BDA" w14:textId="77777777" w:rsidTr="000B63E4">
        <w:trPr>
          <w:trHeight w:val="315"/>
        </w:trPr>
        <w:tc>
          <w:tcPr>
            <w:tcW w:w="995" w:type="dxa"/>
            <w:tcBorders>
              <w:top w:val="nil"/>
              <w:left w:val="nil"/>
              <w:bottom w:val="nil"/>
              <w:right w:val="nil"/>
            </w:tcBorders>
            <w:noWrap/>
            <w:vAlign w:val="bottom"/>
            <w:hideMark/>
          </w:tcPr>
          <w:p w14:paraId="468ED4D0" w14:textId="77777777" w:rsidR="00CE1CC3" w:rsidRPr="00EF38D3" w:rsidRDefault="00CE1CC3" w:rsidP="004602C7">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 xml:space="preserve">2011 </w:t>
            </w:r>
            <w:r>
              <w:rPr>
                <w:rFonts w:ascii="Calibri" w:hAnsi="Calibri" w:cs="Calibri"/>
                <w:color w:val="000000"/>
                <w:sz w:val="20"/>
                <w:szCs w:val="20"/>
              </w:rPr>
              <w:t xml:space="preserve">     </w:t>
            </w:r>
            <w:r w:rsidRPr="00EF38D3">
              <w:rPr>
                <w:rFonts w:ascii="Calibri" w:hAnsi="Calibri" w:cs="Calibri"/>
                <w:color w:val="000000"/>
                <w:sz w:val="20"/>
                <w:szCs w:val="20"/>
              </w:rPr>
              <w:t>(n = 4)</w:t>
            </w:r>
          </w:p>
        </w:tc>
        <w:tc>
          <w:tcPr>
            <w:tcW w:w="956" w:type="dxa"/>
            <w:tcBorders>
              <w:top w:val="nil"/>
              <w:left w:val="nil"/>
              <w:bottom w:val="nil"/>
              <w:right w:val="nil"/>
            </w:tcBorders>
            <w:noWrap/>
            <w:vAlign w:val="center"/>
            <w:hideMark/>
          </w:tcPr>
          <w:p w14:paraId="70870773"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4203</w:t>
            </w:r>
          </w:p>
        </w:tc>
        <w:tc>
          <w:tcPr>
            <w:tcW w:w="1015" w:type="dxa"/>
            <w:tcBorders>
              <w:top w:val="nil"/>
              <w:left w:val="nil"/>
              <w:bottom w:val="nil"/>
              <w:right w:val="nil"/>
            </w:tcBorders>
            <w:noWrap/>
            <w:vAlign w:val="center"/>
            <w:hideMark/>
          </w:tcPr>
          <w:p w14:paraId="0735C975"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881</w:t>
            </w:r>
          </w:p>
        </w:tc>
        <w:tc>
          <w:tcPr>
            <w:tcW w:w="1020" w:type="dxa"/>
            <w:tcBorders>
              <w:top w:val="nil"/>
              <w:left w:val="nil"/>
              <w:bottom w:val="nil"/>
              <w:right w:val="nil"/>
            </w:tcBorders>
            <w:noWrap/>
            <w:vAlign w:val="center"/>
            <w:hideMark/>
          </w:tcPr>
          <w:p w14:paraId="357E3897"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3322</w:t>
            </w:r>
          </w:p>
        </w:tc>
        <w:tc>
          <w:tcPr>
            <w:tcW w:w="1103" w:type="dxa"/>
            <w:tcBorders>
              <w:top w:val="nil"/>
              <w:left w:val="nil"/>
              <w:bottom w:val="nil"/>
              <w:right w:val="nil"/>
            </w:tcBorders>
            <w:noWrap/>
            <w:vAlign w:val="center"/>
            <w:hideMark/>
          </w:tcPr>
          <w:p w14:paraId="464DBD57"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6.1</w:t>
            </w:r>
          </w:p>
        </w:tc>
        <w:tc>
          <w:tcPr>
            <w:tcW w:w="1010" w:type="dxa"/>
            <w:tcBorders>
              <w:top w:val="nil"/>
              <w:left w:val="nil"/>
              <w:bottom w:val="nil"/>
              <w:right w:val="nil"/>
            </w:tcBorders>
            <w:vAlign w:val="center"/>
            <w:hideMark/>
          </w:tcPr>
          <w:p w14:paraId="2F658D32"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127</w:t>
            </w:r>
          </w:p>
        </w:tc>
        <w:tc>
          <w:tcPr>
            <w:tcW w:w="1281" w:type="dxa"/>
            <w:tcBorders>
              <w:top w:val="nil"/>
              <w:left w:val="nil"/>
              <w:bottom w:val="nil"/>
              <w:right w:val="nil"/>
            </w:tcBorders>
            <w:vAlign w:val="center"/>
            <w:hideMark/>
          </w:tcPr>
          <w:p w14:paraId="65E681CA"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21.0%</w:t>
            </w:r>
          </w:p>
        </w:tc>
        <w:tc>
          <w:tcPr>
            <w:tcW w:w="931" w:type="dxa"/>
            <w:tcBorders>
              <w:top w:val="nil"/>
              <w:left w:val="nil"/>
              <w:bottom w:val="nil"/>
              <w:right w:val="nil"/>
            </w:tcBorders>
            <w:noWrap/>
            <w:vAlign w:val="center"/>
            <w:hideMark/>
          </w:tcPr>
          <w:p w14:paraId="570E1F4A"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14.5%</w:t>
            </w:r>
          </w:p>
        </w:tc>
      </w:tr>
      <w:tr w:rsidR="00CE1CC3" w:rsidRPr="00EF38D3" w14:paraId="14C65B65" w14:textId="77777777" w:rsidTr="000B63E4">
        <w:trPr>
          <w:trHeight w:val="300"/>
        </w:trPr>
        <w:tc>
          <w:tcPr>
            <w:tcW w:w="995" w:type="dxa"/>
            <w:tcBorders>
              <w:top w:val="nil"/>
              <w:left w:val="nil"/>
              <w:bottom w:val="nil"/>
              <w:right w:val="nil"/>
            </w:tcBorders>
            <w:noWrap/>
            <w:vAlign w:val="bottom"/>
            <w:hideMark/>
          </w:tcPr>
          <w:p w14:paraId="67463F75" w14:textId="77777777" w:rsidR="00CE1CC3" w:rsidRPr="00EF38D3" w:rsidRDefault="00CE1CC3" w:rsidP="004602C7">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2012</w:t>
            </w:r>
            <w:r>
              <w:rPr>
                <w:rFonts w:ascii="Calibri" w:hAnsi="Calibri" w:cs="Calibri"/>
                <w:color w:val="000000"/>
                <w:sz w:val="20"/>
                <w:szCs w:val="20"/>
              </w:rPr>
              <w:t xml:space="preserve">    </w:t>
            </w:r>
            <w:r w:rsidRPr="00EF38D3">
              <w:rPr>
                <w:rFonts w:ascii="Calibri" w:hAnsi="Calibri" w:cs="Calibri"/>
                <w:color w:val="000000"/>
                <w:sz w:val="20"/>
                <w:szCs w:val="20"/>
              </w:rPr>
              <w:t xml:space="preserve"> (n = 3)</w:t>
            </w:r>
          </w:p>
        </w:tc>
        <w:tc>
          <w:tcPr>
            <w:tcW w:w="956" w:type="dxa"/>
            <w:tcBorders>
              <w:top w:val="nil"/>
              <w:left w:val="nil"/>
              <w:bottom w:val="nil"/>
              <w:right w:val="nil"/>
            </w:tcBorders>
            <w:noWrap/>
            <w:vAlign w:val="center"/>
            <w:hideMark/>
          </w:tcPr>
          <w:p w14:paraId="0CFD4F9D"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5833</w:t>
            </w:r>
          </w:p>
        </w:tc>
        <w:tc>
          <w:tcPr>
            <w:tcW w:w="1015" w:type="dxa"/>
            <w:tcBorders>
              <w:top w:val="nil"/>
              <w:left w:val="nil"/>
              <w:bottom w:val="nil"/>
              <w:right w:val="nil"/>
            </w:tcBorders>
            <w:noWrap/>
            <w:vAlign w:val="center"/>
            <w:hideMark/>
          </w:tcPr>
          <w:p w14:paraId="6CE3E0EC"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833</w:t>
            </w:r>
          </w:p>
        </w:tc>
        <w:tc>
          <w:tcPr>
            <w:tcW w:w="1020" w:type="dxa"/>
            <w:tcBorders>
              <w:top w:val="nil"/>
              <w:left w:val="nil"/>
              <w:bottom w:val="nil"/>
              <w:right w:val="nil"/>
            </w:tcBorders>
            <w:noWrap/>
            <w:vAlign w:val="center"/>
            <w:hideMark/>
          </w:tcPr>
          <w:p w14:paraId="7D38A1FC"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5000</w:t>
            </w:r>
          </w:p>
        </w:tc>
        <w:tc>
          <w:tcPr>
            <w:tcW w:w="1103" w:type="dxa"/>
            <w:tcBorders>
              <w:top w:val="nil"/>
              <w:left w:val="nil"/>
              <w:bottom w:val="nil"/>
              <w:right w:val="nil"/>
            </w:tcBorders>
            <w:noWrap/>
            <w:vAlign w:val="center"/>
            <w:hideMark/>
          </w:tcPr>
          <w:p w14:paraId="00AB4240"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9.1</w:t>
            </w:r>
          </w:p>
        </w:tc>
        <w:tc>
          <w:tcPr>
            <w:tcW w:w="1010" w:type="dxa"/>
            <w:tcBorders>
              <w:top w:val="nil"/>
              <w:left w:val="nil"/>
              <w:bottom w:val="nil"/>
              <w:right w:val="nil"/>
            </w:tcBorders>
            <w:vAlign w:val="center"/>
            <w:hideMark/>
          </w:tcPr>
          <w:p w14:paraId="451954E9"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135</w:t>
            </w:r>
          </w:p>
        </w:tc>
        <w:tc>
          <w:tcPr>
            <w:tcW w:w="1281" w:type="dxa"/>
            <w:tcBorders>
              <w:top w:val="nil"/>
              <w:left w:val="nil"/>
              <w:bottom w:val="nil"/>
              <w:right w:val="nil"/>
            </w:tcBorders>
            <w:vAlign w:val="center"/>
            <w:hideMark/>
          </w:tcPr>
          <w:p w14:paraId="77DB494E"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14.3%</w:t>
            </w:r>
          </w:p>
        </w:tc>
        <w:tc>
          <w:tcPr>
            <w:tcW w:w="931" w:type="dxa"/>
            <w:tcBorders>
              <w:top w:val="nil"/>
              <w:left w:val="nil"/>
              <w:bottom w:val="nil"/>
              <w:right w:val="nil"/>
            </w:tcBorders>
            <w:noWrap/>
            <w:vAlign w:val="center"/>
            <w:hideMark/>
          </w:tcPr>
          <w:p w14:paraId="329838C3"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16.3%</w:t>
            </w:r>
          </w:p>
        </w:tc>
      </w:tr>
      <w:tr w:rsidR="00CE1CC3" w:rsidRPr="00EF38D3" w14:paraId="652ACAA7" w14:textId="77777777" w:rsidTr="000B63E4">
        <w:trPr>
          <w:trHeight w:val="300"/>
        </w:trPr>
        <w:tc>
          <w:tcPr>
            <w:tcW w:w="995" w:type="dxa"/>
            <w:tcBorders>
              <w:top w:val="nil"/>
              <w:left w:val="nil"/>
              <w:bottom w:val="single" w:sz="4" w:space="0" w:color="auto"/>
              <w:right w:val="nil"/>
            </w:tcBorders>
            <w:noWrap/>
            <w:vAlign w:val="bottom"/>
            <w:hideMark/>
          </w:tcPr>
          <w:p w14:paraId="18AD0145" w14:textId="77777777" w:rsidR="00CE1CC3" w:rsidRPr="00EF38D3" w:rsidRDefault="00CE1CC3" w:rsidP="004602C7">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2013 (n=3)</w:t>
            </w:r>
          </w:p>
        </w:tc>
        <w:tc>
          <w:tcPr>
            <w:tcW w:w="956" w:type="dxa"/>
            <w:tcBorders>
              <w:top w:val="nil"/>
              <w:left w:val="nil"/>
              <w:bottom w:val="single" w:sz="4" w:space="0" w:color="auto"/>
              <w:right w:val="nil"/>
            </w:tcBorders>
            <w:noWrap/>
            <w:vAlign w:val="center"/>
            <w:hideMark/>
          </w:tcPr>
          <w:p w14:paraId="401663CC"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13551</w:t>
            </w:r>
          </w:p>
        </w:tc>
        <w:tc>
          <w:tcPr>
            <w:tcW w:w="1015" w:type="dxa"/>
            <w:tcBorders>
              <w:top w:val="nil"/>
              <w:left w:val="nil"/>
              <w:bottom w:val="single" w:sz="4" w:space="0" w:color="auto"/>
              <w:right w:val="nil"/>
            </w:tcBorders>
            <w:noWrap/>
            <w:vAlign w:val="center"/>
            <w:hideMark/>
          </w:tcPr>
          <w:p w14:paraId="35FF57A3"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1946</w:t>
            </w:r>
          </w:p>
        </w:tc>
        <w:tc>
          <w:tcPr>
            <w:tcW w:w="1020" w:type="dxa"/>
            <w:tcBorders>
              <w:top w:val="nil"/>
              <w:left w:val="nil"/>
              <w:bottom w:val="single" w:sz="4" w:space="0" w:color="auto"/>
              <w:right w:val="nil"/>
            </w:tcBorders>
            <w:noWrap/>
            <w:vAlign w:val="center"/>
            <w:hideMark/>
          </w:tcPr>
          <w:p w14:paraId="1FD1C97B"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11605</w:t>
            </w:r>
          </w:p>
        </w:tc>
        <w:tc>
          <w:tcPr>
            <w:tcW w:w="1103" w:type="dxa"/>
            <w:tcBorders>
              <w:top w:val="nil"/>
              <w:left w:val="nil"/>
              <w:bottom w:val="single" w:sz="4" w:space="0" w:color="auto"/>
              <w:right w:val="nil"/>
            </w:tcBorders>
            <w:noWrap/>
            <w:vAlign w:val="center"/>
            <w:hideMark/>
          </w:tcPr>
          <w:p w14:paraId="4E2B2F2D"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21.2</w:t>
            </w:r>
          </w:p>
        </w:tc>
        <w:tc>
          <w:tcPr>
            <w:tcW w:w="1010" w:type="dxa"/>
            <w:tcBorders>
              <w:top w:val="nil"/>
              <w:left w:val="nil"/>
              <w:bottom w:val="single" w:sz="4" w:space="0" w:color="auto"/>
              <w:right w:val="nil"/>
            </w:tcBorders>
            <w:vAlign w:val="center"/>
            <w:hideMark/>
          </w:tcPr>
          <w:p w14:paraId="69BDB3BA"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231</w:t>
            </w:r>
          </w:p>
        </w:tc>
        <w:tc>
          <w:tcPr>
            <w:tcW w:w="1281" w:type="dxa"/>
            <w:tcBorders>
              <w:top w:val="nil"/>
              <w:left w:val="nil"/>
              <w:bottom w:val="single" w:sz="4" w:space="0" w:color="auto"/>
              <w:right w:val="nil"/>
            </w:tcBorders>
            <w:vAlign w:val="center"/>
            <w:hideMark/>
          </w:tcPr>
          <w:p w14:paraId="2DA4D35E"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14.4%</w:t>
            </w:r>
          </w:p>
        </w:tc>
        <w:tc>
          <w:tcPr>
            <w:tcW w:w="931" w:type="dxa"/>
            <w:tcBorders>
              <w:top w:val="nil"/>
              <w:left w:val="nil"/>
              <w:bottom w:val="single" w:sz="4" w:space="0" w:color="auto"/>
              <w:right w:val="nil"/>
            </w:tcBorders>
            <w:noWrap/>
            <w:vAlign w:val="center"/>
            <w:hideMark/>
          </w:tcPr>
          <w:p w14:paraId="274D8D19"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11.9%</w:t>
            </w:r>
          </w:p>
        </w:tc>
      </w:tr>
      <w:tr w:rsidR="00CE1CC3" w:rsidRPr="00EF38D3" w14:paraId="6C867ACB" w14:textId="77777777" w:rsidTr="000B63E4">
        <w:trPr>
          <w:trHeight w:val="300"/>
        </w:trPr>
        <w:tc>
          <w:tcPr>
            <w:tcW w:w="995" w:type="dxa"/>
            <w:tcBorders>
              <w:top w:val="nil"/>
              <w:left w:val="nil"/>
              <w:bottom w:val="nil"/>
              <w:right w:val="nil"/>
            </w:tcBorders>
            <w:noWrap/>
            <w:vAlign w:val="bottom"/>
            <w:hideMark/>
          </w:tcPr>
          <w:p w14:paraId="35AD48F4"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 xml:space="preserve">Average </w:t>
            </w:r>
            <w:r w:rsidRPr="00EF38D3">
              <w:rPr>
                <w:rFonts w:ascii="Calibri" w:hAnsi="Calibri" w:cs="Calibri"/>
                <w:color w:val="000000"/>
                <w:sz w:val="20"/>
                <w:szCs w:val="20"/>
              </w:rPr>
              <w:t>(n = 10)</w:t>
            </w:r>
          </w:p>
        </w:tc>
        <w:tc>
          <w:tcPr>
            <w:tcW w:w="956" w:type="dxa"/>
            <w:tcBorders>
              <w:top w:val="nil"/>
              <w:left w:val="nil"/>
              <w:bottom w:val="nil"/>
              <w:right w:val="nil"/>
            </w:tcBorders>
            <w:noWrap/>
            <w:vAlign w:val="center"/>
            <w:hideMark/>
          </w:tcPr>
          <w:p w14:paraId="53D47BC7"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7862</w:t>
            </w:r>
          </w:p>
        </w:tc>
        <w:tc>
          <w:tcPr>
            <w:tcW w:w="1015" w:type="dxa"/>
            <w:tcBorders>
              <w:top w:val="nil"/>
              <w:left w:val="nil"/>
              <w:bottom w:val="nil"/>
              <w:right w:val="nil"/>
            </w:tcBorders>
            <w:noWrap/>
            <w:vAlign w:val="center"/>
            <w:hideMark/>
          </w:tcPr>
          <w:p w14:paraId="199D518B"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1220</w:t>
            </w:r>
          </w:p>
        </w:tc>
        <w:tc>
          <w:tcPr>
            <w:tcW w:w="1020" w:type="dxa"/>
            <w:tcBorders>
              <w:top w:val="nil"/>
              <w:left w:val="nil"/>
              <w:bottom w:val="nil"/>
              <w:right w:val="nil"/>
            </w:tcBorders>
            <w:noWrap/>
            <w:vAlign w:val="center"/>
            <w:hideMark/>
          </w:tcPr>
          <w:p w14:paraId="434E0994"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6642</w:t>
            </w:r>
          </w:p>
        </w:tc>
        <w:tc>
          <w:tcPr>
            <w:tcW w:w="1103" w:type="dxa"/>
            <w:tcBorders>
              <w:top w:val="nil"/>
              <w:left w:val="nil"/>
              <w:bottom w:val="nil"/>
              <w:right w:val="nil"/>
            </w:tcBorders>
            <w:noWrap/>
            <w:vAlign w:val="center"/>
            <w:hideMark/>
          </w:tcPr>
          <w:p w14:paraId="23D24291"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12.1</w:t>
            </w:r>
          </w:p>
        </w:tc>
        <w:tc>
          <w:tcPr>
            <w:tcW w:w="1010" w:type="dxa"/>
            <w:tcBorders>
              <w:top w:val="nil"/>
              <w:left w:val="nil"/>
              <w:bottom w:val="nil"/>
              <w:right w:val="nil"/>
            </w:tcBorders>
            <w:vAlign w:val="center"/>
            <w:hideMark/>
          </w:tcPr>
          <w:p w14:paraId="5450794F"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165</w:t>
            </w:r>
          </w:p>
        </w:tc>
        <w:tc>
          <w:tcPr>
            <w:tcW w:w="1281" w:type="dxa"/>
            <w:tcBorders>
              <w:top w:val="nil"/>
              <w:left w:val="nil"/>
              <w:bottom w:val="nil"/>
              <w:right w:val="nil"/>
            </w:tcBorders>
            <w:vAlign w:val="center"/>
            <w:hideMark/>
          </w:tcPr>
          <w:p w14:paraId="2E4AB43A"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15.5%</w:t>
            </w:r>
          </w:p>
        </w:tc>
        <w:tc>
          <w:tcPr>
            <w:tcW w:w="931" w:type="dxa"/>
            <w:tcBorders>
              <w:top w:val="nil"/>
              <w:left w:val="nil"/>
              <w:bottom w:val="nil"/>
              <w:right w:val="nil"/>
            </w:tcBorders>
            <w:noWrap/>
            <w:vAlign w:val="center"/>
            <w:hideMark/>
          </w:tcPr>
          <w:p w14:paraId="02F0D776"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13.5%</w:t>
            </w:r>
          </w:p>
        </w:tc>
      </w:tr>
      <w:tr w:rsidR="00CE1CC3" w:rsidRPr="00EF38D3" w14:paraId="406A19C0" w14:textId="77777777" w:rsidTr="000B63E4">
        <w:trPr>
          <w:trHeight w:val="300"/>
        </w:trPr>
        <w:tc>
          <w:tcPr>
            <w:tcW w:w="995" w:type="dxa"/>
            <w:tcBorders>
              <w:top w:val="nil"/>
              <w:left w:val="nil"/>
              <w:bottom w:val="nil"/>
              <w:right w:val="nil"/>
            </w:tcBorders>
            <w:noWrap/>
            <w:vAlign w:val="bottom"/>
            <w:hideMark/>
          </w:tcPr>
          <w:p w14:paraId="7E21AF09" w14:textId="77777777" w:rsidR="00CE1CC3" w:rsidRPr="00EF38D3" w:rsidRDefault="00CE1CC3" w:rsidP="004602C7">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St</w:t>
            </w:r>
            <w:r>
              <w:rPr>
                <w:rFonts w:ascii="Calibri" w:hAnsi="Calibri" w:cs="Calibri"/>
                <w:color w:val="000000"/>
                <w:sz w:val="20"/>
                <w:szCs w:val="20"/>
              </w:rPr>
              <w:t>andard Deviation</w:t>
            </w:r>
          </w:p>
        </w:tc>
        <w:tc>
          <w:tcPr>
            <w:tcW w:w="956" w:type="dxa"/>
            <w:tcBorders>
              <w:top w:val="nil"/>
              <w:left w:val="nil"/>
              <w:bottom w:val="nil"/>
              <w:right w:val="nil"/>
            </w:tcBorders>
            <w:noWrap/>
            <w:vAlign w:val="center"/>
            <w:hideMark/>
          </w:tcPr>
          <w:p w14:paraId="6D44F5C3"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4994</w:t>
            </w:r>
          </w:p>
        </w:tc>
        <w:tc>
          <w:tcPr>
            <w:tcW w:w="1015" w:type="dxa"/>
            <w:tcBorders>
              <w:top w:val="nil"/>
              <w:left w:val="nil"/>
              <w:bottom w:val="nil"/>
              <w:right w:val="nil"/>
            </w:tcBorders>
            <w:noWrap/>
            <w:vAlign w:val="center"/>
            <w:hideMark/>
          </w:tcPr>
          <w:p w14:paraId="09951FAC"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629</w:t>
            </w:r>
          </w:p>
        </w:tc>
        <w:tc>
          <w:tcPr>
            <w:tcW w:w="1020" w:type="dxa"/>
            <w:tcBorders>
              <w:top w:val="nil"/>
              <w:left w:val="nil"/>
              <w:bottom w:val="nil"/>
              <w:right w:val="nil"/>
            </w:tcBorders>
            <w:noWrap/>
            <w:vAlign w:val="center"/>
            <w:hideMark/>
          </w:tcPr>
          <w:p w14:paraId="38ECB744"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4379</w:t>
            </w:r>
          </w:p>
        </w:tc>
        <w:tc>
          <w:tcPr>
            <w:tcW w:w="1103" w:type="dxa"/>
            <w:tcBorders>
              <w:top w:val="nil"/>
              <w:left w:val="nil"/>
              <w:bottom w:val="nil"/>
              <w:right w:val="nil"/>
            </w:tcBorders>
            <w:noWrap/>
            <w:vAlign w:val="center"/>
            <w:hideMark/>
          </w:tcPr>
          <w:p w14:paraId="6C3F84DE"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8.0</w:t>
            </w:r>
          </w:p>
        </w:tc>
        <w:tc>
          <w:tcPr>
            <w:tcW w:w="1010" w:type="dxa"/>
            <w:tcBorders>
              <w:top w:val="nil"/>
              <w:left w:val="nil"/>
              <w:bottom w:val="nil"/>
              <w:right w:val="nil"/>
            </w:tcBorders>
            <w:noWrap/>
            <w:vAlign w:val="center"/>
            <w:hideMark/>
          </w:tcPr>
          <w:p w14:paraId="5BD91855"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58</w:t>
            </w:r>
          </w:p>
        </w:tc>
        <w:tc>
          <w:tcPr>
            <w:tcW w:w="1281" w:type="dxa"/>
            <w:tcBorders>
              <w:top w:val="nil"/>
              <w:left w:val="nil"/>
              <w:bottom w:val="nil"/>
              <w:right w:val="nil"/>
            </w:tcBorders>
            <w:noWrap/>
            <w:vAlign w:val="center"/>
            <w:hideMark/>
          </w:tcPr>
          <w:p w14:paraId="32874D12"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3.8%</w:t>
            </w:r>
          </w:p>
        </w:tc>
        <w:tc>
          <w:tcPr>
            <w:tcW w:w="931" w:type="dxa"/>
            <w:tcBorders>
              <w:top w:val="nil"/>
              <w:left w:val="nil"/>
              <w:bottom w:val="nil"/>
              <w:right w:val="nil"/>
            </w:tcBorders>
            <w:noWrap/>
            <w:vAlign w:val="center"/>
            <w:hideMark/>
          </w:tcPr>
          <w:p w14:paraId="0BA47D5D"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2.2%</w:t>
            </w:r>
          </w:p>
        </w:tc>
      </w:tr>
      <w:tr w:rsidR="00CE1CC3" w:rsidRPr="00EF38D3" w14:paraId="6BAB5D6A" w14:textId="77777777" w:rsidTr="000B63E4">
        <w:trPr>
          <w:trHeight w:val="405"/>
        </w:trPr>
        <w:tc>
          <w:tcPr>
            <w:tcW w:w="995" w:type="dxa"/>
            <w:tcBorders>
              <w:top w:val="nil"/>
              <w:left w:val="nil"/>
              <w:bottom w:val="single" w:sz="4" w:space="0" w:color="auto"/>
              <w:right w:val="nil"/>
            </w:tcBorders>
            <w:noWrap/>
            <w:vAlign w:val="bottom"/>
            <w:hideMark/>
          </w:tcPr>
          <w:p w14:paraId="416AA0BC" w14:textId="77777777" w:rsidR="00CE1CC3" w:rsidRPr="00EF38D3" w:rsidRDefault="00CE1CC3" w:rsidP="004602C7">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%RSD</w:t>
            </w:r>
          </w:p>
        </w:tc>
        <w:tc>
          <w:tcPr>
            <w:tcW w:w="956" w:type="dxa"/>
            <w:tcBorders>
              <w:top w:val="nil"/>
              <w:left w:val="nil"/>
              <w:bottom w:val="single" w:sz="4" w:space="0" w:color="auto"/>
              <w:right w:val="nil"/>
            </w:tcBorders>
            <w:noWrap/>
            <w:vAlign w:val="center"/>
            <w:hideMark/>
          </w:tcPr>
          <w:p w14:paraId="32A518CD"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63.5%</w:t>
            </w:r>
          </w:p>
        </w:tc>
        <w:tc>
          <w:tcPr>
            <w:tcW w:w="1015" w:type="dxa"/>
            <w:tcBorders>
              <w:top w:val="nil"/>
              <w:left w:val="nil"/>
              <w:bottom w:val="single" w:sz="4" w:space="0" w:color="auto"/>
              <w:right w:val="nil"/>
            </w:tcBorders>
            <w:noWrap/>
            <w:vAlign w:val="center"/>
            <w:hideMark/>
          </w:tcPr>
          <w:p w14:paraId="02B53569"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51.6%</w:t>
            </w:r>
          </w:p>
        </w:tc>
        <w:tc>
          <w:tcPr>
            <w:tcW w:w="1020" w:type="dxa"/>
            <w:tcBorders>
              <w:top w:val="nil"/>
              <w:left w:val="nil"/>
              <w:bottom w:val="single" w:sz="4" w:space="0" w:color="auto"/>
              <w:right w:val="nil"/>
            </w:tcBorders>
            <w:noWrap/>
            <w:vAlign w:val="center"/>
            <w:hideMark/>
          </w:tcPr>
          <w:p w14:paraId="7CCEB4D0"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65.9%</w:t>
            </w:r>
          </w:p>
        </w:tc>
        <w:tc>
          <w:tcPr>
            <w:tcW w:w="1103" w:type="dxa"/>
            <w:tcBorders>
              <w:top w:val="nil"/>
              <w:left w:val="nil"/>
              <w:bottom w:val="single" w:sz="4" w:space="0" w:color="auto"/>
              <w:right w:val="nil"/>
            </w:tcBorders>
            <w:noWrap/>
            <w:vAlign w:val="center"/>
            <w:hideMark/>
          </w:tcPr>
          <w:p w14:paraId="20FB8E32"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65.9%</w:t>
            </w:r>
          </w:p>
        </w:tc>
        <w:tc>
          <w:tcPr>
            <w:tcW w:w="1010" w:type="dxa"/>
            <w:tcBorders>
              <w:top w:val="nil"/>
              <w:left w:val="nil"/>
              <w:bottom w:val="single" w:sz="4" w:space="0" w:color="auto"/>
              <w:right w:val="nil"/>
            </w:tcBorders>
            <w:noWrap/>
            <w:vAlign w:val="center"/>
            <w:hideMark/>
          </w:tcPr>
          <w:p w14:paraId="6D8ADDAB"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35.1%</w:t>
            </w:r>
          </w:p>
        </w:tc>
        <w:tc>
          <w:tcPr>
            <w:tcW w:w="1281" w:type="dxa"/>
            <w:tcBorders>
              <w:top w:val="nil"/>
              <w:left w:val="nil"/>
              <w:bottom w:val="single" w:sz="4" w:space="0" w:color="auto"/>
              <w:right w:val="nil"/>
            </w:tcBorders>
            <w:noWrap/>
            <w:vAlign w:val="center"/>
            <w:hideMark/>
          </w:tcPr>
          <w:p w14:paraId="0366CA3B"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24.7%</w:t>
            </w:r>
          </w:p>
        </w:tc>
        <w:tc>
          <w:tcPr>
            <w:tcW w:w="931" w:type="dxa"/>
            <w:tcBorders>
              <w:top w:val="nil"/>
              <w:left w:val="nil"/>
              <w:bottom w:val="single" w:sz="4" w:space="0" w:color="auto"/>
              <w:right w:val="nil"/>
            </w:tcBorders>
            <w:noWrap/>
            <w:vAlign w:val="center"/>
            <w:hideMark/>
          </w:tcPr>
          <w:p w14:paraId="1968FC7F" w14:textId="77777777" w:rsidR="00CE1CC3" w:rsidRPr="00EF38D3" w:rsidRDefault="00CE1CC3" w:rsidP="004602C7">
            <w:pPr>
              <w:spacing w:after="0" w:line="240" w:lineRule="auto"/>
              <w:jc w:val="center"/>
              <w:rPr>
                <w:rFonts w:ascii="Calibri" w:hAnsi="Calibri" w:cs="Calibri"/>
                <w:color w:val="000000"/>
                <w:sz w:val="20"/>
                <w:szCs w:val="20"/>
              </w:rPr>
            </w:pPr>
            <w:r>
              <w:rPr>
                <w:rFonts w:ascii="Calibri" w:hAnsi="Calibri" w:cs="Calibri"/>
                <w:color w:val="000000"/>
                <w:sz w:val="20"/>
                <w:szCs w:val="20"/>
              </w:rPr>
              <w:t>16.3%</w:t>
            </w:r>
          </w:p>
        </w:tc>
      </w:tr>
    </w:tbl>
    <w:p w14:paraId="282B9E13" w14:textId="77777777" w:rsidR="00CE1CC3" w:rsidRDefault="00CE1CC3" w:rsidP="00CE1CC3">
      <w:pPr>
        <w:spacing w:line="480" w:lineRule="auto"/>
        <w:jc w:val="both"/>
        <w:rPr>
          <w:rFonts w:cs="Arial"/>
        </w:rPr>
      </w:pPr>
    </w:p>
    <w:p w14:paraId="2C5C0E67" w14:textId="2FA2E4CF" w:rsidR="00CE1CC3" w:rsidRDefault="00CE1CC3" w:rsidP="00CE1CC3">
      <w:pPr>
        <w:spacing w:line="480" w:lineRule="auto"/>
        <w:jc w:val="both"/>
        <w:rPr>
          <w:rFonts w:cs="Arial"/>
        </w:rPr>
      </w:pPr>
      <w:r>
        <w:rPr>
          <w:rFonts w:cs="Arial"/>
        </w:rPr>
        <w:t>The average iron loading for 2011-2013 into Cell 2N was 7,862</w:t>
      </w:r>
      <w:r>
        <w:rPr>
          <w:rFonts w:cs="Calibri"/>
        </w:rPr>
        <w:t>±</w:t>
      </w:r>
      <w:r>
        <w:rPr>
          <w:rFonts w:cs="Arial"/>
        </w:rPr>
        <w:t>4994 kg/year with an average retention of 6642</w:t>
      </w:r>
      <w:r>
        <w:rPr>
          <w:rFonts w:cs="Calibri"/>
        </w:rPr>
        <w:t>±</w:t>
      </w:r>
      <w:r>
        <w:rPr>
          <w:rFonts w:cs="Arial"/>
        </w:rPr>
        <w:t>4379 kg/year and an average removal rate of 12.1</w:t>
      </w:r>
      <w:r>
        <w:rPr>
          <w:rFonts w:cs="Calibri"/>
        </w:rPr>
        <w:t>±</w:t>
      </w:r>
      <w:r>
        <w:rPr>
          <w:rFonts w:cs="Arial"/>
        </w:rPr>
        <w:t>8.0 g/m</w:t>
      </w:r>
      <w:r w:rsidRPr="00075C46">
        <w:rPr>
          <w:rFonts w:cs="Arial"/>
          <w:vertAlign w:val="superscript"/>
        </w:rPr>
        <w:t>2</w:t>
      </w:r>
      <w:r>
        <w:rPr>
          <w:rFonts w:cs="Arial"/>
        </w:rPr>
        <w:t>/day. Cell 2N exported an average of 1220</w:t>
      </w:r>
      <w:r>
        <w:rPr>
          <w:rFonts w:cs="Calibri"/>
        </w:rPr>
        <w:t>±</w:t>
      </w:r>
      <w:r>
        <w:rPr>
          <w:rFonts w:cs="Arial"/>
        </w:rPr>
        <w:t>629 kg Fe/year with 165</w:t>
      </w:r>
      <w:r>
        <w:rPr>
          <w:rFonts w:cs="Calibri"/>
        </w:rPr>
        <w:t>±</w:t>
      </w:r>
      <w:r>
        <w:rPr>
          <w:rFonts w:cs="Arial"/>
        </w:rPr>
        <w:t xml:space="preserve">58 kg/year due to storm induced transport. Iron exported out of Cell 2N averages of 15.5% of the mass loading from Cell 1 with </w:t>
      </w:r>
      <w:r>
        <w:rPr>
          <w:rFonts w:cs="Arial"/>
        </w:rPr>
        <w:lastRenderedPageBreak/>
        <w:t xml:space="preserve">storm-induced transport of iron consisting of </w:t>
      </w:r>
      <w:r w:rsidRPr="002E1BF8">
        <w:rPr>
          <w:rFonts w:cs="Arial"/>
        </w:rPr>
        <w:t>16.3%</w:t>
      </w:r>
      <w:r>
        <w:rPr>
          <w:rFonts w:cs="Arial"/>
        </w:rPr>
        <w:t xml:space="preserve"> of the transported iron. The storm induced iron export from Cell2N is 0.50% of the mass loading from the three AMD seeps supplying the system with AMD for treatment (165 kg/year Cell 2N export in comparison to 34,767 kg/year system loading). This is consistent with the metals transport mitigation function of the pond-marsh-pond design of the aerobic surface flow wetland cells to remove and retain any iron transported in the dissolved or particulate state from the preliminary iron oxidation and retention cell (Cell 1). </w:t>
      </w:r>
      <w:r w:rsidR="006B65F2">
        <w:rPr>
          <w:rFonts w:cs="Arial"/>
        </w:rPr>
        <w:t xml:space="preserve"> </w:t>
      </w:r>
    </w:p>
    <w:p w14:paraId="62A1548A" w14:textId="77777777" w:rsidR="00CE1CC3" w:rsidRDefault="00CE1CC3" w:rsidP="00CE1CC3">
      <w:pPr>
        <w:pStyle w:val="Heading4"/>
        <w:jc w:val="both"/>
      </w:pPr>
      <w:r w:rsidRPr="00C124B9">
        <w:t>Cell 2</w:t>
      </w:r>
      <w:r>
        <w:t>S</w:t>
      </w:r>
      <w:r w:rsidRPr="00C124B9">
        <w:t>: Average Storm-Induced Iron Transport Over Time</w:t>
      </w:r>
      <w:r>
        <w:t xml:space="preserve"> </w:t>
      </w:r>
    </w:p>
    <w:p w14:paraId="62352B24" w14:textId="77777777" w:rsidR="00CE1CC3" w:rsidRPr="00B64BB8" w:rsidRDefault="00CE1CC3" w:rsidP="00CE1CC3">
      <w:pPr>
        <w:jc w:val="both"/>
      </w:pPr>
    </w:p>
    <w:p w14:paraId="2CC4EB55" w14:textId="77777777" w:rsidR="00CE1CC3" w:rsidRDefault="00CE1CC3" w:rsidP="00CE1CC3">
      <w:pPr>
        <w:spacing w:line="480" w:lineRule="auto"/>
        <w:jc w:val="both"/>
        <w:rPr>
          <w:rFonts w:cs="Arial"/>
        </w:rPr>
      </w:pPr>
      <w:r>
        <w:rPr>
          <w:rFonts w:cs="Arial"/>
        </w:rPr>
        <w:t xml:space="preserve">Seven storm induced iron transport profiles were collected at the effluent of the southern surface flow wetland (C2Sout) and were classified based on their rainfall intensity. An average iron mass transport was determined for each classification (Table 4.7). </w:t>
      </w:r>
    </w:p>
    <w:p w14:paraId="1984DAE5" w14:textId="18EA8A16" w:rsidR="00CE1CC3" w:rsidRPr="006B65F2" w:rsidRDefault="00CE1CC3" w:rsidP="00CE1CC3">
      <w:pPr>
        <w:spacing w:line="240" w:lineRule="auto"/>
        <w:jc w:val="both"/>
        <w:rPr>
          <w:rFonts w:cs="Arial"/>
          <w:sz w:val="20"/>
          <w:szCs w:val="20"/>
        </w:rPr>
      </w:pPr>
      <w:r w:rsidRPr="006B65F2">
        <w:rPr>
          <w:rFonts w:cs="Arial"/>
          <w:sz w:val="20"/>
          <w:szCs w:val="20"/>
        </w:rPr>
        <w:t xml:space="preserve">Table </w:t>
      </w:r>
      <w:r w:rsidR="006B65F2">
        <w:rPr>
          <w:rFonts w:cs="Arial"/>
          <w:sz w:val="20"/>
          <w:szCs w:val="20"/>
        </w:rPr>
        <w:t>3.10</w:t>
      </w:r>
      <w:r w:rsidRPr="006B65F2">
        <w:rPr>
          <w:rFonts w:cs="Arial"/>
          <w:sz w:val="20"/>
          <w:szCs w:val="20"/>
        </w:rPr>
        <w:t>: Average Iron Mass Transport Based on Storm Intensity Classifications for Cell 2S</w:t>
      </w:r>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1260"/>
        <w:gridCol w:w="1080"/>
        <w:gridCol w:w="1080"/>
        <w:gridCol w:w="1260"/>
        <w:gridCol w:w="1440"/>
        <w:gridCol w:w="1080"/>
      </w:tblGrid>
      <w:tr w:rsidR="00CE1CC3" w:rsidRPr="005705F1" w14:paraId="507DA9D1" w14:textId="77777777" w:rsidTr="000B63E4">
        <w:trPr>
          <w:trHeight w:val="610"/>
        </w:trPr>
        <w:tc>
          <w:tcPr>
            <w:tcW w:w="1080" w:type="dxa"/>
            <w:tcBorders>
              <w:top w:val="single" w:sz="4" w:space="0" w:color="auto"/>
              <w:bottom w:val="double" w:sz="4" w:space="0" w:color="auto"/>
            </w:tcBorders>
            <w:vAlign w:val="center"/>
            <w:hideMark/>
          </w:tcPr>
          <w:p w14:paraId="18CE53D1" w14:textId="77777777" w:rsidR="00CE1CC3" w:rsidRPr="005705F1" w:rsidRDefault="00CE1CC3" w:rsidP="006B65F2">
            <w:pPr>
              <w:jc w:val="center"/>
              <w:rPr>
                <w:rFonts w:ascii="Calibri" w:hAnsi="Calibri" w:cs="Calibri"/>
                <w:color w:val="000000"/>
                <w:sz w:val="20"/>
                <w:szCs w:val="20"/>
              </w:rPr>
            </w:pPr>
            <w:r w:rsidRPr="005705F1">
              <w:rPr>
                <w:rFonts w:ascii="Calibri" w:hAnsi="Calibri" w:cs="Calibri"/>
                <w:color w:val="000000"/>
                <w:sz w:val="20"/>
                <w:szCs w:val="20"/>
              </w:rPr>
              <w:t>Intensity</w:t>
            </w:r>
          </w:p>
        </w:tc>
        <w:tc>
          <w:tcPr>
            <w:tcW w:w="1260" w:type="dxa"/>
            <w:tcBorders>
              <w:top w:val="single" w:sz="4" w:space="0" w:color="auto"/>
              <w:bottom w:val="double" w:sz="4" w:space="0" w:color="auto"/>
            </w:tcBorders>
            <w:vAlign w:val="center"/>
            <w:hideMark/>
          </w:tcPr>
          <w:p w14:paraId="3E723D7C" w14:textId="77777777" w:rsidR="00CE1CC3" w:rsidRPr="005705F1" w:rsidRDefault="00CE1CC3" w:rsidP="006B65F2">
            <w:pPr>
              <w:jc w:val="center"/>
              <w:rPr>
                <w:rFonts w:ascii="Calibri" w:hAnsi="Calibri" w:cs="Calibri"/>
                <w:color w:val="000000"/>
                <w:sz w:val="20"/>
                <w:szCs w:val="20"/>
              </w:rPr>
            </w:pPr>
            <w:r w:rsidRPr="005705F1">
              <w:rPr>
                <w:rFonts w:ascii="Calibri" w:hAnsi="Calibri" w:cs="Calibri"/>
                <w:color w:val="000000"/>
                <w:sz w:val="20"/>
                <w:szCs w:val="20"/>
              </w:rPr>
              <w:t>Average Intensity ±σ (cm/</w:t>
            </w:r>
            <w:proofErr w:type="spellStart"/>
            <w:r w:rsidRPr="005705F1">
              <w:rPr>
                <w:rFonts w:ascii="Calibri" w:hAnsi="Calibri" w:cs="Calibri"/>
                <w:color w:val="000000"/>
                <w:sz w:val="20"/>
                <w:szCs w:val="20"/>
              </w:rPr>
              <w:t>hr</w:t>
            </w:r>
            <w:proofErr w:type="spellEnd"/>
            <w:r w:rsidRPr="005705F1">
              <w:rPr>
                <w:rFonts w:ascii="Calibri" w:hAnsi="Calibri" w:cs="Calibri"/>
                <w:color w:val="000000"/>
                <w:sz w:val="20"/>
                <w:szCs w:val="20"/>
              </w:rPr>
              <w:t>)</w:t>
            </w:r>
          </w:p>
        </w:tc>
        <w:tc>
          <w:tcPr>
            <w:tcW w:w="1080" w:type="dxa"/>
            <w:tcBorders>
              <w:top w:val="single" w:sz="4" w:space="0" w:color="auto"/>
              <w:bottom w:val="double" w:sz="4" w:space="0" w:color="auto"/>
            </w:tcBorders>
            <w:vAlign w:val="center"/>
            <w:hideMark/>
          </w:tcPr>
          <w:p w14:paraId="3FAD9F9B" w14:textId="77777777" w:rsidR="00CE1CC3" w:rsidRPr="005705F1" w:rsidRDefault="00CE1CC3" w:rsidP="006B65F2">
            <w:pPr>
              <w:jc w:val="center"/>
              <w:rPr>
                <w:rFonts w:ascii="Calibri" w:hAnsi="Calibri" w:cs="Calibri"/>
                <w:color w:val="000000"/>
                <w:sz w:val="20"/>
                <w:szCs w:val="20"/>
              </w:rPr>
            </w:pPr>
            <w:r w:rsidRPr="005705F1">
              <w:rPr>
                <w:rFonts w:ascii="Calibri" w:hAnsi="Calibri" w:cs="Calibri"/>
                <w:color w:val="000000"/>
                <w:sz w:val="20"/>
                <w:szCs w:val="20"/>
              </w:rPr>
              <w:t>Average Duration ±σ (</w:t>
            </w:r>
            <w:proofErr w:type="spellStart"/>
            <w:r w:rsidRPr="005705F1">
              <w:rPr>
                <w:rFonts w:ascii="Calibri" w:hAnsi="Calibri" w:cs="Calibri"/>
                <w:color w:val="000000"/>
                <w:sz w:val="20"/>
                <w:szCs w:val="20"/>
              </w:rPr>
              <w:t>hrs</w:t>
            </w:r>
            <w:proofErr w:type="spellEnd"/>
            <w:r w:rsidRPr="005705F1">
              <w:rPr>
                <w:rFonts w:ascii="Calibri" w:hAnsi="Calibri" w:cs="Calibri"/>
                <w:color w:val="000000"/>
                <w:sz w:val="20"/>
                <w:szCs w:val="20"/>
              </w:rPr>
              <w:t>)</w:t>
            </w:r>
          </w:p>
        </w:tc>
        <w:tc>
          <w:tcPr>
            <w:tcW w:w="1080" w:type="dxa"/>
            <w:tcBorders>
              <w:top w:val="single" w:sz="4" w:space="0" w:color="auto"/>
              <w:bottom w:val="double" w:sz="4" w:space="0" w:color="auto"/>
            </w:tcBorders>
            <w:vAlign w:val="center"/>
          </w:tcPr>
          <w:p w14:paraId="02D0C3D2" w14:textId="77777777" w:rsidR="00CE1CC3" w:rsidRPr="005705F1" w:rsidRDefault="00CE1CC3" w:rsidP="006B65F2">
            <w:pPr>
              <w:jc w:val="center"/>
              <w:rPr>
                <w:rFonts w:ascii="Calibri" w:hAnsi="Calibri" w:cs="Calibri"/>
                <w:color w:val="000000"/>
                <w:sz w:val="20"/>
                <w:szCs w:val="20"/>
              </w:rPr>
            </w:pPr>
            <w:r w:rsidRPr="005705F1">
              <w:rPr>
                <w:rFonts w:ascii="Calibri" w:hAnsi="Calibri" w:cs="Calibri"/>
                <w:color w:val="000000"/>
                <w:sz w:val="20"/>
                <w:szCs w:val="20"/>
              </w:rPr>
              <w:t>Average Yield ±σ (cm)</w:t>
            </w:r>
          </w:p>
        </w:tc>
        <w:tc>
          <w:tcPr>
            <w:tcW w:w="1260" w:type="dxa"/>
            <w:tcBorders>
              <w:top w:val="single" w:sz="4" w:space="0" w:color="auto"/>
              <w:bottom w:val="double" w:sz="4" w:space="0" w:color="auto"/>
            </w:tcBorders>
            <w:vAlign w:val="center"/>
            <w:hideMark/>
          </w:tcPr>
          <w:p w14:paraId="1DF4FFD8" w14:textId="77777777" w:rsidR="00CE1CC3" w:rsidRPr="005705F1" w:rsidRDefault="00CE1CC3" w:rsidP="006B65F2">
            <w:pPr>
              <w:jc w:val="center"/>
              <w:rPr>
                <w:rFonts w:ascii="Calibri" w:hAnsi="Calibri" w:cs="Calibri"/>
                <w:color w:val="000000"/>
                <w:sz w:val="20"/>
                <w:szCs w:val="20"/>
              </w:rPr>
            </w:pPr>
            <w:r w:rsidRPr="005705F1">
              <w:rPr>
                <w:rFonts w:ascii="Calibri" w:hAnsi="Calibri" w:cs="Calibri"/>
                <w:color w:val="000000"/>
                <w:sz w:val="20"/>
                <w:szCs w:val="20"/>
              </w:rPr>
              <w:t>Gross Fe Transport ±σ (kg)</w:t>
            </w:r>
          </w:p>
        </w:tc>
        <w:tc>
          <w:tcPr>
            <w:tcW w:w="1440" w:type="dxa"/>
            <w:tcBorders>
              <w:top w:val="single" w:sz="4" w:space="0" w:color="auto"/>
              <w:bottom w:val="double" w:sz="4" w:space="0" w:color="auto"/>
            </w:tcBorders>
            <w:vAlign w:val="center"/>
            <w:hideMark/>
          </w:tcPr>
          <w:p w14:paraId="5B07CFEB" w14:textId="77777777" w:rsidR="00CE1CC3" w:rsidRPr="005705F1" w:rsidRDefault="00CE1CC3" w:rsidP="006B65F2">
            <w:pPr>
              <w:jc w:val="center"/>
              <w:rPr>
                <w:rFonts w:ascii="Calibri" w:hAnsi="Calibri" w:cs="Calibri"/>
                <w:color w:val="000000"/>
                <w:sz w:val="20"/>
                <w:szCs w:val="20"/>
              </w:rPr>
            </w:pPr>
            <w:r w:rsidRPr="005705F1">
              <w:rPr>
                <w:rFonts w:ascii="Calibri" w:hAnsi="Calibri" w:cs="Calibri"/>
                <w:color w:val="000000"/>
                <w:sz w:val="20"/>
                <w:szCs w:val="20"/>
              </w:rPr>
              <w:t>Net Fe Transport (kg)</w:t>
            </w:r>
          </w:p>
        </w:tc>
        <w:tc>
          <w:tcPr>
            <w:tcW w:w="1080" w:type="dxa"/>
            <w:tcBorders>
              <w:top w:val="single" w:sz="4" w:space="0" w:color="auto"/>
              <w:bottom w:val="double" w:sz="4" w:space="0" w:color="auto"/>
            </w:tcBorders>
            <w:vAlign w:val="center"/>
            <w:hideMark/>
          </w:tcPr>
          <w:p w14:paraId="55C06208" w14:textId="745C8EA6" w:rsidR="00CE1CC3" w:rsidRPr="005705F1" w:rsidRDefault="00CE1CC3" w:rsidP="00EB4E49">
            <w:pPr>
              <w:jc w:val="center"/>
              <w:rPr>
                <w:rFonts w:ascii="Calibri" w:hAnsi="Calibri" w:cs="Calibri"/>
                <w:color w:val="000000"/>
                <w:sz w:val="20"/>
                <w:szCs w:val="20"/>
              </w:rPr>
            </w:pPr>
            <w:r w:rsidRPr="005705F1">
              <w:rPr>
                <w:rFonts w:ascii="Calibri" w:hAnsi="Calibri" w:cs="Calibri"/>
                <w:color w:val="000000"/>
                <w:sz w:val="20"/>
                <w:szCs w:val="20"/>
              </w:rPr>
              <w:t xml:space="preserve">% of Total </w:t>
            </w:r>
            <w:r w:rsidR="00EB4E49">
              <w:rPr>
                <w:rFonts w:ascii="Calibri" w:hAnsi="Calibri" w:cs="Calibri"/>
                <w:color w:val="000000"/>
                <w:sz w:val="20"/>
                <w:szCs w:val="20"/>
              </w:rPr>
              <w:t>Export</w:t>
            </w:r>
          </w:p>
        </w:tc>
      </w:tr>
      <w:tr w:rsidR="00CE1CC3" w:rsidRPr="005705F1" w14:paraId="29747E38" w14:textId="77777777" w:rsidTr="000B63E4">
        <w:trPr>
          <w:trHeight w:val="315"/>
        </w:trPr>
        <w:tc>
          <w:tcPr>
            <w:tcW w:w="1080" w:type="dxa"/>
            <w:noWrap/>
            <w:vAlign w:val="center"/>
            <w:hideMark/>
          </w:tcPr>
          <w:p w14:paraId="7FE899C1" w14:textId="77777777" w:rsidR="00CE1CC3" w:rsidRPr="003C5BA5" w:rsidRDefault="00CE1CC3" w:rsidP="006B65F2">
            <w:pPr>
              <w:jc w:val="center"/>
              <w:rPr>
                <w:rFonts w:ascii="Calibri" w:hAnsi="Calibri" w:cs="Calibri"/>
                <w:color w:val="000000"/>
                <w:sz w:val="18"/>
                <w:szCs w:val="20"/>
              </w:rPr>
            </w:pPr>
            <w:r w:rsidRPr="003C5BA5">
              <w:rPr>
                <w:rFonts w:ascii="Calibri" w:hAnsi="Calibri" w:cs="Calibri"/>
                <w:color w:val="000000"/>
                <w:sz w:val="18"/>
                <w:szCs w:val="20"/>
              </w:rPr>
              <w:t>Moderate</w:t>
            </w:r>
            <w:r w:rsidRPr="003C5BA5">
              <w:rPr>
                <w:rFonts w:ascii="Calibri" w:hAnsi="Calibri" w:cs="Calibri"/>
                <w:color w:val="000000"/>
                <w:sz w:val="18"/>
                <w:szCs w:val="20"/>
              </w:rPr>
              <w:br/>
              <w:t xml:space="preserve">   (n = 4)</w:t>
            </w:r>
          </w:p>
        </w:tc>
        <w:tc>
          <w:tcPr>
            <w:tcW w:w="1260" w:type="dxa"/>
            <w:noWrap/>
            <w:vAlign w:val="center"/>
          </w:tcPr>
          <w:p w14:paraId="195F715C" w14:textId="77777777" w:rsidR="00CE1CC3" w:rsidRPr="003C5BA5" w:rsidRDefault="00CE1CC3" w:rsidP="006B65F2">
            <w:pPr>
              <w:jc w:val="center"/>
              <w:rPr>
                <w:rFonts w:ascii="Calibri" w:hAnsi="Calibri" w:cs="Calibri"/>
                <w:color w:val="000000"/>
                <w:sz w:val="18"/>
                <w:szCs w:val="20"/>
              </w:rPr>
            </w:pPr>
            <w:r>
              <w:rPr>
                <w:rFonts w:ascii="Calibri" w:hAnsi="Calibri" w:cs="Calibri"/>
                <w:color w:val="000000"/>
                <w:sz w:val="18"/>
                <w:szCs w:val="20"/>
              </w:rPr>
              <w:t>1.24</w:t>
            </w:r>
            <w:r w:rsidRPr="003C5BA5">
              <w:rPr>
                <w:rFonts w:ascii="Calibri" w:hAnsi="Calibri" w:cs="Calibri"/>
                <w:color w:val="000000"/>
                <w:sz w:val="18"/>
                <w:szCs w:val="20"/>
              </w:rPr>
              <w:t xml:space="preserve"> ± 0.25</w:t>
            </w:r>
          </w:p>
        </w:tc>
        <w:tc>
          <w:tcPr>
            <w:tcW w:w="1080" w:type="dxa"/>
            <w:noWrap/>
            <w:vAlign w:val="center"/>
          </w:tcPr>
          <w:p w14:paraId="7D8C8DCA" w14:textId="77777777" w:rsidR="00CE1CC3" w:rsidRPr="003C5BA5" w:rsidRDefault="00CE1CC3" w:rsidP="006B65F2">
            <w:pPr>
              <w:jc w:val="center"/>
              <w:rPr>
                <w:rFonts w:ascii="Calibri" w:hAnsi="Calibri" w:cs="Calibri"/>
                <w:color w:val="000000"/>
                <w:sz w:val="18"/>
                <w:szCs w:val="20"/>
              </w:rPr>
            </w:pPr>
            <w:r>
              <w:rPr>
                <w:rFonts w:ascii="Calibri" w:hAnsi="Calibri" w:cs="Calibri"/>
                <w:color w:val="000000"/>
                <w:sz w:val="18"/>
                <w:szCs w:val="20"/>
              </w:rPr>
              <w:t>4.00</w:t>
            </w:r>
            <w:r w:rsidRPr="003C5BA5">
              <w:rPr>
                <w:rFonts w:ascii="Calibri" w:hAnsi="Calibri" w:cs="Calibri"/>
                <w:color w:val="000000"/>
                <w:sz w:val="18"/>
                <w:szCs w:val="20"/>
              </w:rPr>
              <w:t xml:space="preserve"> ± </w:t>
            </w:r>
            <w:r>
              <w:rPr>
                <w:rFonts w:ascii="Calibri" w:hAnsi="Calibri" w:cs="Calibri"/>
                <w:color w:val="000000"/>
                <w:sz w:val="18"/>
                <w:szCs w:val="20"/>
              </w:rPr>
              <w:t>2.21</w:t>
            </w:r>
          </w:p>
        </w:tc>
        <w:tc>
          <w:tcPr>
            <w:tcW w:w="1080" w:type="dxa"/>
            <w:vAlign w:val="center"/>
          </w:tcPr>
          <w:p w14:paraId="14288781" w14:textId="77777777" w:rsidR="00CE1CC3" w:rsidRPr="003C5BA5" w:rsidRDefault="00CE1CC3" w:rsidP="006B65F2">
            <w:pPr>
              <w:jc w:val="center"/>
              <w:rPr>
                <w:sz w:val="18"/>
                <w:szCs w:val="20"/>
              </w:rPr>
            </w:pPr>
            <w:r>
              <w:rPr>
                <w:rFonts w:ascii="Calibri" w:hAnsi="Calibri" w:cs="Calibri"/>
                <w:color w:val="000000"/>
                <w:sz w:val="18"/>
                <w:szCs w:val="20"/>
              </w:rPr>
              <w:t>2.25</w:t>
            </w:r>
            <w:r w:rsidRPr="003C5BA5">
              <w:rPr>
                <w:rFonts w:ascii="Calibri" w:hAnsi="Calibri" w:cs="Calibri"/>
                <w:color w:val="000000"/>
                <w:sz w:val="18"/>
                <w:szCs w:val="20"/>
              </w:rPr>
              <w:t xml:space="preserve"> ±0.</w:t>
            </w:r>
            <w:r>
              <w:rPr>
                <w:rFonts w:ascii="Calibri" w:hAnsi="Calibri" w:cs="Calibri"/>
                <w:color w:val="000000"/>
                <w:sz w:val="18"/>
                <w:szCs w:val="20"/>
              </w:rPr>
              <w:t>86</w:t>
            </w:r>
          </w:p>
        </w:tc>
        <w:tc>
          <w:tcPr>
            <w:tcW w:w="1260" w:type="dxa"/>
            <w:noWrap/>
            <w:vAlign w:val="center"/>
          </w:tcPr>
          <w:p w14:paraId="71E322EC" w14:textId="77777777" w:rsidR="00CE1CC3" w:rsidRPr="003C5BA5" w:rsidRDefault="00CE1CC3" w:rsidP="006B65F2">
            <w:pPr>
              <w:jc w:val="center"/>
              <w:rPr>
                <w:rFonts w:ascii="Calibri" w:hAnsi="Calibri" w:cs="Calibri"/>
                <w:color w:val="000000"/>
                <w:sz w:val="18"/>
                <w:szCs w:val="20"/>
              </w:rPr>
            </w:pPr>
            <w:r>
              <w:rPr>
                <w:rFonts w:ascii="Calibri" w:hAnsi="Calibri" w:cs="Calibri"/>
                <w:color w:val="000000"/>
                <w:sz w:val="18"/>
                <w:szCs w:val="20"/>
              </w:rPr>
              <w:t>6.11</w:t>
            </w:r>
            <w:r w:rsidRPr="003C5BA5">
              <w:rPr>
                <w:rFonts w:ascii="Calibri" w:hAnsi="Calibri" w:cs="Calibri"/>
                <w:color w:val="000000"/>
                <w:sz w:val="18"/>
                <w:szCs w:val="20"/>
              </w:rPr>
              <w:t xml:space="preserve"> ±</w:t>
            </w:r>
            <w:r>
              <w:rPr>
                <w:rFonts w:ascii="Calibri" w:hAnsi="Calibri" w:cs="Calibri"/>
                <w:color w:val="000000"/>
                <w:sz w:val="18"/>
                <w:szCs w:val="20"/>
              </w:rPr>
              <w:t>5.66</w:t>
            </w:r>
          </w:p>
        </w:tc>
        <w:tc>
          <w:tcPr>
            <w:tcW w:w="1440" w:type="dxa"/>
            <w:noWrap/>
            <w:vAlign w:val="center"/>
          </w:tcPr>
          <w:p w14:paraId="31BFA761" w14:textId="77777777" w:rsidR="00CE1CC3" w:rsidRPr="003C5BA5" w:rsidRDefault="00CE1CC3" w:rsidP="006B65F2">
            <w:pPr>
              <w:jc w:val="center"/>
              <w:rPr>
                <w:rFonts w:ascii="Calibri" w:hAnsi="Calibri" w:cs="Calibri"/>
                <w:color w:val="000000"/>
                <w:sz w:val="18"/>
                <w:szCs w:val="20"/>
              </w:rPr>
            </w:pPr>
            <w:r>
              <w:rPr>
                <w:rFonts w:ascii="Calibri" w:hAnsi="Calibri" w:cs="Calibri"/>
                <w:color w:val="000000"/>
                <w:sz w:val="18"/>
                <w:szCs w:val="20"/>
              </w:rPr>
              <w:t>5.02</w:t>
            </w:r>
            <w:r w:rsidRPr="003C5BA5">
              <w:rPr>
                <w:rFonts w:ascii="Calibri" w:hAnsi="Calibri" w:cs="Calibri"/>
                <w:color w:val="000000"/>
                <w:sz w:val="18"/>
                <w:szCs w:val="20"/>
              </w:rPr>
              <w:t xml:space="preserve"> ±</w:t>
            </w:r>
            <w:r>
              <w:rPr>
                <w:rFonts w:ascii="Calibri" w:hAnsi="Calibri" w:cs="Calibri"/>
                <w:color w:val="000000"/>
                <w:sz w:val="18"/>
                <w:szCs w:val="20"/>
              </w:rPr>
              <w:t>4.56</w:t>
            </w:r>
          </w:p>
        </w:tc>
        <w:tc>
          <w:tcPr>
            <w:tcW w:w="1080" w:type="dxa"/>
            <w:noWrap/>
            <w:vAlign w:val="center"/>
          </w:tcPr>
          <w:p w14:paraId="20850098" w14:textId="77777777" w:rsidR="00CE1CC3" w:rsidRPr="003C5BA5" w:rsidRDefault="00CE1CC3" w:rsidP="006B65F2">
            <w:pPr>
              <w:jc w:val="center"/>
              <w:rPr>
                <w:rFonts w:ascii="Calibri" w:hAnsi="Calibri" w:cs="Calibri"/>
                <w:color w:val="000000"/>
                <w:sz w:val="18"/>
                <w:szCs w:val="20"/>
              </w:rPr>
            </w:pPr>
            <w:r>
              <w:rPr>
                <w:rFonts w:ascii="Calibri" w:hAnsi="Calibri" w:cs="Calibri"/>
                <w:color w:val="000000"/>
                <w:sz w:val="18"/>
                <w:szCs w:val="20"/>
              </w:rPr>
              <w:t>82.3</w:t>
            </w:r>
            <w:r w:rsidRPr="003C5BA5">
              <w:rPr>
                <w:rFonts w:ascii="Calibri" w:hAnsi="Calibri" w:cs="Calibri"/>
                <w:color w:val="000000"/>
                <w:sz w:val="18"/>
                <w:szCs w:val="20"/>
              </w:rPr>
              <w:t>%</w:t>
            </w:r>
          </w:p>
        </w:tc>
      </w:tr>
      <w:tr w:rsidR="00CE1CC3" w:rsidRPr="005705F1" w14:paraId="6508B8C2" w14:textId="77777777" w:rsidTr="000B63E4">
        <w:trPr>
          <w:trHeight w:val="70"/>
        </w:trPr>
        <w:tc>
          <w:tcPr>
            <w:tcW w:w="1080" w:type="dxa"/>
            <w:noWrap/>
            <w:vAlign w:val="center"/>
            <w:hideMark/>
          </w:tcPr>
          <w:p w14:paraId="751AEA41" w14:textId="77777777" w:rsidR="00CE1CC3" w:rsidRPr="003C5BA5" w:rsidRDefault="00CE1CC3" w:rsidP="006B65F2">
            <w:pPr>
              <w:jc w:val="center"/>
              <w:rPr>
                <w:rFonts w:ascii="Calibri" w:hAnsi="Calibri" w:cs="Calibri"/>
                <w:color w:val="000000"/>
                <w:sz w:val="18"/>
                <w:szCs w:val="20"/>
              </w:rPr>
            </w:pPr>
            <w:r w:rsidRPr="003C5BA5">
              <w:rPr>
                <w:rFonts w:ascii="Calibri" w:hAnsi="Calibri" w:cs="Calibri"/>
                <w:color w:val="000000"/>
                <w:sz w:val="18"/>
                <w:szCs w:val="20"/>
              </w:rPr>
              <w:t xml:space="preserve">High </w:t>
            </w:r>
            <w:r w:rsidRPr="003C5BA5">
              <w:rPr>
                <w:rFonts w:ascii="Calibri" w:hAnsi="Calibri" w:cs="Calibri"/>
                <w:color w:val="000000"/>
                <w:sz w:val="18"/>
                <w:szCs w:val="20"/>
              </w:rPr>
              <w:br/>
              <w:t xml:space="preserve">   (n = </w:t>
            </w:r>
            <w:r>
              <w:rPr>
                <w:rFonts w:ascii="Calibri" w:hAnsi="Calibri" w:cs="Calibri"/>
                <w:color w:val="000000"/>
                <w:sz w:val="18"/>
                <w:szCs w:val="20"/>
              </w:rPr>
              <w:t>2</w:t>
            </w:r>
            <w:r w:rsidRPr="003C5BA5">
              <w:rPr>
                <w:rFonts w:ascii="Calibri" w:hAnsi="Calibri" w:cs="Calibri"/>
                <w:color w:val="000000"/>
                <w:sz w:val="18"/>
                <w:szCs w:val="20"/>
              </w:rPr>
              <w:t>)</w:t>
            </w:r>
          </w:p>
        </w:tc>
        <w:tc>
          <w:tcPr>
            <w:tcW w:w="1260" w:type="dxa"/>
            <w:noWrap/>
            <w:vAlign w:val="center"/>
          </w:tcPr>
          <w:p w14:paraId="2499BD7F" w14:textId="77777777" w:rsidR="00CE1CC3" w:rsidRPr="003C5BA5" w:rsidRDefault="00CE1CC3" w:rsidP="006B65F2">
            <w:pPr>
              <w:jc w:val="center"/>
              <w:rPr>
                <w:rFonts w:ascii="Calibri" w:hAnsi="Calibri" w:cs="Calibri"/>
                <w:color w:val="000000"/>
                <w:sz w:val="18"/>
                <w:szCs w:val="20"/>
              </w:rPr>
            </w:pPr>
            <w:r>
              <w:rPr>
                <w:rFonts w:ascii="Calibri" w:hAnsi="Calibri" w:cs="Calibri"/>
                <w:color w:val="000000"/>
                <w:sz w:val="18"/>
                <w:szCs w:val="20"/>
              </w:rPr>
              <w:t>2.21</w:t>
            </w:r>
            <w:r w:rsidRPr="003C5BA5">
              <w:rPr>
                <w:rFonts w:ascii="Calibri" w:hAnsi="Calibri" w:cs="Calibri"/>
                <w:color w:val="000000"/>
                <w:sz w:val="18"/>
                <w:szCs w:val="20"/>
              </w:rPr>
              <w:t xml:space="preserve"> </w:t>
            </w:r>
            <w:r>
              <w:rPr>
                <w:rFonts w:ascii="Calibri" w:hAnsi="Calibri" w:cs="Calibri"/>
                <w:color w:val="000000"/>
                <w:sz w:val="18"/>
                <w:szCs w:val="20"/>
              </w:rPr>
              <w:t>± 0.2</w:t>
            </w:r>
            <w:r w:rsidRPr="003C5BA5">
              <w:rPr>
                <w:rFonts w:ascii="Calibri" w:hAnsi="Calibri" w:cs="Calibri"/>
                <w:color w:val="000000"/>
                <w:sz w:val="18"/>
                <w:szCs w:val="20"/>
              </w:rPr>
              <w:t>9</w:t>
            </w:r>
          </w:p>
        </w:tc>
        <w:tc>
          <w:tcPr>
            <w:tcW w:w="1080" w:type="dxa"/>
            <w:noWrap/>
            <w:vAlign w:val="center"/>
          </w:tcPr>
          <w:p w14:paraId="39076A9C" w14:textId="77777777" w:rsidR="00CE1CC3" w:rsidRPr="003C5BA5" w:rsidRDefault="00CE1CC3" w:rsidP="006B65F2">
            <w:pPr>
              <w:jc w:val="center"/>
              <w:rPr>
                <w:rFonts w:ascii="Calibri" w:hAnsi="Calibri" w:cs="Calibri"/>
                <w:color w:val="000000"/>
                <w:sz w:val="18"/>
                <w:szCs w:val="20"/>
              </w:rPr>
            </w:pPr>
            <w:r>
              <w:rPr>
                <w:rFonts w:ascii="Calibri" w:hAnsi="Calibri" w:cs="Calibri"/>
                <w:color w:val="000000"/>
                <w:sz w:val="18"/>
                <w:szCs w:val="20"/>
              </w:rPr>
              <w:t>3.88</w:t>
            </w:r>
            <w:r w:rsidRPr="003C5BA5">
              <w:rPr>
                <w:rFonts w:ascii="Calibri" w:hAnsi="Calibri" w:cs="Calibri"/>
                <w:color w:val="000000"/>
                <w:sz w:val="18"/>
                <w:szCs w:val="20"/>
              </w:rPr>
              <w:t xml:space="preserve"> ± </w:t>
            </w:r>
            <w:r>
              <w:rPr>
                <w:rFonts w:ascii="Calibri" w:hAnsi="Calibri" w:cs="Calibri"/>
                <w:color w:val="000000"/>
                <w:sz w:val="18"/>
                <w:szCs w:val="20"/>
              </w:rPr>
              <w:t>0.18</w:t>
            </w:r>
          </w:p>
        </w:tc>
        <w:tc>
          <w:tcPr>
            <w:tcW w:w="1080" w:type="dxa"/>
            <w:vAlign w:val="center"/>
          </w:tcPr>
          <w:p w14:paraId="6C91A25C" w14:textId="77777777" w:rsidR="00CE1CC3" w:rsidRPr="003C5BA5" w:rsidRDefault="00CE1CC3" w:rsidP="006B65F2">
            <w:pPr>
              <w:spacing w:after="160"/>
              <w:jc w:val="center"/>
              <w:rPr>
                <w:rFonts w:ascii="Calibri" w:hAnsi="Calibri" w:cs="Calibri"/>
                <w:color w:val="000000"/>
                <w:sz w:val="18"/>
                <w:szCs w:val="20"/>
              </w:rPr>
            </w:pPr>
            <w:r>
              <w:rPr>
                <w:rFonts w:ascii="Calibri" w:hAnsi="Calibri" w:cs="Calibri"/>
                <w:color w:val="000000"/>
                <w:sz w:val="18"/>
                <w:szCs w:val="20"/>
              </w:rPr>
              <w:br/>
              <w:t>3.03</w:t>
            </w:r>
            <w:r w:rsidRPr="003C5BA5">
              <w:rPr>
                <w:rFonts w:ascii="Calibri" w:hAnsi="Calibri" w:cs="Calibri"/>
                <w:color w:val="000000"/>
                <w:sz w:val="18"/>
                <w:szCs w:val="20"/>
              </w:rPr>
              <w:t xml:space="preserve"> ± </w:t>
            </w:r>
            <w:r>
              <w:rPr>
                <w:rFonts w:ascii="Calibri" w:hAnsi="Calibri" w:cs="Calibri"/>
                <w:color w:val="000000"/>
                <w:sz w:val="18"/>
                <w:szCs w:val="20"/>
              </w:rPr>
              <w:t>0.45</w:t>
            </w:r>
          </w:p>
        </w:tc>
        <w:tc>
          <w:tcPr>
            <w:tcW w:w="1260" w:type="dxa"/>
            <w:noWrap/>
            <w:vAlign w:val="center"/>
          </w:tcPr>
          <w:p w14:paraId="2A0E8C66" w14:textId="77777777" w:rsidR="00CE1CC3" w:rsidRPr="003C5BA5" w:rsidRDefault="00CE1CC3" w:rsidP="006B65F2">
            <w:pPr>
              <w:jc w:val="center"/>
              <w:rPr>
                <w:rFonts w:ascii="Calibri" w:hAnsi="Calibri" w:cs="Calibri"/>
                <w:color w:val="000000"/>
                <w:sz w:val="18"/>
                <w:szCs w:val="20"/>
              </w:rPr>
            </w:pPr>
            <w:r>
              <w:rPr>
                <w:rFonts w:ascii="Calibri" w:hAnsi="Calibri" w:cs="Calibri"/>
                <w:color w:val="000000"/>
                <w:sz w:val="18"/>
                <w:szCs w:val="20"/>
              </w:rPr>
              <w:t>1.29</w:t>
            </w:r>
            <w:r w:rsidRPr="003C5BA5">
              <w:rPr>
                <w:rFonts w:ascii="Calibri" w:hAnsi="Calibri" w:cs="Calibri"/>
                <w:color w:val="000000"/>
                <w:sz w:val="18"/>
                <w:szCs w:val="20"/>
              </w:rPr>
              <w:t xml:space="preserve"> ±</w:t>
            </w:r>
            <w:r>
              <w:rPr>
                <w:rFonts w:ascii="Calibri" w:hAnsi="Calibri" w:cs="Calibri"/>
                <w:color w:val="000000"/>
                <w:sz w:val="18"/>
                <w:szCs w:val="20"/>
              </w:rPr>
              <w:t>0.74</w:t>
            </w:r>
          </w:p>
        </w:tc>
        <w:tc>
          <w:tcPr>
            <w:tcW w:w="1440" w:type="dxa"/>
            <w:noWrap/>
            <w:vAlign w:val="center"/>
          </w:tcPr>
          <w:p w14:paraId="0B2CEAF7" w14:textId="77777777" w:rsidR="00CE1CC3" w:rsidRPr="003C5BA5" w:rsidRDefault="00CE1CC3" w:rsidP="006B65F2">
            <w:pPr>
              <w:jc w:val="center"/>
              <w:rPr>
                <w:rFonts w:ascii="Calibri" w:hAnsi="Calibri" w:cs="Calibri"/>
                <w:color w:val="000000"/>
                <w:sz w:val="18"/>
                <w:szCs w:val="20"/>
              </w:rPr>
            </w:pPr>
            <w:r>
              <w:rPr>
                <w:rFonts w:ascii="Calibri" w:hAnsi="Calibri" w:cs="Calibri"/>
                <w:color w:val="000000"/>
                <w:sz w:val="18"/>
                <w:szCs w:val="20"/>
              </w:rPr>
              <w:t>0.922</w:t>
            </w:r>
            <w:r w:rsidRPr="003C5BA5">
              <w:rPr>
                <w:rFonts w:ascii="Calibri" w:hAnsi="Calibri" w:cs="Calibri"/>
                <w:color w:val="000000"/>
                <w:sz w:val="18"/>
                <w:szCs w:val="20"/>
              </w:rPr>
              <w:t xml:space="preserve"> ± </w:t>
            </w:r>
            <w:r>
              <w:rPr>
                <w:rFonts w:ascii="Calibri" w:hAnsi="Calibri" w:cs="Calibri"/>
                <w:color w:val="000000"/>
                <w:sz w:val="18"/>
                <w:szCs w:val="20"/>
              </w:rPr>
              <w:t>0.355</w:t>
            </w:r>
          </w:p>
        </w:tc>
        <w:tc>
          <w:tcPr>
            <w:tcW w:w="1080" w:type="dxa"/>
            <w:noWrap/>
            <w:vAlign w:val="center"/>
          </w:tcPr>
          <w:p w14:paraId="553ECB43" w14:textId="77777777" w:rsidR="00CE1CC3" w:rsidRPr="003C5BA5" w:rsidRDefault="00CE1CC3" w:rsidP="006B65F2">
            <w:pPr>
              <w:jc w:val="center"/>
              <w:rPr>
                <w:rFonts w:ascii="Calibri" w:hAnsi="Calibri" w:cs="Calibri"/>
                <w:color w:val="000000"/>
                <w:sz w:val="18"/>
                <w:szCs w:val="20"/>
              </w:rPr>
            </w:pPr>
            <w:r>
              <w:rPr>
                <w:rFonts w:ascii="Calibri" w:hAnsi="Calibri" w:cs="Calibri"/>
                <w:color w:val="000000"/>
                <w:sz w:val="18"/>
                <w:szCs w:val="20"/>
              </w:rPr>
              <w:t>71.5</w:t>
            </w:r>
            <w:r w:rsidRPr="003C5BA5">
              <w:rPr>
                <w:rFonts w:ascii="Calibri" w:hAnsi="Calibri" w:cs="Calibri"/>
                <w:color w:val="000000"/>
                <w:sz w:val="18"/>
                <w:szCs w:val="20"/>
              </w:rPr>
              <w:t>%</w:t>
            </w:r>
          </w:p>
        </w:tc>
      </w:tr>
      <w:tr w:rsidR="00CE1CC3" w:rsidRPr="005705F1" w14:paraId="7AF50A67" w14:textId="77777777" w:rsidTr="000B63E4">
        <w:trPr>
          <w:trHeight w:val="315"/>
        </w:trPr>
        <w:tc>
          <w:tcPr>
            <w:tcW w:w="1080" w:type="dxa"/>
            <w:tcBorders>
              <w:bottom w:val="single" w:sz="4" w:space="0" w:color="auto"/>
            </w:tcBorders>
            <w:noWrap/>
            <w:vAlign w:val="center"/>
          </w:tcPr>
          <w:p w14:paraId="1AA4C824" w14:textId="77777777" w:rsidR="00CE1CC3" w:rsidRPr="003C5BA5" w:rsidRDefault="00CE1CC3" w:rsidP="006B65F2">
            <w:pPr>
              <w:jc w:val="center"/>
              <w:rPr>
                <w:rFonts w:ascii="Calibri" w:hAnsi="Calibri" w:cs="Calibri"/>
                <w:color w:val="000000"/>
                <w:sz w:val="18"/>
                <w:szCs w:val="20"/>
              </w:rPr>
            </w:pPr>
            <w:r w:rsidRPr="003C5BA5">
              <w:rPr>
                <w:rFonts w:ascii="Calibri" w:hAnsi="Calibri" w:cs="Calibri"/>
                <w:color w:val="000000"/>
                <w:sz w:val="18"/>
                <w:szCs w:val="20"/>
              </w:rPr>
              <w:t>Extreme</w:t>
            </w:r>
            <w:r w:rsidRPr="003C5BA5">
              <w:rPr>
                <w:rFonts w:ascii="Calibri" w:hAnsi="Calibri" w:cs="Calibri"/>
                <w:color w:val="000000"/>
                <w:sz w:val="18"/>
                <w:szCs w:val="20"/>
              </w:rPr>
              <w:br/>
              <w:t xml:space="preserve">   (n = 1)</w:t>
            </w:r>
          </w:p>
        </w:tc>
        <w:tc>
          <w:tcPr>
            <w:tcW w:w="1260" w:type="dxa"/>
            <w:tcBorders>
              <w:bottom w:val="single" w:sz="4" w:space="0" w:color="auto"/>
            </w:tcBorders>
            <w:noWrap/>
            <w:vAlign w:val="center"/>
          </w:tcPr>
          <w:p w14:paraId="3E9EC281" w14:textId="77777777" w:rsidR="00CE1CC3" w:rsidRPr="003C5BA5" w:rsidRDefault="00CE1CC3" w:rsidP="006B65F2">
            <w:pPr>
              <w:jc w:val="center"/>
              <w:rPr>
                <w:rFonts w:ascii="Calibri" w:hAnsi="Calibri" w:cs="Calibri"/>
                <w:color w:val="000000"/>
                <w:sz w:val="18"/>
                <w:szCs w:val="20"/>
              </w:rPr>
            </w:pPr>
            <w:r>
              <w:rPr>
                <w:rFonts w:ascii="Calibri" w:hAnsi="Calibri" w:cs="Calibri"/>
                <w:color w:val="000000"/>
                <w:sz w:val="18"/>
                <w:szCs w:val="20"/>
              </w:rPr>
              <w:t>3.23</w:t>
            </w:r>
          </w:p>
        </w:tc>
        <w:tc>
          <w:tcPr>
            <w:tcW w:w="1080" w:type="dxa"/>
            <w:tcBorders>
              <w:bottom w:val="single" w:sz="4" w:space="0" w:color="auto"/>
            </w:tcBorders>
            <w:noWrap/>
            <w:vAlign w:val="center"/>
          </w:tcPr>
          <w:p w14:paraId="6B9895E5" w14:textId="77777777" w:rsidR="00CE1CC3" w:rsidRPr="003C5BA5" w:rsidRDefault="00CE1CC3" w:rsidP="006B65F2">
            <w:pPr>
              <w:jc w:val="center"/>
              <w:rPr>
                <w:rFonts w:ascii="Calibri" w:hAnsi="Calibri" w:cs="Calibri"/>
                <w:color w:val="000000"/>
                <w:sz w:val="18"/>
                <w:szCs w:val="20"/>
              </w:rPr>
            </w:pPr>
            <w:r>
              <w:rPr>
                <w:rFonts w:ascii="Calibri" w:hAnsi="Calibri" w:cs="Calibri"/>
                <w:color w:val="000000"/>
                <w:sz w:val="18"/>
                <w:szCs w:val="20"/>
              </w:rPr>
              <w:t>7.25</w:t>
            </w:r>
          </w:p>
        </w:tc>
        <w:tc>
          <w:tcPr>
            <w:tcW w:w="1080" w:type="dxa"/>
            <w:tcBorders>
              <w:bottom w:val="single" w:sz="4" w:space="0" w:color="auto"/>
            </w:tcBorders>
            <w:vAlign w:val="center"/>
          </w:tcPr>
          <w:p w14:paraId="57BB5386" w14:textId="77777777" w:rsidR="00CE1CC3" w:rsidRPr="003C5BA5" w:rsidRDefault="00CE1CC3" w:rsidP="006B65F2">
            <w:pPr>
              <w:jc w:val="center"/>
              <w:rPr>
                <w:rFonts w:ascii="Calibri" w:hAnsi="Calibri" w:cs="Calibri"/>
                <w:color w:val="000000"/>
                <w:sz w:val="18"/>
                <w:szCs w:val="20"/>
              </w:rPr>
            </w:pPr>
            <w:r>
              <w:rPr>
                <w:rFonts w:ascii="Calibri" w:hAnsi="Calibri" w:cs="Calibri"/>
                <w:color w:val="000000"/>
                <w:sz w:val="18"/>
                <w:szCs w:val="20"/>
              </w:rPr>
              <w:t>9.49</w:t>
            </w:r>
          </w:p>
        </w:tc>
        <w:tc>
          <w:tcPr>
            <w:tcW w:w="1260" w:type="dxa"/>
            <w:tcBorders>
              <w:bottom w:val="single" w:sz="4" w:space="0" w:color="auto"/>
            </w:tcBorders>
            <w:noWrap/>
            <w:vAlign w:val="center"/>
          </w:tcPr>
          <w:p w14:paraId="488013B8" w14:textId="77777777" w:rsidR="00CE1CC3" w:rsidRPr="003C5BA5" w:rsidRDefault="00CE1CC3" w:rsidP="006B65F2">
            <w:pPr>
              <w:jc w:val="center"/>
              <w:rPr>
                <w:rFonts w:ascii="Calibri" w:hAnsi="Calibri" w:cs="Calibri"/>
                <w:color w:val="000000"/>
                <w:sz w:val="18"/>
                <w:szCs w:val="20"/>
              </w:rPr>
            </w:pPr>
            <w:r>
              <w:rPr>
                <w:rFonts w:ascii="Calibri" w:hAnsi="Calibri" w:cs="Calibri"/>
                <w:color w:val="000000"/>
                <w:sz w:val="18"/>
                <w:szCs w:val="20"/>
              </w:rPr>
              <w:t>0.655</w:t>
            </w:r>
          </w:p>
        </w:tc>
        <w:tc>
          <w:tcPr>
            <w:tcW w:w="1440" w:type="dxa"/>
            <w:tcBorders>
              <w:bottom w:val="single" w:sz="4" w:space="0" w:color="auto"/>
            </w:tcBorders>
            <w:noWrap/>
            <w:vAlign w:val="center"/>
          </w:tcPr>
          <w:p w14:paraId="74816417" w14:textId="77777777" w:rsidR="00CE1CC3" w:rsidRPr="003C5BA5" w:rsidRDefault="00CE1CC3" w:rsidP="006B65F2">
            <w:pPr>
              <w:jc w:val="center"/>
              <w:rPr>
                <w:rFonts w:ascii="Calibri" w:hAnsi="Calibri" w:cs="Calibri"/>
                <w:color w:val="000000"/>
                <w:sz w:val="18"/>
                <w:szCs w:val="20"/>
              </w:rPr>
            </w:pPr>
            <w:r>
              <w:rPr>
                <w:rFonts w:ascii="Calibri" w:hAnsi="Calibri" w:cs="Calibri"/>
                <w:color w:val="000000"/>
                <w:sz w:val="18"/>
                <w:szCs w:val="20"/>
              </w:rPr>
              <w:t>0.494</w:t>
            </w:r>
          </w:p>
        </w:tc>
        <w:tc>
          <w:tcPr>
            <w:tcW w:w="1080" w:type="dxa"/>
            <w:tcBorders>
              <w:bottom w:val="single" w:sz="4" w:space="0" w:color="auto"/>
            </w:tcBorders>
            <w:noWrap/>
            <w:vAlign w:val="center"/>
          </w:tcPr>
          <w:p w14:paraId="22E9B5ED" w14:textId="77777777" w:rsidR="00CE1CC3" w:rsidRPr="003C5BA5" w:rsidRDefault="00CE1CC3" w:rsidP="006B65F2">
            <w:pPr>
              <w:ind w:left="49"/>
              <w:jc w:val="center"/>
              <w:rPr>
                <w:rFonts w:ascii="Calibri" w:hAnsi="Calibri" w:cs="Calibri"/>
                <w:color w:val="000000"/>
                <w:sz w:val="18"/>
                <w:szCs w:val="20"/>
              </w:rPr>
            </w:pPr>
            <w:r>
              <w:rPr>
                <w:rFonts w:ascii="Calibri" w:hAnsi="Calibri" w:cs="Calibri"/>
                <w:color w:val="000000"/>
                <w:sz w:val="18"/>
                <w:szCs w:val="20"/>
              </w:rPr>
              <w:t>75.4</w:t>
            </w:r>
            <w:r w:rsidRPr="003C5BA5">
              <w:rPr>
                <w:rFonts w:ascii="Calibri" w:hAnsi="Calibri" w:cs="Calibri"/>
                <w:color w:val="000000"/>
                <w:sz w:val="18"/>
                <w:szCs w:val="20"/>
              </w:rPr>
              <w:t>%</w:t>
            </w:r>
          </w:p>
        </w:tc>
      </w:tr>
    </w:tbl>
    <w:p w14:paraId="259D124C" w14:textId="77777777" w:rsidR="00CE1CC3" w:rsidRDefault="00CE1CC3" w:rsidP="00CE1CC3">
      <w:pPr>
        <w:spacing w:line="480" w:lineRule="auto"/>
        <w:jc w:val="both"/>
        <w:rPr>
          <w:rFonts w:cs="Arial"/>
        </w:rPr>
      </w:pPr>
    </w:p>
    <w:p w14:paraId="15D3B146" w14:textId="587BA9E3" w:rsidR="00CE1CC3" w:rsidRPr="0048127F" w:rsidRDefault="00CE1CC3" w:rsidP="00CE1CC3">
      <w:pPr>
        <w:spacing w:line="480" w:lineRule="auto"/>
        <w:jc w:val="both"/>
        <w:rPr>
          <w:rFonts w:cs="Arial"/>
        </w:rPr>
      </w:pPr>
      <w:r>
        <w:rPr>
          <w:rFonts w:cs="Arial"/>
        </w:rPr>
        <w:t xml:space="preserve">Storms were observed to transport iron above the baseline value for all four storm intensities. The average amount of iron transported out of </w:t>
      </w:r>
      <w:r w:rsidRPr="00C124B9">
        <w:rPr>
          <w:rFonts w:cs="Arial"/>
        </w:rPr>
        <w:t>Cell2</w:t>
      </w:r>
      <w:r>
        <w:rPr>
          <w:rFonts w:cs="Arial"/>
        </w:rPr>
        <w:t>S</w:t>
      </w:r>
      <w:r w:rsidRPr="00C124B9">
        <w:rPr>
          <w:rFonts w:cs="Arial"/>
        </w:rPr>
        <w:t xml:space="preserve"> is </w:t>
      </w:r>
      <w:r>
        <w:rPr>
          <w:rFonts w:cs="Arial"/>
        </w:rPr>
        <w:t>3.21</w:t>
      </w:r>
      <w:r w:rsidRPr="00C124B9">
        <w:rPr>
          <w:rFonts w:cs="Calibri"/>
        </w:rPr>
        <w:t>±</w:t>
      </w:r>
      <w:r>
        <w:rPr>
          <w:rFonts w:cs="Arial"/>
        </w:rPr>
        <w:t>3.95</w:t>
      </w:r>
      <w:r w:rsidRPr="00C124B9">
        <w:rPr>
          <w:rFonts w:cs="Arial"/>
        </w:rPr>
        <w:t xml:space="preserve"> kg/storm for all</w:t>
      </w:r>
      <w:r>
        <w:rPr>
          <w:rFonts w:cs="Arial"/>
        </w:rPr>
        <w:t xml:space="preserve"> storms sampled, of which 76.0</w:t>
      </w:r>
      <w:r>
        <w:rPr>
          <w:rFonts w:cs="Calibri"/>
        </w:rPr>
        <w:t>±</w:t>
      </w:r>
      <w:r>
        <w:rPr>
          <w:rFonts w:cs="Arial"/>
        </w:rPr>
        <w:t xml:space="preserve">0.5%; (n = 7) of the transported iron is due to storm disturbance.  There is no apparent quantitative relationship between storm intensity and the amount of mass transport of iron.  A storm event of any intensity exceeding 0.25 cm/h exports iron out of Cell 2S (Table </w:t>
      </w:r>
      <w:r w:rsidR="006B65F2">
        <w:rPr>
          <w:rFonts w:cs="Arial"/>
        </w:rPr>
        <w:t>3.10</w:t>
      </w:r>
      <w:r>
        <w:rPr>
          <w:rFonts w:cs="Arial"/>
        </w:rPr>
        <w:t xml:space="preserve">). Average individual storm transport of iron is not statistically significant </w:t>
      </w:r>
      <w:r>
        <w:rPr>
          <w:rFonts w:cs="Arial"/>
        </w:rPr>
        <w:lastRenderedPageBreak/>
        <w:t>with respect to baseline transport based on the one-tailed Student’s t test (</w:t>
      </w:r>
      <w:r>
        <w:rPr>
          <w:rFonts w:cs="Calibri"/>
        </w:rPr>
        <w:t>α</w:t>
      </w:r>
      <w:r>
        <w:rPr>
          <w:rFonts w:cs="Arial"/>
        </w:rPr>
        <w:t>=0.05; -1.58 t stat; 1.89 t Critical). This is most likely due to the small sample size (n = 7) and the high variability of storm induced iron transport on a storm by storm basis.  The combination of the C2N and C2S datasets yields an average gross iron transport of 2.46</w:t>
      </w:r>
      <w:r>
        <w:rPr>
          <w:rFonts w:cs="Calibri"/>
        </w:rPr>
        <w:t>±</w:t>
      </w:r>
      <w:r>
        <w:rPr>
          <w:rFonts w:cs="Arial"/>
        </w:rPr>
        <w:t>3.18 kg Fe of which 1.85</w:t>
      </w:r>
      <w:r>
        <w:rPr>
          <w:rFonts w:cs="Calibri"/>
        </w:rPr>
        <w:t>±</w:t>
      </w:r>
      <w:r>
        <w:rPr>
          <w:rFonts w:cs="Arial"/>
        </w:rPr>
        <w:t>2.63 kg Fe is storm-induced transport (73.0</w:t>
      </w:r>
      <w:r>
        <w:rPr>
          <w:rFonts w:cs="Calibri"/>
        </w:rPr>
        <w:t>±</w:t>
      </w:r>
      <w:r>
        <w:rPr>
          <w:rFonts w:cs="Arial"/>
        </w:rPr>
        <w:t>15.2% of total transport</w:t>
      </w:r>
      <w:r w:rsidR="006B65F2">
        <w:rPr>
          <w:rFonts w:cs="Arial"/>
        </w:rPr>
        <w:t xml:space="preserve"> per storm</w:t>
      </w:r>
      <w:r>
        <w:rPr>
          <w:rFonts w:cs="Arial"/>
        </w:rPr>
        <w:t>). Average individual storm transport of iron is statistically significant with respect to baseline transport for the combined C2N/C2S dataset based on the one- tailed Student’s t test (</w:t>
      </w:r>
      <w:r>
        <w:rPr>
          <w:rFonts w:cs="Calibri"/>
        </w:rPr>
        <w:t>α</w:t>
      </w:r>
      <w:r>
        <w:rPr>
          <w:rFonts w:cs="Arial"/>
        </w:rPr>
        <w:t>=0.05; 1.90 t stat; 1.72 t Critical).</w:t>
      </w:r>
    </w:p>
    <w:p w14:paraId="75447EBA" w14:textId="77777777" w:rsidR="00CE1CC3" w:rsidRDefault="00CE1CC3" w:rsidP="00CE1CC3">
      <w:pPr>
        <w:spacing w:line="240" w:lineRule="auto"/>
        <w:jc w:val="both"/>
        <w:rPr>
          <w:rFonts w:cs="Arial"/>
          <w:sz w:val="20"/>
        </w:rPr>
      </w:pPr>
      <w:r w:rsidRPr="0085448A">
        <w:rPr>
          <w:noProof/>
        </w:rPr>
        <w:drawing>
          <wp:inline distT="0" distB="0" distL="0" distR="0" wp14:anchorId="4C9FE13D" wp14:editId="2C90C9FD">
            <wp:extent cx="5257800" cy="2776220"/>
            <wp:effectExtent l="0" t="0" r="0" b="5080"/>
            <wp:docPr id="241" name="Chart 2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FBE9D87" w14:textId="485698BE" w:rsidR="00CE1CC3" w:rsidRPr="00411456" w:rsidRDefault="00CE1CC3" w:rsidP="00CE1CC3">
      <w:pPr>
        <w:spacing w:line="240" w:lineRule="auto"/>
        <w:jc w:val="both"/>
        <w:rPr>
          <w:rFonts w:cs="Arial"/>
          <w:sz w:val="20"/>
        </w:rPr>
      </w:pPr>
      <w:r w:rsidRPr="00411456">
        <w:rPr>
          <w:rFonts w:cs="Arial"/>
          <w:sz w:val="20"/>
        </w:rPr>
        <w:t xml:space="preserve">Figure </w:t>
      </w:r>
      <w:r w:rsidR="006B65F2">
        <w:rPr>
          <w:rFonts w:cs="Arial"/>
          <w:sz w:val="20"/>
        </w:rPr>
        <w:t>3.15</w:t>
      </w:r>
      <w:r>
        <w:rPr>
          <w:rFonts w:cs="Arial"/>
          <w:sz w:val="20"/>
        </w:rPr>
        <w:t xml:space="preserve">: </w:t>
      </w:r>
      <w:r w:rsidRPr="00411456">
        <w:rPr>
          <w:rFonts w:cs="Arial"/>
          <w:sz w:val="20"/>
        </w:rPr>
        <w:t xml:space="preserve"> Monthly storm induced iron transport distribution over the three-year period of the storm tran</w:t>
      </w:r>
      <w:r>
        <w:rPr>
          <w:rFonts w:cs="Arial"/>
          <w:sz w:val="20"/>
        </w:rPr>
        <w:t xml:space="preserve">sport profile data collection for C2SOut. </w:t>
      </w:r>
    </w:p>
    <w:p w14:paraId="2EAE3CE7" w14:textId="77777777" w:rsidR="00CE1CC3" w:rsidRPr="00631A43" w:rsidRDefault="00CE1CC3" w:rsidP="00CE1CC3">
      <w:pPr>
        <w:spacing w:line="240" w:lineRule="auto"/>
        <w:jc w:val="both"/>
        <w:rPr>
          <w:rFonts w:cs="Arial"/>
          <w:sz w:val="20"/>
        </w:rPr>
      </w:pPr>
    </w:p>
    <w:p w14:paraId="6D63433B" w14:textId="541E27F8" w:rsidR="00CE1CC3" w:rsidRPr="00FE28F2" w:rsidRDefault="00CE1CC3" w:rsidP="00CE1CC3">
      <w:pPr>
        <w:spacing w:line="480" w:lineRule="auto"/>
        <w:jc w:val="both"/>
        <w:rPr>
          <w:rFonts w:cs="Arial"/>
        </w:rPr>
      </w:pPr>
      <w:r>
        <w:rPr>
          <w:rFonts w:cs="Arial"/>
        </w:rPr>
        <w:t xml:space="preserve">Low and moderate intensity storms transported the greatest quantity of iron consistently each season over the higher intensity events (Figure </w:t>
      </w:r>
      <w:r w:rsidR="00F71853">
        <w:rPr>
          <w:rFonts w:cs="Arial"/>
        </w:rPr>
        <w:t>3.16</w:t>
      </w:r>
      <w:r>
        <w:rPr>
          <w:rFonts w:cs="Arial"/>
        </w:rPr>
        <w:t xml:space="preserve">). The high frequency of low intensity events leads to a cumulative effect for iron transport with low intensity storms transporting the largest fraction of the iron mass loading. The contribution of moderate storms to the export of iron from Cell 2S, that was not observed for Cell 2N, is due to a vegetation loss in the </w:t>
      </w:r>
      <w:r>
        <w:rPr>
          <w:rFonts w:cs="Arial"/>
        </w:rPr>
        <w:lastRenderedPageBreak/>
        <w:t>surface flow wetlands section of the cell. Muskrat activity and water levels exceeding design severely impacted the success of emergent hydrophyte species between growing seasons. Vegetative cover is the primary difference between the Cell 2N and Cell 2S units, as they receive the same iron mass loading (7862</w:t>
      </w:r>
      <w:r>
        <w:rPr>
          <w:rFonts w:cs="Calibri"/>
        </w:rPr>
        <w:t>±</w:t>
      </w:r>
      <w:r>
        <w:rPr>
          <w:rFonts w:cs="Arial"/>
        </w:rPr>
        <w:t xml:space="preserve">3783 kg/year) exported from Cell 1, and have the same design profile (surface area, aspect ratios, design hydraulic treatment volume, etc.).  </w:t>
      </w:r>
    </w:p>
    <w:p w14:paraId="14171C0F" w14:textId="77777777" w:rsidR="00CE1CC3" w:rsidRDefault="00CE1CC3" w:rsidP="00CE1CC3">
      <w:pPr>
        <w:spacing w:line="240" w:lineRule="auto"/>
        <w:jc w:val="both"/>
        <w:rPr>
          <w:rFonts w:cs="Arial"/>
          <w:sz w:val="20"/>
        </w:rPr>
      </w:pPr>
      <w:r w:rsidRPr="0085448A">
        <w:rPr>
          <w:noProof/>
        </w:rPr>
        <w:drawing>
          <wp:inline distT="0" distB="0" distL="0" distR="0" wp14:anchorId="49A1A6CE" wp14:editId="66CD3485">
            <wp:extent cx="5139690" cy="2762250"/>
            <wp:effectExtent l="0" t="0" r="3810" b="0"/>
            <wp:docPr id="240" name="Chart 2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59C1509" w14:textId="0F6992C9" w:rsidR="00CE1CC3" w:rsidRDefault="00CE1CC3" w:rsidP="00CE1CC3">
      <w:pPr>
        <w:spacing w:line="240" w:lineRule="auto"/>
        <w:jc w:val="both"/>
        <w:rPr>
          <w:rFonts w:cs="Arial"/>
          <w:sz w:val="20"/>
        </w:rPr>
      </w:pPr>
      <w:r w:rsidRPr="00B30B07">
        <w:rPr>
          <w:rFonts w:cs="Arial"/>
          <w:sz w:val="20"/>
        </w:rPr>
        <w:t xml:space="preserve">Figure </w:t>
      </w:r>
      <w:r w:rsidR="00F71853">
        <w:rPr>
          <w:rFonts w:cs="Arial"/>
          <w:sz w:val="20"/>
        </w:rPr>
        <w:t>3.16</w:t>
      </w:r>
      <w:r w:rsidRPr="00B30B07">
        <w:rPr>
          <w:rFonts w:cs="Arial"/>
          <w:sz w:val="20"/>
        </w:rPr>
        <w:t>: Average seasonal iron export from Cell</w:t>
      </w:r>
      <w:r>
        <w:rPr>
          <w:rFonts w:cs="Arial"/>
          <w:sz w:val="20"/>
        </w:rPr>
        <w:t xml:space="preserve"> 2S</w:t>
      </w:r>
      <w:r w:rsidRPr="00B30B07">
        <w:rPr>
          <w:rFonts w:cs="Arial"/>
          <w:sz w:val="20"/>
        </w:rPr>
        <w:t xml:space="preserve"> of the MRPTS based on rainfall intensity (2011-2013)</w:t>
      </w:r>
      <w:r>
        <w:rPr>
          <w:rFonts w:cs="Arial"/>
          <w:sz w:val="20"/>
        </w:rPr>
        <w:t xml:space="preserve"> with standard deviation of average iron transport values for each intensity. </w:t>
      </w:r>
    </w:p>
    <w:p w14:paraId="6030EBA1" w14:textId="77777777" w:rsidR="00F71853" w:rsidRPr="002B2BA1" w:rsidRDefault="00F71853" w:rsidP="00CE1CC3">
      <w:pPr>
        <w:spacing w:line="240" w:lineRule="auto"/>
        <w:jc w:val="both"/>
        <w:rPr>
          <w:rFonts w:cs="Arial"/>
          <w:sz w:val="20"/>
        </w:rPr>
      </w:pPr>
    </w:p>
    <w:p w14:paraId="27C23464" w14:textId="57C7B380" w:rsidR="00CE1CC3" w:rsidRDefault="00CE1CC3" w:rsidP="00F71853">
      <w:pPr>
        <w:jc w:val="both"/>
        <w:rPr>
          <w:rFonts w:cs="Arial"/>
        </w:rPr>
      </w:pPr>
      <w:r w:rsidRPr="00F71853">
        <w:rPr>
          <w:rFonts w:cs="Arial"/>
          <w:sz w:val="20"/>
        </w:rPr>
        <w:t xml:space="preserve">Table </w:t>
      </w:r>
      <w:r w:rsidR="00F71853">
        <w:rPr>
          <w:rFonts w:cs="Arial"/>
          <w:sz w:val="20"/>
        </w:rPr>
        <w:t xml:space="preserve">3.11 </w:t>
      </w:r>
      <w:r w:rsidRPr="00F71853">
        <w:rPr>
          <w:rFonts w:cs="Arial"/>
          <w:sz w:val="20"/>
        </w:rPr>
        <w:t>Summary of Annual Iron Mass Loading and Transport for Cell 2S from 2011-2013</w:t>
      </w:r>
      <w:r>
        <w:rPr>
          <w:rFonts w:cs="Arial"/>
        </w:rPr>
        <w:t xml:space="preserve"> </w:t>
      </w:r>
    </w:p>
    <w:tbl>
      <w:tblPr>
        <w:tblW w:w="8311" w:type="dxa"/>
        <w:tblLook w:val="04A0" w:firstRow="1" w:lastRow="0" w:firstColumn="1" w:lastColumn="0" w:noHBand="0" w:noVBand="1"/>
      </w:tblPr>
      <w:tblGrid>
        <w:gridCol w:w="995"/>
        <w:gridCol w:w="956"/>
        <w:gridCol w:w="1015"/>
        <w:gridCol w:w="1020"/>
        <w:gridCol w:w="1103"/>
        <w:gridCol w:w="1010"/>
        <w:gridCol w:w="1281"/>
        <w:gridCol w:w="931"/>
      </w:tblGrid>
      <w:tr w:rsidR="00CE1CC3" w:rsidRPr="00EF38D3" w14:paraId="50BFAA8A" w14:textId="77777777" w:rsidTr="000B63E4">
        <w:trPr>
          <w:trHeight w:val="674"/>
        </w:trPr>
        <w:tc>
          <w:tcPr>
            <w:tcW w:w="995" w:type="dxa"/>
            <w:tcBorders>
              <w:top w:val="single" w:sz="4" w:space="0" w:color="auto"/>
              <w:left w:val="nil"/>
              <w:bottom w:val="double" w:sz="6" w:space="0" w:color="auto"/>
              <w:right w:val="nil"/>
            </w:tcBorders>
            <w:vAlign w:val="bottom"/>
            <w:hideMark/>
          </w:tcPr>
          <w:p w14:paraId="6060A376" w14:textId="77777777" w:rsidR="00CE1CC3" w:rsidRPr="00EF38D3" w:rsidRDefault="00CE1CC3" w:rsidP="000B63E4">
            <w:pPr>
              <w:spacing w:after="0" w:line="240" w:lineRule="auto"/>
              <w:jc w:val="both"/>
              <w:rPr>
                <w:rFonts w:ascii="Calibri" w:hAnsi="Calibri" w:cs="Calibri"/>
                <w:color w:val="000000"/>
                <w:sz w:val="20"/>
                <w:szCs w:val="20"/>
              </w:rPr>
            </w:pPr>
            <w:r w:rsidRPr="00EF38D3">
              <w:rPr>
                <w:rFonts w:ascii="Calibri" w:hAnsi="Calibri" w:cs="Calibri"/>
                <w:color w:val="000000"/>
                <w:sz w:val="20"/>
                <w:szCs w:val="20"/>
              </w:rPr>
              <w:t xml:space="preserve">Year </w:t>
            </w:r>
          </w:p>
        </w:tc>
        <w:tc>
          <w:tcPr>
            <w:tcW w:w="956" w:type="dxa"/>
            <w:tcBorders>
              <w:top w:val="single" w:sz="4" w:space="0" w:color="auto"/>
              <w:left w:val="nil"/>
              <w:bottom w:val="double" w:sz="6" w:space="0" w:color="auto"/>
              <w:right w:val="nil"/>
            </w:tcBorders>
            <w:vAlign w:val="bottom"/>
            <w:hideMark/>
          </w:tcPr>
          <w:p w14:paraId="766BDC7A" w14:textId="77777777" w:rsidR="00CE1CC3" w:rsidRPr="00EF38D3" w:rsidRDefault="00CE1CC3" w:rsidP="000B63E4">
            <w:pPr>
              <w:spacing w:after="0" w:line="240" w:lineRule="auto"/>
              <w:jc w:val="both"/>
              <w:rPr>
                <w:rFonts w:ascii="Calibri" w:hAnsi="Calibri" w:cs="Calibri"/>
                <w:color w:val="000000"/>
                <w:sz w:val="20"/>
                <w:szCs w:val="20"/>
              </w:rPr>
            </w:pPr>
            <w:r w:rsidRPr="00EF38D3">
              <w:rPr>
                <w:rFonts w:ascii="Calibri" w:hAnsi="Calibri" w:cs="Calibri"/>
                <w:color w:val="000000"/>
                <w:sz w:val="20"/>
                <w:szCs w:val="20"/>
              </w:rPr>
              <w:t>Loading Fe (kg/year)</w:t>
            </w:r>
          </w:p>
        </w:tc>
        <w:tc>
          <w:tcPr>
            <w:tcW w:w="1015" w:type="dxa"/>
            <w:tcBorders>
              <w:top w:val="single" w:sz="4" w:space="0" w:color="auto"/>
              <w:left w:val="nil"/>
              <w:bottom w:val="double" w:sz="6" w:space="0" w:color="auto"/>
              <w:right w:val="nil"/>
            </w:tcBorders>
            <w:vAlign w:val="bottom"/>
            <w:hideMark/>
          </w:tcPr>
          <w:p w14:paraId="22F622C4"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Gross Fe Transport</w:t>
            </w:r>
            <w:r w:rsidRPr="00EF38D3">
              <w:rPr>
                <w:rFonts w:ascii="Calibri" w:hAnsi="Calibri" w:cs="Calibri"/>
                <w:color w:val="000000"/>
                <w:sz w:val="20"/>
                <w:szCs w:val="20"/>
              </w:rPr>
              <w:t xml:space="preserve"> (kg/year)</w:t>
            </w:r>
          </w:p>
        </w:tc>
        <w:tc>
          <w:tcPr>
            <w:tcW w:w="1020" w:type="dxa"/>
            <w:tcBorders>
              <w:top w:val="single" w:sz="4" w:space="0" w:color="auto"/>
              <w:left w:val="nil"/>
              <w:bottom w:val="double" w:sz="6" w:space="0" w:color="auto"/>
              <w:right w:val="nil"/>
            </w:tcBorders>
            <w:vAlign w:val="bottom"/>
            <w:hideMark/>
          </w:tcPr>
          <w:p w14:paraId="57A08927" w14:textId="77777777" w:rsidR="00CE1CC3" w:rsidRPr="00EF38D3" w:rsidRDefault="00CE1CC3" w:rsidP="000B63E4">
            <w:pPr>
              <w:spacing w:after="0" w:line="240" w:lineRule="auto"/>
              <w:jc w:val="both"/>
              <w:rPr>
                <w:rFonts w:ascii="Calibri" w:hAnsi="Calibri" w:cs="Calibri"/>
                <w:color w:val="000000"/>
                <w:sz w:val="20"/>
                <w:szCs w:val="20"/>
              </w:rPr>
            </w:pPr>
            <w:r w:rsidRPr="00EF38D3">
              <w:rPr>
                <w:rFonts w:ascii="Calibri" w:hAnsi="Calibri" w:cs="Calibri"/>
                <w:color w:val="000000"/>
                <w:sz w:val="20"/>
                <w:szCs w:val="20"/>
              </w:rPr>
              <w:t>Cell Fe Retention (kg/year)</w:t>
            </w:r>
          </w:p>
        </w:tc>
        <w:tc>
          <w:tcPr>
            <w:tcW w:w="1103" w:type="dxa"/>
            <w:tcBorders>
              <w:top w:val="single" w:sz="4" w:space="0" w:color="auto"/>
              <w:left w:val="nil"/>
              <w:bottom w:val="double" w:sz="6" w:space="0" w:color="auto"/>
              <w:right w:val="nil"/>
            </w:tcBorders>
            <w:vAlign w:val="bottom"/>
            <w:hideMark/>
          </w:tcPr>
          <w:p w14:paraId="44BA6FBD" w14:textId="77777777" w:rsidR="00CE1CC3" w:rsidRPr="00EF38D3" w:rsidRDefault="00CE1CC3" w:rsidP="000B63E4">
            <w:pPr>
              <w:spacing w:after="0" w:line="240" w:lineRule="auto"/>
              <w:jc w:val="both"/>
              <w:rPr>
                <w:rFonts w:ascii="Calibri" w:hAnsi="Calibri" w:cs="Calibri"/>
                <w:color w:val="000000"/>
                <w:sz w:val="20"/>
                <w:szCs w:val="20"/>
              </w:rPr>
            </w:pPr>
            <w:r w:rsidRPr="00EF38D3">
              <w:rPr>
                <w:rFonts w:ascii="Calibri" w:hAnsi="Calibri" w:cs="Calibri"/>
                <w:color w:val="000000"/>
                <w:sz w:val="20"/>
                <w:szCs w:val="20"/>
              </w:rPr>
              <w:t xml:space="preserve"> Removal Rate (g/m</w:t>
            </w:r>
            <w:r w:rsidRPr="00EF38D3">
              <w:rPr>
                <w:rFonts w:ascii="Calibri" w:hAnsi="Calibri" w:cs="Calibri"/>
                <w:color w:val="000000"/>
                <w:sz w:val="20"/>
                <w:szCs w:val="20"/>
                <w:vertAlign w:val="superscript"/>
              </w:rPr>
              <w:t>2</w:t>
            </w:r>
            <w:r w:rsidRPr="00EF38D3">
              <w:rPr>
                <w:rFonts w:ascii="Calibri" w:hAnsi="Calibri" w:cs="Calibri"/>
                <w:color w:val="000000"/>
                <w:sz w:val="20"/>
                <w:szCs w:val="20"/>
              </w:rPr>
              <w:t>/day)</w:t>
            </w:r>
          </w:p>
        </w:tc>
        <w:tc>
          <w:tcPr>
            <w:tcW w:w="1010" w:type="dxa"/>
            <w:tcBorders>
              <w:top w:val="single" w:sz="4" w:space="0" w:color="auto"/>
              <w:left w:val="nil"/>
              <w:bottom w:val="double" w:sz="6" w:space="0" w:color="auto"/>
              <w:right w:val="nil"/>
            </w:tcBorders>
            <w:vAlign w:val="bottom"/>
            <w:hideMark/>
          </w:tcPr>
          <w:p w14:paraId="3F5D85F2" w14:textId="77777777" w:rsidR="00CE1CC3" w:rsidRPr="00EF38D3" w:rsidRDefault="00CE1CC3" w:rsidP="000B63E4">
            <w:pPr>
              <w:spacing w:after="0" w:line="240" w:lineRule="auto"/>
              <w:jc w:val="both"/>
              <w:rPr>
                <w:rFonts w:ascii="Calibri" w:hAnsi="Calibri" w:cs="Calibri"/>
                <w:color w:val="000000"/>
                <w:sz w:val="20"/>
                <w:szCs w:val="20"/>
              </w:rPr>
            </w:pPr>
            <w:r w:rsidRPr="00EF38D3">
              <w:rPr>
                <w:rFonts w:ascii="Calibri" w:hAnsi="Calibri" w:cs="Calibri"/>
                <w:color w:val="000000"/>
                <w:sz w:val="20"/>
                <w:szCs w:val="20"/>
              </w:rPr>
              <w:t>Net Fe Transport (kg/year)</w:t>
            </w:r>
          </w:p>
        </w:tc>
        <w:tc>
          <w:tcPr>
            <w:tcW w:w="1281" w:type="dxa"/>
            <w:tcBorders>
              <w:top w:val="single" w:sz="4" w:space="0" w:color="auto"/>
              <w:left w:val="nil"/>
              <w:bottom w:val="double" w:sz="6" w:space="0" w:color="auto"/>
              <w:right w:val="nil"/>
            </w:tcBorders>
            <w:vAlign w:val="bottom"/>
            <w:hideMark/>
          </w:tcPr>
          <w:p w14:paraId="01E8580E" w14:textId="77777777" w:rsidR="00CE1CC3" w:rsidRPr="00EF38D3" w:rsidRDefault="00CE1CC3" w:rsidP="000B63E4">
            <w:pPr>
              <w:spacing w:after="0" w:line="240" w:lineRule="auto"/>
              <w:jc w:val="both"/>
              <w:rPr>
                <w:rFonts w:ascii="Calibri" w:hAnsi="Calibri" w:cs="Calibri"/>
                <w:color w:val="000000"/>
                <w:sz w:val="20"/>
                <w:szCs w:val="20"/>
              </w:rPr>
            </w:pPr>
            <w:r w:rsidRPr="00EF38D3">
              <w:rPr>
                <w:rFonts w:ascii="Calibri" w:hAnsi="Calibri" w:cs="Calibri"/>
                <w:color w:val="000000"/>
                <w:sz w:val="20"/>
                <w:szCs w:val="20"/>
              </w:rPr>
              <w:t xml:space="preserve">% Transport </w:t>
            </w:r>
            <w:r>
              <w:rPr>
                <w:rFonts w:ascii="Calibri" w:hAnsi="Calibri" w:cs="Calibri"/>
                <w:color w:val="000000"/>
                <w:sz w:val="20"/>
                <w:szCs w:val="20"/>
              </w:rPr>
              <w:t>relative to Fe Loading</w:t>
            </w:r>
          </w:p>
        </w:tc>
        <w:tc>
          <w:tcPr>
            <w:tcW w:w="931" w:type="dxa"/>
            <w:tcBorders>
              <w:top w:val="single" w:sz="4" w:space="0" w:color="auto"/>
              <w:left w:val="nil"/>
              <w:bottom w:val="double" w:sz="6" w:space="0" w:color="auto"/>
              <w:right w:val="nil"/>
            </w:tcBorders>
            <w:vAlign w:val="bottom"/>
            <w:hideMark/>
          </w:tcPr>
          <w:p w14:paraId="4986BAF8" w14:textId="127A7787" w:rsidR="00CE1CC3" w:rsidRPr="00EF38D3" w:rsidRDefault="00CE1CC3" w:rsidP="00F71853">
            <w:pPr>
              <w:spacing w:after="0" w:line="240" w:lineRule="auto"/>
              <w:jc w:val="both"/>
              <w:rPr>
                <w:rFonts w:ascii="Calibri" w:hAnsi="Calibri" w:cs="Calibri"/>
                <w:color w:val="000000"/>
                <w:sz w:val="20"/>
                <w:szCs w:val="20"/>
              </w:rPr>
            </w:pPr>
            <w:r>
              <w:rPr>
                <w:rFonts w:ascii="Calibri" w:hAnsi="Calibri" w:cs="Calibri"/>
                <w:color w:val="000000"/>
                <w:sz w:val="20"/>
                <w:szCs w:val="20"/>
              </w:rPr>
              <w:t xml:space="preserve">%Storm Induced </w:t>
            </w:r>
            <w:r w:rsidR="00F71853">
              <w:rPr>
                <w:rFonts w:ascii="Calibri" w:hAnsi="Calibri" w:cs="Calibri"/>
                <w:color w:val="000000"/>
                <w:sz w:val="18"/>
                <w:szCs w:val="20"/>
              </w:rPr>
              <w:t>Export</w:t>
            </w:r>
          </w:p>
        </w:tc>
      </w:tr>
      <w:tr w:rsidR="00CE1CC3" w:rsidRPr="00EF38D3" w14:paraId="34B9AD0C" w14:textId="77777777" w:rsidTr="000B63E4">
        <w:trPr>
          <w:trHeight w:val="315"/>
        </w:trPr>
        <w:tc>
          <w:tcPr>
            <w:tcW w:w="995" w:type="dxa"/>
            <w:tcBorders>
              <w:top w:val="nil"/>
              <w:left w:val="nil"/>
              <w:bottom w:val="nil"/>
              <w:right w:val="nil"/>
            </w:tcBorders>
            <w:noWrap/>
            <w:vAlign w:val="bottom"/>
            <w:hideMark/>
          </w:tcPr>
          <w:p w14:paraId="63FE56EF" w14:textId="77777777" w:rsidR="00CE1CC3" w:rsidRPr="00EF38D3" w:rsidRDefault="00CE1CC3" w:rsidP="000B63E4">
            <w:pPr>
              <w:spacing w:after="0" w:line="240" w:lineRule="auto"/>
              <w:jc w:val="both"/>
              <w:rPr>
                <w:rFonts w:ascii="Calibri" w:hAnsi="Calibri" w:cs="Calibri"/>
                <w:color w:val="000000"/>
                <w:sz w:val="20"/>
                <w:szCs w:val="20"/>
              </w:rPr>
            </w:pPr>
            <w:r w:rsidRPr="00EF38D3">
              <w:rPr>
                <w:rFonts w:ascii="Calibri" w:hAnsi="Calibri" w:cs="Calibri"/>
                <w:color w:val="000000"/>
                <w:sz w:val="20"/>
                <w:szCs w:val="20"/>
              </w:rPr>
              <w:t xml:space="preserve">2011 </w:t>
            </w:r>
            <w:r>
              <w:rPr>
                <w:rFonts w:ascii="Calibri" w:hAnsi="Calibri" w:cs="Calibri"/>
                <w:color w:val="000000"/>
                <w:sz w:val="20"/>
                <w:szCs w:val="20"/>
              </w:rPr>
              <w:t xml:space="preserve">     </w:t>
            </w:r>
            <w:r w:rsidRPr="00EF38D3">
              <w:rPr>
                <w:rFonts w:ascii="Calibri" w:hAnsi="Calibri" w:cs="Calibri"/>
                <w:color w:val="000000"/>
                <w:sz w:val="20"/>
                <w:szCs w:val="20"/>
              </w:rPr>
              <w:t>(n = 4)</w:t>
            </w:r>
          </w:p>
        </w:tc>
        <w:tc>
          <w:tcPr>
            <w:tcW w:w="956" w:type="dxa"/>
            <w:tcBorders>
              <w:top w:val="nil"/>
              <w:left w:val="nil"/>
              <w:bottom w:val="nil"/>
              <w:right w:val="nil"/>
            </w:tcBorders>
            <w:noWrap/>
            <w:vAlign w:val="center"/>
            <w:hideMark/>
          </w:tcPr>
          <w:p w14:paraId="2F59F0C2"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4203</w:t>
            </w:r>
          </w:p>
        </w:tc>
        <w:tc>
          <w:tcPr>
            <w:tcW w:w="1015" w:type="dxa"/>
            <w:tcBorders>
              <w:top w:val="nil"/>
              <w:left w:val="nil"/>
              <w:bottom w:val="nil"/>
              <w:right w:val="nil"/>
            </w:tcBorders>
            <w:noWrap/>
            <w:vAlign w:val="center"/>
            <w:hideMark/>
          </w:tcPr>
          <w:p w14:paraId="28760577"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625</w:t>
            </w:r>
          </w:p>
        </w:tc>
        <w:tc>
          <w:tcPr>
            <w:tcW w:w="1020" w:type="dxa"/>
            <w:tcBorders>
              <w:top w:val="nil"/>
              <w:left w:val="nil"/>
              <w:bottom w:val="nil"/>
              <w:right w:val="nil"/>
            </w:tcBorders>
            <w:noWrap/>
            <w:vAlign w:val="center"/>
            <w:hideMark/>
          </w:tcPr>
          <w:p w14:paraId="52BC688B"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3578</w:t>
            </w:r>
          </w:p>
        </w:tc>
        <w:tc>
          <w:tcPr>
            <w:tcW w:w="1103" w:type="dxa"/>
            <w:tcBorders>
              <w:top w:val="nil"/>
              <w:left w:val="nil"/>
              <w:bottom w:val="nil"/>
              <w:right w:val="nil"/>
            </w:tcBorders>
            <w:noWrap/>
            <w:vAlign w:val="center"/>
            <w:hideMark/>
          </w:tcPr>
          <w:p w14:paraId="21036CD2"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6.54</w:t>
            </w:r>
          </w:p>
        </w:tc>
        <w:tc>
          <w:tcPr>
            <w:tcW w:w="1010" w:type="dxa"/>
            <w:tcBorders>
              <w:top w:val="nil"/>
              <w:left w:val="nil"/>
              <w:bottom w:val="nil"/>
              <w:right w:val="nil"/>
            </w:tcBorders>
            <w:vAlign w:val="center"/>
            <w:hideMark/>
          </w:tcPr>
          <w:p w14:paraId="1B728357"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76.1</w:t>
            </w:r>
          </w:p>
        </w:tc>
        <w:tc>
          <w:tcPr>
            <w:tcW w:w="1281" w:type="dxa"/>
            <w:tcBorders>
              <w:top w:val="nil"/>
              <w:left w:val="nil"/>
              <w:bottom w:val="nil"/>
              <w:right w:val="nil"/>
            </w:tcBorders>
            <w:vAlign w:val="center"/>
            <w:hideMark/>
          </w:tcPr>
          <w:p w14:paraId="13256C49"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14.9%</w:t>
            </w:r>
          </w:p>
        </w:tc>
        <w:tc>
          <w:tcPr>
            <w:tcW w:w="931" w:type="dxa"/>
            <w:tcBorders>
              <w:top w:val="nil"/>
              <w:left w:val="nil"/>
              <w:bottom w:val="nil"/>
              <w:right w:val="nil"/>
            </w:tcBorders>
            <w:noWrap/>
            <w:vAlign w:val="center"/>
            <w:hideMark/>
          </w:tcPr>
          <w:p w14:paraId="1DB7F188"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12.2%</w:t>
            </w:r>
          </w:p>
        </w:tc>
      </w:tr>
      <w:tr w:rsidR="00CE1CC3" w:rsidRPr="00EF38D3" w14:paraId="340772BC" w14:textId="77777777" w:rsidTr="000B63E4">
        <w:trPr>
          <w:trHeight w:val="300"/>
        </w:trPr>
        <w:tc>
          <w:tcPr>
            <w:tcW w:w="995" w:type="dxa"/>
            <w:tcBorders>
              <w:top w:val="nil"/>
              <w:left w:val="nil"/>
              <w:bottom w:val="nil"/>
              <w:right w:val="nil"/>
            </w:tcBorders>
            <w:noWrap/>
            <w:vAlign w:val="bottom"/>
            <w:hideMark/>
          </w:tcPr>
          <w:p w14:paraId="52307981" w14:textId="77777777" w:rsidR="00CE1CC3" w:rsidRPr="00EF38D3" w:rsidRDefault="00CE1CC3" w:rsidP="000B63E4">
            <w:pPr>
              <w:spacing w:after="0" w:line="240" w:lineRule="auto"/>
              <w:jc w:val="both"/>
              <w:rPr>
                <w:rFonts w:ascii="Calibri" w:hAnsi="Calibri" w:cs="Calibri"/>
                <w:color w:val="000000"/>
                <w:sz w:val="20"/>
                <w:szCs w:val="20"/>
              </w:rPr>
            </w:pPr>
            <w:r w:rsidRPr="00EF38D3">
              <w:rPr>
                <w:rFonts w:ascii="Calibri" w:hAnsi="Calibri" w:cs="Calibri"/>
                <w:color w:val="000000"/>
                <w:sz w:val="20"/>
                <w:szCs w:val="20"/>
              </w:rPr>
              <w:t>2012</w:t>
            </w:r>
            <w:r>
              <w:rPr>
                <w:rFonts w:ascii="Calibri" w:hAnsi="Calibri" w:cs="Calibri"/>
                <w:color w:val="000000"/>
                <w:sz w:val="20"/>
                <w:szCs w:val="20"/>
              </w:rPr>
              <w:t xml:space="preserve">    </w:t>
            </w:r>
            <w:r w:rsidRPr="00EF38D3">
              <w:rPr>
                <w:rFonts w:ascii="Calibri" w:hAnsi="Calibri" w:cs="Calibri"/>
                <w:color w:val="000000"/>
                <w:sz w:val="20"/>
                <w:szCs w:val="20"/>
              </w:rPr>
              <w:t xml:space="preserve"> (n = 3)</w:t>
            </w:r>
          </w:p>
        </w:tc>
        <w:tc>
          <w:tcPr>
            <w:tcW w:w="956" w:type="dxa"/>
            <w:tcBorders>
              <w:top w:val="nil"/>
              <w:left w:val="nil"/>
              <w:bottom w:val="nil"/>
              <w:right w:val="nil"/>
            </w:tcBorders>
            <w:noWrap/>
            <w:vAlign w:val="center"/>
            <w:hideMark/>
          </w:tcPr>
          <w:p w14:paraId="28B22308"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5833</w:t>
            </w:r>
          </w:p>
        </w:tc>
        <w:tc>
          <w:tcPr>
            <w:tcW w:w="1015" w:type="dxa"/>
            <w:tcBorders>
              <w:top w:val="nil"/>
              <w:left w:val="nil"/>
              <w:bottom w:val="nil"/>
              <w:right w:val="nil"/>
            </w:tcBorders>
            <w:noWrap/>
            <w:vAlign w:val="center"/>
            <w:hideMark/>
          </w:tcPr>
          <w:p w14:paraId="54F6A33A"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552</w:t>
            </w:r>
          </w:p>
        </w:tc>
        <w:tc>
          <w:tcPr>
            <w:tcW w:w="1020" w:type="dxa"/>
            <w:tcBorders>
              <w:top w:val="nil"/>
              <w:left w:val="nil"/>
              <w:bottom w:val="nil"/>
              <w:right w:val="nil"/>
            </w:tcBorders>
            <w:noWrap/>
            <w:vAlign w:val="center"/>
            <w:hideMark/>
          </w:tcPr>
          <w:p w14:paraId="14E0C030"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5281</w:t>
            </w:r>
          </w:p>
        </w:tc>
        <w:tc>
          <w:tcPr>
            <w:tcW w:w="1103" w:type="dxa"/>
            <w:tcBorders>
              <w:top w:val="nil"/>
              <w:left w:val="nil"/>
              <w:bottom w:val="nil"/>
              <w:right w:val="nil"/>
            </w:tcBorders>
            <w:noWrap/>
            <w:vAlign w:val="center"/>
            <w:hideMark/>
          </w:tcPr>
          <w:p w14:paraId="0D39BC4B"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9.65</w:t>
            </w:r>
          </w:p>
        </w:tc>
        <w:tc>
          <w:tcPr>
            <w:tcW w:w="1010" w:type="dxa"/>
            <w:tcBorders>
              <w:top w:val="nil"/>
              <w:left w:val="nil"/>
              <w:bottom w:val="nil"/>
              <w:right w:val="nil"/>
            </w:tcBorders>
            <w:vAlign w:val="center"/>
            <w:hideMark/>
          </w:tcPr>
          <w:p w14:paraId="7AF94E54"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142</w:t>
            </w:r>
          </w:p>
        </w:tc>
        <w:tc>
          <w:tcPr>
            <w:tcW w:w="1281" w:type="dxa"/>
            <w:tcBorders>
              <w:top w:val="nil"/>
              <w:left w:val="nil"/>
              <w:bottom w:val="nil"/>
              <w:right w:val="nil"/>
            </w:tcBorders>
            <w:vAlign w:val="center"/>
            <w:hideMark/>
          </w:tcPr>
          <w:p w14:paraId="493ED87D"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9.46%</w:t>
            </w:r>
          </w:p>
        </w:tc>
        <w:tc>
          <w:tcPr>
            <w:tcW w:w="931" w:type="dxa"/>
            <w:tcBorders>
              <w:top w:val="nil"/>
              <w:left w:val="nil"/>
              <w:bottom w:val="nil"/>
              <w:right w:val="nil"/>
            </w:tcBorders>
            <w:noWrap/>
            <w:vAlign w:val="center"/>
            <w:hideMark/>
          </w:tcPr>
          <w:p w14:paraId="0B040383"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25.8%</w:t>
            </w:r>
          </w:p>
        </w:tc>
      </w:tr>
      <w:tr w:rsidR="00CE1CC3" w:rsidRPr="00EF38D3" w14:paraId="2679F416" w14:textId="77777777" w:rsidTr="000B63E4">
        <w:trPr>
          <w:trHeight w:val="300"/>
        </w:trPr>
        <w:tc>
          <w:tcPr>
            <w:tcW w:w="995" w:type="dxa"/>
            <w:tcBorders>
              <w:top w:val="nil"/>
              <w:left w:val="nil"/>
              <w:bottom w:val="single" w:sz="4" w:space="0" w:color="auto"/>
              <w:right w:val="nil"/>
            </w:tcBorders>
            <w:noWrap/>
            <w:vAlign w:val="bottom"/>
            <w:hideMark/>
          </w:tcPr>
          <w:p w14:paraId="1CC96E57" w14:textId="77777777" w:rsidR="00CE1CC3" w:rsidRPr="00EF38D3" w:rsidRDefault="00CE1CC3" w:rsidP="000B63E4">
            <w:pPr>
              <w:spacing w:after="0" w:line="240" w:lineRule="auto"/>
              <w:jc w:val="both"/>
              <w:rPr>
                <w:rFonts w:ascii="Calibri" w:hAnsi="Calibri" w:cs="Calibri"/>
                <w:color w:val="000000"/>
                <w:sz w:val="20"/>
                <w:szCs w:val="20"/>
              </w:rPr>
            </w:pPr>
            <w:r w:rsidRPr="00EF38D3">
              <w:rPr>
                <w:rFonts w:ascii="Calibri" w:hAnsi="Calibri" w:cs="Calibri"/>
                <w:color w:val="000000"/>
                <w:sz w:val="20"/>
                <w:szCs w:val="20"/>
              </w:rPr>
              <w:t>2013 (n=3)</w:t>
            </w:r>
          </w:p>
        </w:tc>
        <w:tc>
          <w:tcPr>
            <w:tcW w:w="956" w:type="dxa"/>
            <w:tcBorders>
              <w:top w:val="nil"/>
              <w:left w:val="nil"/>
              <w:bottom w:val="single" w:sz="4" w:space="0" w:color="auto"/>
              <w:right w:val="nil"/>
            </w:tcBorders>
            <w:noWrap/>
            <w:vAlign w:val="center"/>
            <w:hideMark/>
          </w:tcPr>
          <w:p w14:paraId="769AC37D"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13551</w:t>
            </w:r>
          </w:p>
        </w:tc>
        <w:tc>
          <w:tcPr>
            <w:tcW w:w="1015" w:type="dxa"/>
            <w:tcBorders>
              <w:top w:val="nil"/>
              <w:left w:val="nil"/>
              <w:bottom w:val="single" w:sz="4" w:space="0" w:color="auto"/>
              <w:right w:val="nil"/>
            </w:tcBorders>
            <w:noWrap/>
            <w:vAlign w:val="center"/>
            <w:hideMark/>
          </w:tcPr>
          <w:p w14:paraId="2A4A81FB"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1879</w:t>
            </w:r>
          </w:p>
        </w:tc>
        <w:tc>
          <w:tcPr>
            <w:tcW w:w="1020" w:type="dxa"/>
            <w:tcBorders>
              <w:top w:val="nil"/>
              <w:left w:val="nil"/>
              <w:bottom w:val="single" w:sz="4" w:space="0" w:color="auto"/>
              <w:right w:val="nil"/>
            </w:tcBorders>
            <w:noWrap/>
            <w:vAlign w:val="center"/>
            <w:hideMark/>
          </w:tcPr>
          <w:p w14:paraId="07693F7F"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11673</w:t>
            </w:r>
          </w:p>
        </w:tc>
        <w:tc>
          <w:tcPr>
            <w:tcW w:w="1103" w:type="dxa"/>
            <w:tcBorders>
              <w:top w:val="nil"/>
              <w:left w:val="nil"/>
              <w:bottom w:val="single" w:sz="4" w:space="0" w:color="auto"/>
              <w:right w:val="nil"/>
            </w:tcBorders>
            <w:noWrap/>
            <w:vAlign w:val="center"/>
            <w:hideMark/>
          </w:tcPr>
          <w:p w14:paraId="6BB59F49"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21.3</w:t>
            </w:r>
          </w:p>
        </w:tc>
        <w:tc>
          <w:tcPr>
            <w:tcW w:w="1010" w:type="dxa"/>
            <w:tcBorders>
              <w:top w:val="nil"/>
              <w:left w:val="nil"/>
              <w:bottom w:val="single" w:sz="4" w:space="0" w:color="auto"/>
              <w:right w:val="nil"/>
            </w:tcBorders>
            <w:vAlign w:val="center"/>
            <w:hideMark/>
          </w:tcPr>
          <w:p w14:paraId="31AC9D8B"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121</w:t>
            </w:r>
          </w:p>
        </w:tc>
        <w:tc>
          <w:tcPr>
            <w:tcW w:w="1281" w:type="dxa"/>
            <w:tcBorders>
              <w:top w:val="nil"/>
              <w:left w:val="nil"/>
              <w:bottom w:val="single" w:sz="4" w:space="0" w:color="auto"/>
              <w:right w:val="nil"/>
            </w:tcBorders>
            <w:vAlign w:val="center"/>
            <w:hideMark/>
          </w:tcPr>
          <w:p w14:paraId="4624B83C"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13.9%</w:t>
            </w:r>
          </w:p>
        </w:tc>
        <w:tc>
          <w:tcPr>
            <w:tcW w:w="931" w:type="dxa"/>
            <w:tcBorders>
              <w:top w:val="nil"/>
              <w:left w:val="nil"/>
              <w:bottom w:val="single" w:sz="4" w:space="0" w:color="auto"/>
              <w:right w:val="nil"/>
            </w:tcBorders>
            <w:noWrap/>
            <w:vAlign w:val="center"/>
            <w:hideMark/>
          </w:tcPr>
          <w:p w14:paraId="09BCAE5E"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6.47%</w:t>
            </w:r>
          </w:p>
        </w:tc>
      </w:tr>
      <w:tr w:rsidR="00CE1CC3" w:rsidRPr="00EF38D3" w14:paraId="291E24AA" w14:textId="77777777" w:rsidTr="000B63E4">
        <w:trPr>
          <w:trHeight w:val="300"/>
        </w:trPr>
        <w:tc>
          <w:tcPr>
            <w:tcW w:w="995" w:type="dxa"/>
            <w:tcBorders>
              <w:top w:val="nil"/>
              <w:left w:val="nil"/>
              <w:bottom w:val="nil"/>
              <w:right w:val="nil"/>
            </w:tcBorders>
            <w:noWrap/>
            <w:vAlign w:val="bottom"/>
            <w:hideMark/>
          </w:tcPr>
          <w:p w14:paraId="2F95C2B7"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 xml:space="preserve">Average </w:t>
            </w:r>
            <w:r w:rsidRPr="00EF38D3">
              <w:rPr>
                <w:rFonts w:ascii="Calibri" w:hAnsi="Calibri" w:cs="Calibri"/>
                <w:color w:val="000000"/>
                <w:sz w:val="20"/>
                <w:szCs w:val="20"/>
              </w:rPr>
              <w:t>(n = 10)</w:t>
            </w:r>
          </w:p>
        </w:tc>
        <w:tc>
          <w:tcPr>
            <w:tcW w:w="956" w:type="dxa"/>
            <w:tcBorders>
              <w:top w:val="nil"/>
              <w:left w:val="nil"/>
              <w:bottom w:val="nil"/>
              <w:right w:val="nil"/>
            </w:tcBorders>
            <w:noWrap/>
            <w:vAlign w:val="center"/>
            <w:hideMark/>
          </w:tcPr>
          <w:p w14:paraId="1F5BAE57"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7862</w:t>
            </w:r>
          </w:p>
        </w:tc>
        <w:tc>
          <w:tcPr>
            <w:tcW w:w="1015" w:type="dxa"/>
            <w:tcBorders>
              <w:top w:val="nil"/>
              <w:left w:val="nil"/>
              <w:bottom w:val="nil"/>
              <w:right w:val="nil"/>
            </w:tcBorders>
            <w:noWrap/>
            <w:vAlign w:val="center"/>
            <w:hideMark/>
          </w:tcPr>
          <w:p w14:paraId="1B3BFA80"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1019</w:t>
            </w:r>
          </w:p>
        </w:tc>
        <w:tc>
          <w:tcPr>
            <w:tcW w:w="1020" w:type="dxa"/>
            <w:tcBorders>
              <w:top w:val="nil"/>
              <w:left w:val="nil"/>
              <w:bottom w:val="nil"/>
              <w:right w:val="nil"/>
            </w:tcBorders>
            <w:noWrap/>
            <w:vAlign w:val="center"/>
            <w:hideMark/>
          </w:tcPr>
          <w:p w14:paraId="6705D17F"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6844</w:t>
            </w:r>
          </w:p>
        </w:tc>
        <w:tc>
          <w:tcPr>
            <w:tcW w:w="1103" w:type="dxa"/>
            <w:tcBorders>
              <w:top w:val="nil"/>
              <w:left w:val="nil"/>
              <w:bottom w:val="nil"/>
              <w:right w:val="nil"/>
            </w:tcBorders>
            <w:noWrap/>
            <w:vAlign w:val="center"/>
            <w:hideMark/>
          </w:tcPr>
          <w:p w14:paraId="6542DC89"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13.0</w:t>
            </w:r>
          </w:p>
        </w:tc>
        <w:tc>
          <w:tcPr>
            <w:tcW w:w="1010" w:type="dxa"/>
            <w:tcBorders>
              <w:top w:val="nil"/>
              <w:left w:val="nil"/>
              <w:bottom w:val="nil"/>
              <w:right w:val="nil"/>
            </w:tcBorders>
            <w:vAlign w:val="center"/>
            <w:hideMark/>
          </w:tcPr>
          <w:p w14:paraId="51136715"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113</w:t>
            </w:r>
          </w:p>
        </w:tc>
        <w:tc>
          <w:tcPr>
            <w:tcW w:w="1281" w:type="dxa"/>
            <w:tcBorders>
              <w:top w:val="nil"/>
              <w:left w:val="nil"/>
              <w:bottom w:val="nil"/>
              <w:right w:val="nil"/>
            </w:tcBorders>
            <w:vAlign w:val="center"/>
            <w:hideMark/>
          </w:tcPr>
          <w:p w14:paraId="70667F5F"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12.7%</w:t>
            </w:r>
          </w:p>
        </w:tc>
        <w:tc>
          <w:tcPr>
            <w:tcW w:w="931" w:type="dxa"/>
            <w:tcBorders>
              <w:top w:val="nil"/>
              <w:left w:val="nil"/>
              <w:bottom w:val="nil"/>
              <w:right w:val="nil"/>
            </w:tcBorders>
            <w:noWrap/>
            <w:vAlign w:val="center"/>
            <w:hideMark/>
          </w:tcPr>
          <w:p w14:paraId="27314B2F"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14.8%</w:t>
            </w:r>
          </w:p>
        </w:tc>
      </w:tr>
      <w:tr w:rsidR="00CE1CC3" w:rsidRPr="00EF38D3" w14:paraId="224CCAB1" w14:textId="77777777" w:rsidTr="000B63E4">
        <w:trPr>
          <w:trHeight w:val="300"/>
        </w:trPr>
        <w:tc>
          <w:tcPr>
            <w:tcW w:w="995" w:type="dxa"/>
            <w:tcBorders>
              <w:top w:val="nil"/>
              <w:left w:val="nil"/>
              <w:bottom w:val="nil"/>
              <w:right w:val="nil"/>
            </w:tcBorders>
            <w:noWrap/>
            <w:vAlign w:val="bottom"/>
            <w:hideMark/>
          </w:tcPr>
          <w:p w14:paraId="04715864" w14:textId="77777777" w:rsidR="00CE1CC3" w:rsidRPr="00EF38D3" w:rsidRDefault="00CE1CC3" w:rsidP="000B63E4">
            <w:pPr>
              <w:spacing w:after="0" w:line="240" w:lineRule="auto"/>
              <w:jc w:val="both"/>
              <w:rPr>
                <w:rFonts w:ascii="Calibri" w:hAnsi="Calibri" w:cs="Calibri"/>
                <w:color w:val="000000"/>
                <w:sz w:val="20"/>
                <w:szCs w:val="20"/>
              </w:rPr>
            </w:pPr>
            <w:r w:rsidRPr="00EF38D3">
              <w:rPr>
                <w:rFonts w:ascii="Calibri" w:hAnsi="Calibri" w:cs="Calibri"/>
                <w:color w:val="000000"/>
                <w:sz w:val="20"/>
                <w:szCs w:val="20"/>
              </w:rPr>
              <w:t>St</w:t>
            </w:r>
            <w:r>
              <w:rPr>
                <w:rFonts w:ascii="Calibri" w:hAnsi="Calibri" w:cs="Calibri"/>
                <w:color w:val="000000"/>
                <w:sz w:val="20"/>
                <w:szCs w:val="20"/>
              </w:rPr>
              <w:t>andard Deviation</w:t>
            </w:r>
          </w:p>
        </w:tc>
        <w:tc>
          <w:tcPr>
            <w:tcW w:w="956" w:type="dxa"/>
            <w:tcBorders>
              <w:top w:val="nil"/>
              <w:left w:val="nil"/>
              <w:bottom w:val="nil"/>
              <w:right w:val="nil"/>
            </w:tcBorders>
            <w:noWrap/>
            <w:vAlign w:val="center"/>
            <w:hideMark/>
          </w:tcPr>
          <w:p w14:paraId="0B58A483"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4994</w:t>
            </w:r>
          </w:p>
        </w:tc>
        <w:tc>
          <w:tcPr>
            <w:tcW w:w="1015" w:type="dxa"/>
            <w:tcBorders>
              <w:top w:val="nil"/>
              <w:left w:val="nil"/>
              <w:bottom w:val="nil"/>
              <w:right w:val="nil"/>
            </w:tcBorders>
            <w:noWrap/>
            <w:vAlign w:val="center"/>
            <w:hideMark/>
          </w:tcPr>
          <w:p w14:paraId="62ABE132"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746</w:t>
            </w:r>
          </w:p>
        </w:tc>
        <w:tc>
          <w:tcPr>
            <w:tcW w:w="1020" w:type="dxa"/>
            <w:tcBorders>
              <w:top w:val="nil"/>
              <w:left w:val="nil"/>
              <w:bottom w:val="nil"/>
              <w:right w:val="nil"/>
            </w:tcBorders>
            <w:noWrap/>
            <w:vAlign w:val="center"/>
            <w:hideMark/>
          </w:tcPr>
          <w:p w14:paraId="76EB306C"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4268</w:t>
            </w:r>
          </w:p>
        </w:tc>
        <w:tc>
          <w:tcPr>
            <w:tcW w:w="1103" w:type="dxa"/>
            <w:tcBorders>
              <w:top w:val="nil"/>
              <w:left w:val="nil"/>
              <w:bottom w:val="nil"/>
              <w:right w:val="nil"/>
            </w:tcBorders>
            <w:noWrap/>
            <w:vAlign w:val="center"/>
            <w:hideMark/>
          </w:tcPr>
          <w:p w14:paraId="37ADA9B4"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7.79</w:t>
            </w:r>
          </w:p>
        </w:tc>
        <w:tc>
          <w:tcPr>
            <w:tcW w:w="1010" w:type="dxa"/>
            <w:tcBorders>
              <w:top w:val="nil"/>
              <w:left w:val="nil"/>
              <w:bottom w:val="nil"/>
              <w:right w:val="nil"/>
            </w:tcBorders>
            <w:noWrap/>
            <w:vAlign w:val="center"/>
            <w:hideMark/>
          </w:tcPr>
          <w:p w14:paraId="1C542BA5"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33.9</w:t>
            </w:r>
          </w:p>
        </w:tc>
        <w:tc>
          <w:tcPr>
            <w:tcW w:w="1281" w:type="dxa"/>
            <w:tcBorders>
              <w:top w:val="nil"/>
              <w:left w:val="nil"/>
              <w:bottom w:val="nil"/>
              <w:right w:val="nil"/>
            </w:tcBorders>
            <w:noWrap/>
            <w:vAlign w:val="center"/>
            <w:hideMark/>
          </w:tcPr>
          <w:p w14:paraId="641B16D5"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0.77%</w:t>
            </w:r>
          </w:p>
        </w:tc>
        <w:tc>
          <w:tcPr>
            <w:tcW w:w="931" w:type="dxa"/>
            <w:tcBorders>
              <w:top w:val="nil"/>
              <w:left w:val="nil"/>
              <w:bottom w:val="nil"/>
              <w:right w:val="nil"/>
            </w:tcBorders>
            <w:noWrap/>
            <w:vAlign w:val="center"/>
            <w:hideMark/>
          </w:tcPr>
          <w:p w14:paraId="7E47C490"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9.90%</w:t>
            </w:r>
          </w:p>
        </w:tc>
      </w:tr>
      <w:tr w:rsidR="00CE1CC3" w:rsidRPr="00EF38D3" w14:paraId="72B2976D" w14:textId="77777777" w:rsidTr="000B63E4">
        <w:trPr>
          <w:trHeight w:val="405"/>
        </w:trPr>
        <w:tc>
          <w:tcPr>
            <w:tcW w:w="995" w:type="dxa"/>
            <w:tcBorders>
              <w:top w:val="nil"/>
              <w:left w:val="nil"/>
              <w:bottom w:val="single" w:sz="4" w:space="0" w:color="auto"/>
              <w:right w:val="nil"/>
            </w:tcBorders>
            <w:noWrap/>
            <w:vAlign w:val="bottom"/>
            <w:hideMark/>
          </w:tcPr>
          <w:p w14:paraId="77089DDF" w14:textId="77777777" w:rsidR="00CE1CC3" w:rsidRPr="00EF38D3" w:rsidRDefault="00CE1CC3" w:rsidP="000B63E4">
            <w:pPr>
              <w:spacing w:after="0" w:line="240" w:lineRule="auto"/>
              <w:jc w:val="both"/>
              <w:rPr>
                <w:rFonts w:ascii="Calibri" w:hAnsi="Calibri" w:cs="Calibri"/>
                <w:color w:val="000000"/>
                <w:sz w:val="20"/>
                <w:szCs w:val="20"/>
              </w:rPr>
            </w:pPr>
            <w:r w:rsidRPr="00EF38D3">
              <w:rPr>
                <w:rFonts w:ascii="Calibri" w:hAnsi="Calibri" w:cs="Calibri"/>
                <w:color w:val="000000"/>
                <w:sz w:val="20"/>
                <w:szCs w:val="20"/>
              </w:rPr>
              <w:t>%RSD</w:t>
            </w:r>
          </w:p>
        </w:tc>
        <w:tc>
          <w:tcPr>
            <w:tcW w:w="956" w:type="dxa"/>
            <w:tcBorders>
              <w:top w:val="nil"/>
              <w:left w:val="nil"/>
              <w:bottom w:val="single" w:sz="4" w:space="0" w:color="auto"/>
              <w:right w:val="nil"/>
            </w:tcBorders>
            <w:noWrap/>
            <w:vAlign w:val="center"/>
            <w:hideMark/>
          </w:tcPr>
          <w:p w14:paraId="209D6F59"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63.5%</w:t>
            </w:r>
          </w:p>
        </w:tc>
        <w:tc>
          <w:tcPr>
            <w:tcW w:w="1015" w:type="dxa"/>
            <w:tcBorders>
              <w:top w:val="nil"/>
              <w:left w:val="nil"/>
              <w:bottom w:val="single" w:sz="4" w:space="0" w:color="auto"/>
              <w:right w:val="nil"/>
            </w:tcBorders>
            <w:noWrap/>
            <w:vAlign w:val="center"/>
            <w:hideMark/>
          </w:tcPr>
          <w:p w14:paraId="52C55C35"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73.2%</w:t>
            </w:r>
          </w:p>
        </w:tc>
        <w:tc>
          <w:tcPr>
            <w:tcW w:w="1020" w:type="dxa"/>
            <w:tcBorders>
              <w:top w:val="nil"/>
              <w:left w:val="nil"/>
              <w:bottom w:val="single" w:sz="4" w:space="0" w:color="auto"/>
              <w:right w:val="nil"/>
            </w:tcBorders>
            <w:noWrap/>
            <w:vAlign w:val="center"/>
            <w:hideMark/>
          </w:tcPr>
          <w:p w14:paraId="786F43E7"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62.4%</w:t>
            </w:r>
          </w:p>
        </w:tc>
        <w:tc>
          <w:tcPr>
            <w:tcW w:w="1103" w:type="dxa"/>
            <w:tcBorders>
              <w:top w:val="nil"/>
              <w:left w:val="nil"/>
              <w:bottom w:val="single" w:sz="4" w:space="0" w:color="auto"/>
              <w:right w:val="nil"/>
            </w:tcBorders>
            <w:noWrap/>
            <w:vAlign w:val="center"/>
            <w:hideMark/>
          </w:tcPr>
          <w:p w14:paraId="5F8CEF46"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62.4%</w:t>
            </w:r>
          </w:p>
        </w:tc>
        <w:tc>
          <w:tcPr>
            <w:tcW w:w="1010" w:type="dxa"/>
            <w:tcBorders>
              <w:top w:val="nil"/>
              <w:left w:val="nil"/>
              <w:bottom w:val="single" w:sz="4" w:space="0" w:color="auto"/>
              <w:right w:val="nil"/>
            </w:tcBorders>
            <w:noWrap/>
            <w:vAlign w:val="center"/>
            <w:hideMark/>
          </w:tcPr>
          <w:p w14:paraId="3CC44219"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29.9%</w:t>
            </w:r>
          </w:p>
        </w:tc>
        <w:tc>
          <w:tcPr>
            <w:tcW w:w="1281" w:type="dxa"/>
            <w:tcBorders>
              <w:top w:val="nil"/>
              <w:left w:val="nil"/>
              <w:bottom w:val="single" w:sz="4" w:space="0" w:color="auto"/>
              <w:right w:val="nil"/>
            </w:tcBorders>
            <w:noWrap/>
            <w:vAlign w:val="center"/>
            <w:hideMark/>
          </w:tcPr>
          <w:p w14:paraId="5028819D"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6.0%</w:t>
            </w:r>
          </w:p>
        </w:tc>
        <w:tc>
          <w:tcPr>
            <w:tcW w:w="931" w:type="dxa"/>
            <w:tcBorders>
              <w:top w:val="nil"/>
              <w:left w:val="nil"/>
              <w:bottom w:val="single" w:sz="4" w:space="0" w:color="auto"/>
              <w:right w:val="nil"/>
            </w:tcBorders>
            <w:noWrap/>
            <w:vAlign w:val="center"/>
            <w:hideMark/>
          </w:tcPr>
          <w:p w14:paraId="3D013748" w14:textId="77777777" w:rsidR="00CE1CC3" w:rsidRPr="00EF38D3" w:rsidRDefault="00CE1CC3" w:rsidP="000B63E4">
            <w:pPr>
              <w:spacing w:after="0" w:line="240" w:lineRule="auto"/>
              <w:jc w:val="both"/>
              <w:rPr>
                <w:rFonts w:ascii="Calibri" w:hAnsi="Calibri" w:cs="Calibri"/>
                <w:color w:val="000000"/>
                <w:sz w:val="20"/>
                <w:szCs w:val="20"/>
              </w:rPr>
            </w:pPr>
            <w:r>
              <w:rPr>
                <w:rFonts w:ascii="Calibri" w:hAnsi="Calibri" w:cs="Calibri"/>
                <w:color w:val="000000"/>
                <w:sz w:val="20"/>
                <w:szCs w:val="20"/>
              </w:rPr>
              <w:t>66.8%</w:t>
            </w:r>
          </w:p>
        </w:tc>
      </w:tr>
    </w:tbl>
    <w:p w14:paraId="48681B5F" w14:textId="77777777" w:rsidR="00CE1CC3" w:rsidRDefault="00CE1CC3" w:rsidP="00CE1CC3">
      <w:pPr>
        <w:spacing w:line="480" w:lineRule="auto"/>
        <w:jc w:val="both"/>
        <w:rPr>
          <w:rFonts w:cs="Arial"/>
        </w:rPr>
      </w:pPr>
    </w:p>
    <w:p w14:paraId="5CEEDF35" w14:textId="77777777" w:rsidR="00CE1CC3" w:rsidRDefault="00CE1CC3" w:rsidP="00CE1CC3">
      <w:pPr>
        <w:spacing w:line="480" w:lineRule="auto"/>
        <w:jc w:val="both"/>
        <w:rPr>
          <w:rFonts w:cs="Arial"/>
        </w:rPr>
      </w:pPr>
      <w:r>
        <w:rPr>
          <w:rFonts w:cs="Arial"/>
        </w:rPr>
        <w:lastRenderedPageBreak/>
        <w:t>The average iron loading for 2011-2013 into Cell 2S was 7,862</w:t>
      </w:r>
      <w:r>
        <w:rPr>
          <w:rFonts w:cs="Calibri"/>
        </w:rPr>
        <w:t>±</w:t>
      </w:r>
      <w:r>
        <w:rPr>
          <w:rFonts w:cs="Arial"/>
        </w:rPr>
        <w:t>4994 kg/year which is identical to Cell 2N as the effluent from Cell 1 is split into parallel flows. Cell 2S has an average retention of 6844</w:t>
      </w:r>
      <w:r>
        <w:rPr>
          <w:rFonts w:cs="Calibri"/>
        </w:rPr>
        <w:t>±</w:t>
      </w:r>
      <w:r>
        <w:rPr>
          <w:rFonts w:cs="Arial"/>
        </w:rPr>
        <w:t>4268 kg/year and an average removal rate of 13.0</w:t>
      </w:r>
      <w:r>
        <w:rPr>
          <w:rFonts w:cs="Calibri"/>
        </w:rPr>
        <w:t>±</w:t>
      </w:r>
      <w:r>
        <w:rPr>
          <w:rFonts w:cs="Arial"/>
        </w:rPr>
        <w:t>7.8 g/m</w:t>
      </w:r>
      <w:r w:rsidRPr="00075C46">
        <w:rPr>
          <w:rFonts w:cs="Arial"/>
          <w:vertAlign w:val="superscript"/>
        </w:rPr>
        <w:t>2</w:t>
      </w:r>
      <w:r>
        <w:rPr>
          <w:rFonts w:cs="Arial"/>
        </w:rPr>
        <w:t>/day. Cell 2S exported an average of 1019</w:t>
      </w:r>
      <w:r>
        <w:rPr>
          <w:rFonts w:cs="Calibri"/>
        </w:rPr>
        <w:t>±</w:t>
      </w:r>
      <w:r>
        <w:rPr>
          <w:rFonts w:cs="Arial"/>
        </w:rPr>
        <w:t>746 kg Fe/year with 113</w:t>
      </w:r>
      <w:r>
        <w:rPr>
          <w:rFonts w:cs="Calibri"/>
        </w:rPr>
        <w:t>±</w:t>
      </w:r>
      <w:r>
        <w:rPr>
          <w:rFonts w:cs="Arial"/>
        </w:rPr>
        <w:t>34 kg/year due to storm induced transport. Iron exported out of Cell 2S averages of 12.7% of the mass loading from Cell 1 with storm-induced transport of iron consists of 14.8</w:t>
      </w:r>
      <w:r w:rsidRPr="002E1BF8">
        <w:rPr>
          <w:rFonts w:cs="Arial"/>
        </w:rPr>
        <w:t>%</w:t>
      </w:r>
      <w:r>
        <w:rPr>
          <w:rFonts w:cs="Arial"/>
        </w:rPr>
        <w:t xml:space="preserve"> of the transported iron being due to storm disturbance. The storm induced iron export from Cell2N is 0.33% of the mass loading from the three AMD seeps supplying the system with AMD for treatment (113 kg/year Cell 2N export in comparison to 34,767kg/year system loading). This is consistent with the metals transport mitigation function of the pond-marsh-pond design of the aerobic surface flow wetland cells to remove and retain any iron transported in the dissolved or particulate state from the preliminary iron oxidation and retention cell (Cell 1). </w:t>
      </w:r>
    </w:p>
    <w:p w14:paraId="54DC568E" w14:textId="042C307E" w:rsidR="00CE1CC3" w:rsidRDefault="00CE1CC3" w:rsidP="00A90E7E">
      <w:pPr>
        <w:spacing w:line="480" w:lineRule="auto"/>
        <w:jc w:val="both"/>
        <w:rPr>
          <w:rFonts w:cs="Arial"/>
        </w:rPr>
      </w:pPr>
      <w:r>
        <w:rPr>
          <w:rFonts w:cs="Arial"/>
        </w:rPr>
        <w:t>The comparison of the three-year average performance of Cell 2N and 2S show consistency in removal efficiency and storm induced iron mass transport. The average iron loading for 2011-2013 into Cell2N and 2S was 7862 kg Fe/year (</w:t>
      </w:r>
      <w:r>
        <w:rPr>
          <w:rFonts w:cs="Calibri"/>
        </w:rPr>
        <w:t>σ</w:t>
      </w:r>
      <w:r>
        <w:rPr>
          <w:rFonts w:cs="Arial"/>
        </w:rPr>
        <w:t>=5608) with an average retention of 7002 kg/year (</w:t>
      </w:r>
      <w:r>
        <w:rPr>
          <w:rFonts w:cs="Calibri"/>
        </w:rPr>
        <w:t>σ</w:t>
      </w:r>
      <w:r>
        <w:rPr>
          <w:rFonts w:cs="Arial"/>
        </w:rPr>
        <w:t xml:space="preserve"> = 4903). Cell 2N has an average removal rate of 12.8 g/m</w:t>
      </w:r>
      <w:r w:rsidRPr="00075C46">
        <w:rPr>
          <w:rFonts w:cs="Arial"/>
          <w:vertAlign w:val="superscript"/>
        </w:rPr>
        <w:t>2</w:t>
      </w:r>
      <w:r>
        <w:rPr>
          <w:rFonts w:cs="Arial"/>
        </w:rPr>
        <w:t>/day (</w:t>
      </w:r>
      <w:r>
        <w:rPr>
          <w:rFonts w:cs="Calibri"/>
        </w:rPr>
        <w:t>σ</w:t>
      </w:r>
      <w:r>
        <w:rPr>
          <w:rFonts w:cs="Arial"/>
        </w:rPr>
        <w:t xml:space="preserve"> = 9). Cell 2S has an average retention of 6844 kg/year (</w:t>
      </w:r>
      <w:r>
        <w:rPr>
          <w:rFonts w:cs="Calibri"/>
        </w:rPr>
        <w:t>σ</w:t>
      </w:r>
      <w:r>
        <w:rPr>
          <w:rFonts w:cs="Arial"/>
        </w:rPr>
        <w:t xml:space="preserve"> = 4268) and an average removal rate of 12.5 g/m</w:t>
      </w:r>
      <w:r w:rsidRPr="00075C46">
        <w:rPr>
          <w:rFonts w:cs="Arial"/>
          <w:vertAlign w:val="superscript"/>
        </w:rPr>
        <w:t>2</w:t>
      </w:r>
      <w:r>
        <w:rPr>
          <w:rFonts w:cs="Arial"/>
        </w:rPr>
        <w:t>/day (</w:t>
      </w:r>
      <w:r>
        <w:rPr>
          <w:rFonts w:cs="Calibri"/>
        </w:rPr>
        <w:t>σ</w:t>
      </w:r>
      <w:r>
        <w:rPr>
          <w:rFonts w:cs="Arial"/>
        </w:rPr>
        <w:t xml:space="preserve"> = 8). Cell2N transported 118 kg Fe/</w:t>
      </w:r>
      <w:proofErr w:type="spellStart"/>
      <w:r>
        <w:rPr>
          <w:rFonts w:cs="Arial"/>
        </w:rPr>
        <w:t>yr</w:t>
      </w:r>
      <w:proofErr w:type="spellEnd"/>
      <w:r>
        <w:rPr>
          <w:rFonts w:cs="Arial"/>
        </w:rPr>
        <w:t xml:space="preserve"> (σ = 37) which represents 0.34% of the mass loading into the cell. Of the material being transported out of Cell 2N, 13.5% of the transported material is storm induced. Cell2S transported 113 kg/</w:t>
      </w:r>
      <w:proofErr w:type="spellStart"/>
      <w:r>
        <w:rPr>
          <w:rFonts w:cs="Arial"/>
        </w:rPr>
        <w:t>yr</w:t>
      </w:r>
      <w:proofErr w:type="spellEnd"/>
      <w:r>
        <w:rPr>
          <w:rFonts w:cs="Arial"/>
        </w:rPr>
        <w:t xml:space="preserve"> (σ = 34) which represents 12.7% transport of the mass loading into the cell from the preliminary oxidation cell.  Of the material being transported out of Cell2S, 14.8% of it is storm induced transport.  </w:t>
      </w:r>
    </w:p>
    <w:p w14:paraId="2E4D0B3F" w14:textId="77777777" w:rsidR="00F71853" w:rsidRPr="00A90E7E" w:rsidRDefault="00F71853" w:rsidP="00A90E7E">
      <w:pPr>
        <w:spacing w:line="480" w:lineRule="auto"/>
        <w:jc w:val="both"/>
        <w:rPr>
          <w:rFonts w:cs="Arial"/>
        </w:rPr>
      </w:pPr>
    </w:p>
    <w:p w14:paraId="5FFDEA8A" w14:textId="77777777" w:rsidR="00A90E7E" w:rsidRPr="00A90E7E" w:rsidRDefault="00A90E7E" w:rsidP="00A90E7E">
      <w:pPr>
        <w:keepNext/>
        <w:keepLines/>
        <w:spacing w:before="40" w:after="0"/>
        <w:outlineLvl w:val="3"/>
        <w:rPr>
          <w:rFonts w:asciiTheme="majorHAnsi" w:eastAsiaTheme="majorEastAsia" w:hAnsiTheme="majorHAnsi" w:cstheme="majorBidi"/>
          <w:i/>
          <w:iCs/>
        </w:rPr>
      </w:pPr>
      <w:r w:rsidRPr="00A90E7E">
        <w:rPr>
          <w:rFonts w:asciiTheme="majorHAnsi" w:eastAsiaTheme="majorEastAsia" w:hAnsiTheme="majorHAnsi" w:cstheme="majorBidi"/>
          <w:i/>
          <w:iCs/>
        </w:rPr>
        <w:lastRenderedPageBreak/>
        <w:t xml:space="preserve">Cell 6Out Storm-Induced Iron Transport Profiles </w:t>
      </w:r>
    </w:p>
    <w:p w14:paraId="2B1B9331" w14:textId="77777777" w:rsidR="00A90E7E" w:rsidRPr="00A90E7E" w:rsidRDefault="00A90E7E" w:rsidP="00A90E7E"/>
    <w:p w14:paraId="5BEA7738" w14:textId="648DEAC8" w:rsidR="00A90E7E" w:rsidRPr="00A90E7E" w:rsidRDefault="00A90E7E" w:rsidP="00A90E7E">
      <w:pPr>
        <w:spacing w:line="480" w:lineRule="auto"/>
        <w:jc w:val="both"/>
        <w:rPr>
          <w:rFonts w:cs="Arial"/>
        </w:rPr>
      </w:pPr>
      <w:r w:rsidRPr="00A90E7E">
        <w:rPr>
          <w:rFonts w:cs="Arial"/>
        </w:rPr>
        <w:t>Storm- induced transport of iron at Cell 6 (Table 3</w:t>
      </w:r>
      <w:r w:rsidR="00F71853">
        <w:rPr>
          <w:rFonts w:cs="Arial"/>
        </w:rPr>
        <w:t>.12</w:t>
      </w:r>
      <w:r w:rsidRPr="00A90E7E">
        <w:rPr>
          <w:rFonts w:cs="Arial"/>
        </w:rPr>
        <w:t xml:space="preserve">) is only observed during </w:t>
      </w:r>
      <w:r w:rsidR="006D6139">
        <w:rPr>
          <w:rFonts w:cs="Arial"/>
        </w:rPr>
        <w:t>the active rainfall period of each storm event</w:t>
      </w:r>
      <w:r w:rsidRPr="00A90E7E">
        <w:rPr>
          <w:rFonts w:cs="Arial"/>
        </w:rPr>
        <w:t xml:space="preserve"> (301 kg/year; </w:t>
      </w:r>
      <w:r w:rsidRPr="00A90E7E">
        <w:rPr>
          <w:rFonts w:cstheme="minorHAnsi"/>
        </w:rPr>
        <w:t>σ</w:t>
      </w:r>
      <w:r w:rsidRPr="00A90E7E">
        <w:rPr>
          <w:rFonts w:cs="Arial"/>
        </w:rPr>
        <w:t xml:space="preserve"> = 82) and averages 0.33 kg Fe/storm (σ = 0.27 kg Fe/storm, n = 11). The total iron transported</w:t>
      </w:r>
      <w:r w:rsidR="006D6139">
        <w:rPr>
          <w:rFonts w:cs="Arial"/>
        </w:rPr>
        <w:t xml:space="preserve"> during</w:t>
      </w:r>
      <w:r w:rsidRPr="00A90E7E">
        <w:rPr>
          <w:rFonts w:cs="Arial"/>
        </w:rPr>
        <w:t xml:space="preserve"> the </w:t>
      </w:r>
      <w:r w:rsidR="006D6139">
        <w:rPr>
          <w:rFonts w:cs="Arial"/>
        </w:rPr>
        <w:t xml:space="preserve">sampling </w:t>
      </w:r>
      <w:r w:rsidRPr="00A90E7E">
        <w:rPr>
          <w:rFonts w:cs="Arial"/>
        </w:rPr>
        <w:t xml:space="preserve">period (152 kg/year; </w:t>
      </w:r>
      <w:r w:rsidRPr="00A90E7E">
        <w:rPr>
          <w:rFonts w:cstheme="minorHAnsi"/>
        </w:rPr>
        <w:t>σ</w:t>
      </w:r>
      <w:r w:rsidRPr="00A90E7E">
        <w:rPr>
          <w:rFonts w:cs="Arial"/>
        </w:rPr>
        <w:t>=58) represents 16.2% of the loading into Cell 6, with an average of 32% of the transported iron due to storm disturbance. The surface area-adjusted removal rate for Cell 6 averaged 0.50 g/m</w:t>
      </w:r>
      <w:r w:rsidRPr="00A90E7E">
        <w:rPr>
          <w:rFonts w:cs="Arial"/>
          <w:vertAlign w:val="superscript"/>
        </w:rPr>
        <w:t>2</w:t>
      </w:r>
      <w:r w:rsidRPr="00A90E7E">
        <w:rPr>
          <w:rFonts w:cs="Arial"/>
        </w:rPr>
        <w:t>/day and is limited by low iron loading at this stage of the treatment process.</w:t>
      </w:r>
    </w:p>
    <w:p w14:paraId="4CEC96EE" w14:textId="473DBDA4" w:rsidR="00A90E7E" w:rsidRPr="00A90E7E" w:rsidRDefault="00F71853" w:rsidP="00A90E7E">
      <w:pPr>
        <w:spacing w:line="240" w:lineRule="auto"/>
        <w:ind w:right="720"/>
        <w:jc w:val="both"/>
        <w:rPr>
          <w:rFonts w:cstheme="minorHAnsi"/>
          <w:sz w:val="20"/>
          <w:szCs w:val="20"/>
        </w:rPr>
      </w:pPr>
      <w:r>
        <w:rPr>
          <w:rFonts w:cstheme="minorHAnsi"/>
          <w:sz w:val="20"/>
          <w:szCs w:val="20"/>
        </w:rPr>
        <w:t>Table 3.12</w:t>
      </w:r>
      <w:r w:rsidR="00A90E7E" w:rsidRPr="00A90E7E">
        <w:rPr>
          <w:rFonts w:cstheme="minorHAnsi"/>
          <w:sz w:val="20"/>
          <w:szCs w:val="20"/>
        </w:rPr>
        <w:t>: Storm Induced Iron Transport for Cell6 (System Effluent) Based on Storm</w:t>
      </w:r>
      <w:r w:rsidR="00A90E7E" w:rsidRPr="00A90E7E">
        <w:rPr>
          <w:rFonts w:cstheme="minorHAnsi"/>
          <w:sz w:val="20"/>
          <w:szCs w:val="20"/>
        </w:rPr>
        <w:br/>
        <w:t xml:space="preserve"> Intensity Classification</w:t>
      </w:r>
    </w:p>
    <w:tbl>
      <w:tblPr>
        <w:tblW w:w="8080" w:type="dxa"/>
        <w:tblInd w:w="-5" w:type="dxa"/>
        <w:tblLayout w:type="fixed"/>
        <w:tblLook w:val="04A0" w:firstRow="1" w:lastRow="0" w:firstColumn="1" w:lastColumn="0" w:noHBand="0" w:noVBand="1"/>
      </w:tblPr>
      <w:tblGrid>
        <w:gridCol w:w="1235"/>
        <w:gridCol w:w="930"/>
        <w:gridCol w:w="1080"/>
        <w:gridCol w:w="720"/>
        <w:gridCol w:w="1440"/>
        <w:gridCol w:w="1440"/>
        <w:gridCol w:w="1235"/>
      </w:tblGrid>
      <w:tr w:rsidR="00A90E7E" w:rsidRPr="00A90E7E" w14:paraId="5DB06A9C" w14:textId="77777777" w:rsidTr="00A90E7E">
        <w:trPr>
          <w:trHeight w:val="431"/>
        </w:trPr>
        <w:tc>
          <w:tcPr>
            <w:tcW w:w="1235" w:type="dxa"/>
            <w:tcBorders>
              <w:top w:val="single" w:sz="4" w:space="0" w:color="auto"/>
              <w:bottom w:val="double" w:sz="4" w:space="0" w:color="auto"/>
            </w:tcBorders>
            <w:shd w:val="clear" w:color="auto" w:fill="auto"/>
            <w:hideMark/>
          </w:tcPr>
          <w:p w14:paraId="2B66FE68"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Intensity</w:t>
            </w:r>
            <w:r w:rsidRPr="00A90E7E">
              <w:rPr>
                <w:rFonts w:eastAsia="Times New Roman" w:cstheme="minorHAnsi"/>
                <w:color w:val="000000"/>
                <w:sz w:val="20"/>
                <w:szCs w:val="20"/>
              </w:rPr>
              <w:br/>
              <w:t>Class</w:t>
            </w:r>
          </w:p>
        </w:tc>
        <w:tc>
          <w:tcPr>
            <w:tcW w:w="930" w:type="dxa"/>
            <w:tcBorders>
              <w:top w:val="single" w:sz="4" w:space="0" w:color="auto"/>
              <w:bottom w:val="double" w:sz="4" w:space="0" w:color="auto"/>
            </w:tcBorders>
            <w:shd w:val="clear" w:color="auto" w:fill="auto"/>
            <w:hideMark/>
          </w:tcPr>
          <w:p w14:paraId="293A9C5F"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Intensity (cm/</w:t>
            </w:r>
            <w:proofErr w:type="spellStart"/>
            <w:r w:rsidRPr="00A90E7E">
              <w:rPr>
                <w:rFonts w:eastAsia="Times New Roman" w:cstheme="minorHAnsi"/>
                <w:color w:val="000000"/>
                <w:sz w:val="20"/>
                <w:szCs w:val="20"/>
              </w:rPr>
              <w:t>hr</w:t>
            </w:r>
            <w:proofErr w:type="spellEnd"/>
            <w:r w:rsidRPr="00A90E7E">
              <w:rPr>
                <w:rFonts w:eastAsia="Times New Roman" w:cstheme="minorHAnsi"/>
                <w:color w:val="000000"/>
                <w:sz w:val="20"/>
                <w:szCs w:val="20"/>
              </w:rPr>
              <w:t>)</w:t>
            </w:r>
          </w:p>
        </w:tc>
        <w:tc>
          <w:tcPr>
            <w:tcW w:w="1080" w:type="dxa"/>
            <w:tcBorders>
              <w:top w:val="single" w:sz="4" w:space="0" w:color="auto"/>
              <w:bottom w:val="double" w:sz="4" w:space="0" w:color="auto"/>
            </w:tcBorders>
            <w:shd w:val="clear" w:color="auto" w:fill="auto"/>
            <w:hideMark/>
          </w:tcPr>
          <w:p w14:paraId="488DB204"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Duration (</w:t>
            </w:r>
            <w:proofErr w:type="spellStart"/>
            <w:r w:rsidRPr="00A90E7E">
              <w:rPr>
                <w:rFonts w:eastAsia="Times New Roman" w:cstheme="minorHAnsi"/>
                <w:color w:val="000000"/>
                <w:sz w:val="20"/>
                <w:szCs w:val="20"/>
              </w:rPr>
              <w:t>hr</w:t>
            </w:r>
            <w:proofErr w:type="spellEnd"/>
            <w:r w:rsidRPr="00A90E7E">
              <w:rPr>
                <w:rFonts w:eastAsia="Times New Roman" w:cstheme="minorHAnsi"/>
                <w:color w:val="000000"/>
                <w:sz w:val="20"/>
                <w:szCs w:val="20"/>
              </w:rPr>
              <w:t>)</w:t>
            </w:r>
          </w:p>
        </w:tc>
        <w:tc>
          <w:tcPr>
            <w:tcW w:w="720" w:type="dxa"/>
            <w:tcBorders>
              <w:top w:val="single" w:sz="4" w:space="0" w:color="auto"/>
              <w:bottom w:val="double" w:sz="4" w:space="0" w:color="auto"/>
            </w:tcBorders>
            <w:shd w:val="clear" w:color="auto" w:fill="auto"/>
          </w:tcPr>
          <w:p w14:paraId="7EF3248F" w14:textId="77777777" w:rsidR="00A90E7E" w:rsidRPr="00A90E7E" w:rsidRDefault="00A90E7E" w:rsidP="00A90E7E">
            <w:pPr>
              <w:spacing w:after="0" w:line="240" w:lineRule="auto"/>
              <w:rPr>
                <w:rFonts w:eastAsia="Times New Roman" w:cstheme="minorHAnsi"/>
                <w:color w:val="000000"/>
                <w:sz w:val="20"/>
                <w:szCs w:val="20"/>
              </w:rPr>
            </w:pPr>
            <w:r w:rsidRPr="00A90E7E">
              <w:rPr>
                <w:rFonts w:eastAsia="Times New Roman" w:cstheme="minorHAnsi"/>
                <w:color w:val="000000"/>
                <w:sz w:val="20"/>
                <w:szCs w:val="20"/>
              </w:rPr>
              <w:t>Yield (cm)</w:t>
            </w:r>
          </w:p>
        </w:tc>
        <w:tc>
          <w:tcPr>
            <w:tcW w:w="1440" w:type="dxa"/>
            <w:tcBorders>
              <w:top w:val="single" w:sz="4" w:space="0" w:color="auto"/>
              <w:bottom w:val="double" w:sz="4" w:space="0" w:color="auto"/>
            </w:tcBorders>
            <w:shd w:val="clear" w:color="auto" w:fill="auto"/>
            <w:hideMark/>
          </w:tcPr>
          <w:p w14:paraId="50CE6B5F"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Gross Fe Transport (kg)</w:t>
            </w:r>
          </w:p>
        </w:tc>
        <w:tc>
          <w:tcPr>
            <w:tcW w:w="1440" w:type="dxa"/>
            <w:tcBorders>
              <w:top w:val="single" w:sz="4" w:space="0" w:color="auto"/>
              <w:bottom w:val="double" w:sz="4" w:space="0" w:color="auto"/>
            </w:tcBorders>
            <w:shd w:val="clear" w:color="auto" w:fill="auto"/>
            <w:hideMark/>
          </w:tcPr>
          <w:p w14:paraId="19FA0B3C"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Net Fe Transport (kg)</w:t>
            </w:r>
          </w:p>
        </w:tc>
        <w:tc>
          <w:tcPr>
            <w:tcW w:w="1235" w:type="dxa"/>
            <w:tcBorders>
              <w:top w:val="single" w:sz="4" w:space="0" w:color="auto"/>
              <w:bottom w:val="double" w:sz="4" w:space="0" w:color="auto"/>
            </w:tcBorders>
            <w:shd w:val="clear" w:color="auto" w:fill="auto"/>
            <w:hideMark/>
          </w:tcPr>
          <w:p w14:paraId="288DA99B" w14:textId="18BF9E78" w:rsidR="00A90E7E" w:rsidRPr="00A90E7E" w:rsidRDefault="00A90E7E" w:rsidP="006D6139">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 xml:space="preserve">% of Total </w:t>
            </w:r>
            <w:r w:rsidR="006D6139">
              <w:rPr>
                <w:rFonts w:eastAsia="Times New Roman" w:cstheme="minorHAnsi"/>
                <w:color w:val="000000"/>
                <w:sz w:val="20"/>
                <w:szCs w:val="20"/>
              </w:rPr>
              <w:t>Export</w:t>
            </w:r>
            <w:r w:rsidRPr="00A90E7E">
              <w:rPr>
                <w:rFonts w:eastAsia="Times New Roman" w:cstheme="minorHAnsi"/>
                <w:color w:val="000000"/>
                <w:sz w:val="20"/>
                <w:szCs w:val="20"/>
              </w:rPr>
              <w:t xml:space="preserve"> </w:t>
            </w:r>
          </w:p>
        </w:tc>
      </w:tr>
      <w:tr w:rsidR="00A90E7E" w:rsidRPr="00A90E7E" w14:paraId="020EE08C" w14:textId="77777777" w:rsidTr="00A90E7E">
        <w:trPr>
          <w:trHeight w:val="315"/>
        </w:trPr>
        <w:tc>
          <w:tcPr>
            <w:tcW w:w="1235" w:type="dxa"/>
            <w:tcBorders>
              <w:top w:val="double" w:sz="4" w:space="0" w:color="auto"/>
            </w:tcBorders>
            <w:shd w:val="clear" w:color="auto" w:fill="auto"/>
            <w:noWrap/>
            <w:vAlign w:val="bottom"/>
            <w:hideMark/>
          </w:tcPr>
          <w:p w14:paraId="53F6D191"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Low</w:t>
            </w:r>
          </w:p>
        </w:tc>
        <w:tc>
          <w:tcPr>
            <w:tcW w:w="930" w:type="dxa"/>
            <w:tcBorders>
              <w:top w:val="double" w:sz="4" w:space="0" w:color="auto"/>
            </w:tcBorders>
            <w:shd w:val="clear" w:color="auto" w:fill="auto"/>
            <w:noWrap/>
            <w:vAlign w:val="bottom"/>
            <w:hideMark/>
          </w:tcPr>
          <w:p w14:paraId="3ED27AEC"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0.26</w:t>
            </w:r>
          </w:p>
        </w:tc>
        <w:tc>
          <w:tcPr>
            <w:tcW w:w="1080" w:type="dxa"/>
            <w:tcBorders>
              <w:top w:val="double" w:sz="4" w:space="0" w:color="auto"/>
            </w:tcBorders>
            <w:shd w:val="clear" w:color="auto" w:fill="auto"/>
            <w:noWrap/>
            <w:vAlign w:val="bottom"/>
            <w:hideMark/>
          </w:tcPr>
          <w:p w14:paraId="2BC28202"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1.50</w:t>
            </w:r>
          </w:p>
        </w:tc>
        <w:tc>
          <w:tcPr>
            <w:tcW w:w="720" w:type="dxa"/>
            <w:tcBorders>
              <w:top w:val="double" w:sz="4" w:space="0" w:color="auto"/>
            </w:tcBorders>
            <w:shd w:val="clear" w:color="auto" w:fill="auto"/>
            <w:vAlign w:val="bottom"/>
          </w:tcPr>
          <w:p w14:paraId="60024B22" w14:textId="77777777" w:rsidR="00A90E7E" w:rsidRPr="00A90E7E" w:rsidRDefault="00A90E7E" w:rsidP="00A90E7E">
            <w:pPr>
              <w:spacing w:after="0" w:line="240" w:lineRule="auto"/>
              <w:jc w:val="center"/>
              <w:rPr>
                <w:rFonts w:cstheme="minorHAnsi"/>
                <w:color w:val="000000"/>
                <w:sz w:val="20"/>
                <w:szCs w:val="20"/>
              </w:rPr>
            </w:pPr>
            <w:r w:rsidRPr="00A90E7E">
              <w:rPr>
                <w:rFonts w:cstheme="minorHAnsi"/>
                <w:color w:val="000000"/>
                <w:sz w:val="20"/>
                <w:szCs w:val="20"/>
              </w:rPr>
              <w:t>0.26</w:t>
            </w:r>
          </w:p>
        </w:tc>
        <w:tc>
          <w:tcPr>
            <w:tcW w:w="1440" w:type="dxa"/>
            <w:tcBorders>
              <w:top w:val="double" w:sz="4" w:space="0" w:color="auto"/>
            </w:tcBorders>
            <w:shd w:val="clear" w:color="auto" w:fill="auto"/>
            <w:noWrap/>
            <w:vAlign w:val="bottom"/>
            <w:hideMark/>
          </w:tcPr>
          <w:p w14:paraId="53095155"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0.18</w:t>
            </w:r>
          </w:p>
        </w:tc>
        <w:tc>
          <w:tcPr>
            <w:tcW w:w="1440" w:type="dxa"/>
            <w:tcBorders>
              <w:top w:val="double" w:sz="4" w:space="0" w:color="auto"/>
            </w:tcBorders>
            <w:shd w:val="clear" w:color="auto" w:fill="auto"/>
            <w:noWrap/>
            <w:vAlign w:val="bottom"/>
            <w:hideMark/>
          </w:tcPr>
          <w:p w14:paraId="27821EFE"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0.15</w:t>
            </w:r>
          </w:p>
        </w:tc>
        <w:tc>
          <w:tcPr>
            <w:tcW w:w="1235" w:type="dxa"/>
            <w:tcBorders>
              <w:top w:val="double" w:sz="4" w:space="0" w:color="auto"/>
            </w:tcBorders>
            <w:shd w:val="clear" w:color="auto" w:fill="auto"/>
            <w:noWrap/>
            <w:vAlign w:val="bottom"/>
            <w:hideMark/>
          </w:tcPr>
          <w:p w14:paraId="45EBCC71"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79.6%</w:t>
            </w:r>
          </w:p>
        </w:tc>
      </w:tr>
      <w:tr w:rsidR="00A90E7E" w:rsidRPr="00A90E7E" w14:paraId="476343D1" w14:textId="77777777" w:rsidTr="00A90E7E">
        <w:trPr>
          <w:trHeight w:val="300"/>
        </w:trPr>
        <w:tc>
          <w:tcPr>
            <w:tcW w:w="1235" w:type="dxa"/>
            <w:shd w:val="clear" w:color="auto" w:fill="auto"/>
            <w:noWrap/>
            <w:vAlign w:val="bottom"/>
            <w:hideMark/>
          </w:tcPr>
          <w:p w14:paraId="0FC91801"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Low</w:t>
            </w:r>
          </w:p>
        </w:tc>
        <w:tc>
          <w:tcPr>
            <w:tcW w:w="930" w:type="dxa"/>
            <w:shd w:val="clear" w:color="auto" w:fill="auto"/>
            <w:noWrap/>
            <w:vAlign w:val="bottom"/>
            <w:hideMark/>
          </w:tcPr>
          <w:p w14:paraId="30AA9A3C"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0.56</w:t>
            </w:r>
          </w:p>
        </w:tc>
        <w:tc>
          <w:tcPr>
            <w:tcW w:w="1080" w:type="dxa"/>
            <w:shd w:val="clear" w:color="auto" w:fill="auto"/>
            <w:noWrap/>
            <w:vAlign w:val="bottom"/>
            <w:hideMark/>
          </w:tcPr>
          <w:p w14:paraId="1BEBBF4C"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3.25</w:t>
            </w:r>
          </w:p>
        </w:tc>
        <w:tc>
          <w:tcPr>
            <w:tcW w:w="720" w:type="dxa"/>
            <w:shd w:val="clear" w:color="auto" w:fill="auto"/>
            <w:vAlign w:val="bottom"/>
          </w:tcPr>
          <w:p w14:paraId="3E1695BC" w14:textId="77777777" w:rsidR="00A90E7E" w:rsidRPr="00A90E7E" w:rsidRDefault="00A90E7E" w:rsidP="00A90E7E">
            <w:pPr>
              <w:spacing w:after="0" w:line="240" w:lineRule="auto"/>
              <w:jc w:val="center"/>
              <w:rPr>
                <w:rFonts w:cstheme="minorHAnsi"/>
                <w:color w:val="000000"/>
                <w:sz w:val="20"/>
                <w:szCs w:val="20"/>
              </w:rPr>
            </w:pPr>
            <w:r w:rsidRPr="00A90E7E">
              <w:rPr>
                <w:rFonts w:cstheme="minorHAnsi"/>
                <w:color w:val="000000"/>
                <w:sz w:val="20"/>
                <w:szCs w:val="20"/>
              </w:rPr>
              <w:t>2.05</w:t>
            </w:r>
          </w:p>
        </w:tc>
        <w:tc>
          <w:tcPr>
            <w:tcW w:w="1440" w:type="dxa"/>
            <w:shd w:val="clear" w:color="auto" w:fill="auto"/>
            <w:noWrap/>
            <w:vAlign w:val="bottom"/>
            <w:hideMark/>
          </w:tcPr>
          <w:p w14:paraId="037B1FF2"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0.12</w:t>
            </w:r>
          </w:p>
        </w:tc>
        <w:tc>
          <w:tcPr>
            <w:tcW w:w="1440" w:type="dxa"/>
            <w:shd w:val="clear" w:color="auto" w:fill="auto"/>
            <w:noWrap/>
            <w:vAlign w:val="bottom"/>
            <w:hideMark/>
          </w:tcPr>
          <w:p w14:paraId="258547CE"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0.09</w:t>
            </w:r>
          </w:p>
        </w:tc>
        <w:tc>
          <w:tcPr>
            <w:tcW w:w="1235" w:type="dxa"/>
            <w:shd w:val="clear" w:color="auto" w:fill="auto"/>
            <w:noWrap/>
            <w:vAlign w:val="bottom"/>
            <w:hideMark/>
          </w:tcPr>
          <w:p w14:paraId="052068DB"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72.4%</w:t>
            </w:r>
          </w:p>
        </w:tc>
      </w:tr>
      <w:tr w:rsidR="00A90E7E" w:rsidRPr="00A90E7E" w14:paraId="46FC65F4" w14:textId="77777777" w:rsidTr="00A90E7E">
        <w:trPr>
          <w:trHeight w:val="300"/>
        </w:trPr>
        <w:tc>
          <w:tcPr>
            <w:tcW w:w="1235" w:type="dxa"/>
            <w:shd w:val="clear" w:color="auto" w:fill="auto"/>
            <w:noWrap/>
            <w:vAlign w:val="bottom"/>
            <w:hideMark/>
          </w:tcPr>
          <w:p w14:paraId="462D93D9"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Low</w:t>
            </w:r>
          </w:p>
        </w:tc>
        <w:tc>
          <w:tcPr>
            <w:tcW w:w="930" w:type="dxa"/>
            <w:shd w:val="clear" w:color="auto" w:fill="auto"/>
            <w:noWrap/>
            <w:vAlign w:val="bottom"/>
            <w:hideMark/>
          </w:tcPr>
          <w:p w14:paraId="5D8DCD63"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0.74</w:t>
            </w:r>
          </w:p>
        </w:tc>
        <w:tc>
          <w:tcPr>
            <w:tcW w:w="1080" w:type="dxa"/>
            <w:shd w:val="clear" w:color="auto" w:fill="auto"/>
            <w:noWrap/>
            <w:vAlign w:val="bottom"/>
            <w:hideMark/>
          </w:tcPr>
          <w:p w14:paraId="240D3BD6"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1.25</w:t>
            </w:r>
          </w:p>
        </w:tc>
        <w:tc>
          <w:tcPr>
            <w:tcW w:w="720" w:type="dxa"/>
            <w:shd w:val="clear" w:color="auto" w:fill="auto"/>
            <w:vAlign w:val="bottom"/>
          </w:tcPr>
          <w:p w14:paraId="2ABD57A9" w14:textId="77777777" w:rsidR="00A90E7E" w:rsidRPr="00A90E7E" w:rsidRDefault="00A90E7E" w:rsidP="00A90E7E">
            <w:pPr>
              <w:spacing w:after="0" w:line="240" w:lineRule="auto"/>
              <w:jc w:val="center"/>
              <w:rPr>
                <w:rFonts w:cstheme="minorHAnsi"/>
                <w:color w:val="000000"/>
                <w:sz w:val="20"/>
                <w:szCs w:val="20"/>
              </w:rPr>
            </w:pPr>
            <w:r w:rsidRPr="00A90E7E">
              <w:rPr>
                <w:rFonts w:cstheme="minorHAnsi"/>
                <w:color w:val="000000"/>
                <w:sz w:val="20"/>
                <w:szCs w:val="20"/>
              </w:rPr>
              <w:t>0.76</w:t>
            </w:r>
          </w:p>
        </w:tc>
        <w:tc>
          <w:tcPr>
            <w:tcW w:w="1440" w:type="dxa"/>
            <w:shd w:val="clear" w:color="auto" w:fill="auto"/>
            <w:noWrap/>
            <w:vAlign w:val="bottom"/>
            <w:hideMark/>
          </w:tcPr>
          <w:p w14:paraId="3CD8BCD8"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0.81</w:t>
            </w:r>
          </w:p>
        </w:tc>
        <w:tc>
          <w:tcPr>
            <w:tcW w:w="1440" w:type="dxa"/>
            <w:shd w:val="clear" w:color="auto" w:fill="auto"/>
            <w:noWrap/>
            <w:vAlign w:val="bottom"/>
            <w:hideMark/>
          </w:tcPr>
          <w:p w14:paraId="61D18B20"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0.60</w:t>
            </w:r>
          </w:p>
        </w:tc>
        <w:tc>
          <w:tcPr>
            <w:tcW w:w="1235" w:type="dxa"/>
            <w:shd w:val="clear" w:color="auto" w:fill="auto"/>
            <w:noWrap/>
            <w:vAlign w:val="bottom"/>
            <w:hideMark/>
          </w:tcPr>
          <w:p w14:paraId="3ED3309A"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74.0%</w:t>
            </w:r>
          </w:p>
        </w:tc>
      </w:tr>
      <w:tr w:rsidR="00A90E7E" w:rsidRPr="00A90E7E" w14:paraId="11C32C3C" w14:textId="77777777" w:rsidTr="00A90E7E">
        <w:trPr>
          <w:trHeight w:val="300"/>
        </w:trPr>
        <w:tc>
          <w:tcPr>
            <w:tcW w:w="1235" w:type="dxa"/>
            <w:shd w:val="clear" w:color="auto" w:fill="auto"/>
            <w:noWrap/>
            <w:vAlign w:val="bottom"/>
            <w:hideMark/>
          </w:tcPr>
          <w:p w14:paraId="5BE00B98"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Moderate</w:t>
            </w:r>
          </w:p>
        </w:tc>
        <w:tc>
          <w:tcPr>
            <w:tcW w:w="930" w:type="dxa"/>
            <w:shd w:val="clear" w:color="auto" w:fill="auto"/>
            <w:noWrap/>
            <w:vAlign w:val="bottom"/>
            <w:hideMark/>
          </w:tcPr>
          <w:p w14:paraId="3D29AAC6"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1.02</w:t>
            </w:r>
          </w:p>
        </w:tc>
        <w:tc>
          <w:tcPr>
            <w:tcW w:w="1080" w:type="dxa"/>
            <w:shd w:val="clear" w:color="auto" w:fill="auto"/>
            <w:noWrap/>
            <w:vAlign w:val="bottom"/>
            <w:hideMark/>
          </w:tcPr>
          <w:p w14:paraId="02893EA2"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7.00</w:t>
            </w:r>
          </w:p>
        </w:tc>
        <w:tc>
          <w:tcPr>
            <w:tcW w:w="720" w:type="dxa"/>
            <w:shd w:val="clear" w:color="auto" w:fill="auto"/>
            <w:vAlign w:val="bottom"/>
          </w:tcPr>
          <w:p w14:paraId="66347204" w14:textId="77777777" w:rsidR="00A90E7E" w:rsidRPr="00A90E7E" w:rsidRDefault="00A90E7E" w:rsidP="00A90E7E">
            <w:pPr>
              <w:spacing w:after="0" w:line="240" w:lineRule="auto"/>
              <w:jc w:val="center"/>
              <w:rPr>
                <w:rFonts w:cstheme="minorHAnsi"/>
                <w:sz w:val="20"/>
                <w:szCs w:val="20"/>
              </w:rPr>
            </w:pPr>
            <w:r w:rsidRPr="00A90E7E">
              <w:rPr>
                <w:rFonts w:cstheme="minorHAnsi"/>
                <w:sz w:val="20"/>
                <w:szCs w:val="20"/>
              </w:rPr>
              <w:t>3.30</w:t>
            </w:r>
          </w:p>
        </w:tc>
        <w:tc>
          <w:tcPr>
            <w:tcW w:w="1440" w:type="dxa"/>
            <w:shd w:val="clear" w:color="auto" w:fill="auto"/>
            <w:noWrap/>
            <w:vAlign w:val="bottom"/>
            <w:hideMark/>
          </w:tcPr>
          <w:p w14:paraId="0506E0E5"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0.73</w:t>
            </w:r>
          </w:p>
        </w:tc>
        <w:tc>
          <w:tcPr>
            <w:tcW w:w="1440" w:type="dxa"/>
            <w:shd w:val="clear" w:color="auto" w:fill="auto"/>
            <w:noWrap/>
            <w:vAlign w:val="bottom"/>
            <w:hideMark/>
          </w:tcPr>
          <w:p w14:paraId="73EE68B6"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0.55</w:t>
            </w:r>
          </w:p>
        </w:tc>
        <w:tc>
          <w:tcPr>
            <w:tcW w:w="1235" w:type="dxa"/>
            <w:shd w:val="clear" w:color="auto" w:fill="auto"/>
            <w:noWrap/>
            <w:vAlign w:val="bottom"/>
            <w:hideMark/>
          </w:tcPr>
          <w:p w14:paraId="1C33FED0"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75.3%</w:t>
            </w:r>
          </w:p>
        </w:tc>
      </w:tr>
      <w:tr w:rsidR="00A90E7E" w:rsidRPr="00A90E7E" w14:paraId="7A588C2C" w14:textId="77777777" w:rsidTr="00A90E7E">
        <w:trPr>
          <w:trHeight w:val="300"/>
        </w:trPr>
        <w:tc>
          <w:tcPr>
            <w:tcW w:w="1235" w:type="dxa"/>
            <w:shd w:val="clear" w:color="auto" w:fill="auto"/>
            <w:noWrap/>
            <w:vAlign w:val="bottom"/>
            <w:hideMark/>
          </w:tcPr>
          <w:p w14:paraId="0784B5E5"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Moderate</w:t>
            </w:r>
          </w:p>
        </w:tc>
        <w:tc>
          <w:tcPr>
            <w:tcW w:w="930" w:type="dxa"/>
            <w:shd w:val="clear" w:color="auto" w:fill="auto"/>
            <w:noWrap/>
            <w:vAlign w:val="bottom"/>
            <w:hideMark/>
          </w:tcPr>
          <w:p w14:paraId="0942B93C"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1.29</w:t>
            </w:r>
          </w:p>
        </w:tc>
        <w:tc>
          <w:tcPr>
            <w:tcW w:w="1080" w:type="dxa"/>
            <w:shd w:val="clear" w:color="auto" w:fill="auto"/>
            <w:noWrap/>
            <w:vAlign w:val="bottom"/>
            <w:hideMark/>
          </w:tcPr>
          <w:p w14:paraId="5FC8D842"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9.25</w:t>
            </w:r>
          </w:p>
        </w:tc>
        <w:tc>
          <w:tcPr>
            <w:tcW w:w="720" w:type="dxa"/>
            <w:shd w:val="clear" w:color="auto" w:fill="auto"/>
            <w:vAlign w:val="bottom"/>
          </w:tcPr>
          <w:p w14:paraId="371D5549" w14:textId="77777777" w:rsidR="00A90E7E" w:rsidRPr="00A90E7E" w:rsidRDefault="00A90E7E" w:rsidP="00A90E7E">
            <w:pPr>
              <w:spacing w:after="0" w:line="240" w:lineRule="auto"/>
              <w:jc w:val="center"/>
              <w:rPr>
                <w:rFonts w:cstheme="minorHAnsi"/>
                <w:sz w:val="20"/>
                <w:szCs w:val="20"/>
              </w:rPr>
            </w:pPr>
            <w:r w:rsidRPr="00A90E7E">
              <w:rPr>
                <w:rFonts w:cstheme="minorHAnsi"/>
                <w:sz w:val="20"/>
                <w:szCs w:val="20"/>
              </w:rPr>
              <w:t>1.96</w:t>
            </w:r>
          </w:p>
        </w:tc>
        <w:tc>
          <w:tcPr>
            <w:tcW w:w="1440" w:type="dxa"/>
            <w:shd w:val="clear" w:color="auto" w:fill="auto"/>
            <w:noWrap/>
            <w:vAlign w:val="bottom"/>
            <w:hideMark/>
          </w:tcPr>
          <w:p w14:paraId="7B5DAE47"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0.41</w:t>
            </w:r>
          </w:p>
        </w:tc>
        <w:tc>
          <w:tcPr>
            <w:tcW w:w="1440" w:type="dxa"/>
            <w:shd w:val="clear" w:color="auto" w:fill="auto"/>
            <w:noWrap/>
            <w:vAlign w:val="bottom"/>
            <w:hideMark/>
          </w:tcPr>
          <w:p w14:paraId="53F3D50D"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0.12</w:t>
            </w:r>
          </w:p>
        </w:tc>
        <w:tc>
          <w:tcPr>
            <w:tcW w:w="1235" w:type="dxa"/>
            <w:shd w:val="clear" w:color="auto" w:fill="auto"/>
            <w:noWrap/>
            <w:vAlign w:val="bottom"/>
            <w:hideMark/>
          </w:tcPr>
          <w:p w14:paraId="4C4125EB"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28.3%</w:t>
            </w:r>
          </w:p>
        </w:tc>
      </w:tr>
      <w:tr w:rsidR="00A90E7E" w:rsidRPr="00A90E7E" w14:paraId="7145F59D" w14:textId="77777777" w:rsidTr="00A90E7E">
        <w:trPr>
          <w:trHeight w:val="300"/>
        </w:trPr>
        <w:tc>
          <w:tcPr>
            <w:tcW w:w="1235" w:type="dxa"/>
            <w:shd w:val="clear" w:color="auto" w:fill="auto"/>
            <w:noWrap/>
            <w:vAlign w:val="bottom"/>
            <w:hideMark/>
          </w:tcPr>
          <w:p w14:paraId="32067217"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Moderate</w:t>
            </w:r>
          </w:p>
        </w:tc>
        <w:tc>
          <w:tcPr>
            <w:tcW w:w="930" w:type="dxa"/>
            <w:shd w:val="clear" w:color="auto" w:fill="auto"/>
            <w:noWrap/>
            <w:vAlign w:val="bottom"/>
            <w:hideMark/>
          </w:tcPr>
          <w:p w14:paraId="3C53AACE"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1.42</w:t>
            </w:r>
          </w:p>
        </w:tc>
        <w:tc>
          <w:tcPr>
            <w:tcW w:w="1080" w:type="dxa"/>
            <w:shd w:val="clear" w:color="auto" w:fill="auto"/>
            <w:noWrap/>
            <w:vAlign w:val="bottom"/>
            <w:hideMark/>
          </w:tcPr>
          <w:p w14:paraId="70CC817E"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4.00</w:t>
            </w:r>
          </w:p>
        </w:tc>
        <w:tc>
          <w:tcPr>
            <w:tcW w:w="720" w:type="dxa"/>
            <w:shd w:val="clear" w:color="auto" w:fill="auto"/>
            <w:vAlign w:val="bottom"/>
          </w:tcPr>
          <w:p w14:paraId="7090A4C0" w14:textId="77777777" w:rsidR="00A90E7E" w:rsidRPr="00A90E7E" w:rsidRDefault="00A90E7E" w:rsidP="00A90E7E">
            <w:pPr>
              <w:spacing w:after="0" w:line="240" w:lineRule="auto"/>
              <w:jc w:val="center"/>
              <w:rPr>
                <w:rFonts w:cstheme="minorHAnsi"/>
                <w:sz w:val="20"/>
                <w:szCs w:val="20"/>
              </w:rPr>
            </w:pPr>
            <w:r w:rsidRPr="00A90E7E">
              <w:rPr>
                <w:rFonts w:cstheme="minorHAnsi"/>
                <w:sz w:val="20"/>
                <w:szCs w:val="20"/>
              </w:rPr>
              <w:t>2.16</w:t>
            </w:r>
          </w:p>
        </w:tc>
        <w:tc>
          <w:tcPr>
            <w:tcW w:w="1440" w:type="dxa"/>
            <w:shd w:val="clear" w:color="auto" w:fill="auto"/>
            <w:noWrap/>
            <w:vAlign w:val="bottom"/>
            <w:hideMark/>
          </w:tcPr>
          <w:p w14:paraId="780D3BD4"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0.86</w:t>
            </w:r>
          </w:p>
        </w:tc>
        <w:tc>
          <w:tcPr>
            <w:tcW w:w="1440" w:type="dxa"/>
            <w:shd w:val="clear" w:color="auto" w:fill="auto"/>
            <w:noWrap/>
            <w:vAlign w:val="bottom"/>
            <w:hideMark/>
          </w:tcPr>
          <w:p w14:paraId="2EBD2B61"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0.74</w:t>
            </w:r>
          </w:p>
        </w:tc>
        <w:tc>
          <w:tcPr>
            <w:tcW w:w="1235" w:type="dxa"/>
            <w:shd w:val="clear" w:color="auto" w:fill="auto"/>
            <w:noWrap/>
            <w:vAlign w:val="bottom"/>
            <w:hideMark/>
          </w:tcPr>
          <w:p w14:paraId="2A35E95A"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85.9%</w:t>
            </w:r>
          </w:p>
        </w:tc>
      </w:tr>
      <w:tr w:rsidR="00A90E7E" w:rsidRPr="00A90E7E" w14:paraId="3AA0B3FD" w14:textId="77777777" w:rsidTr="00A90E7E">
        <w:trPr>
          <w:trHeight w:val="300"/>
        </w:trPr>
        <w:tc>
          <w:tcPr>
            <w:tcW w:w="1235" w:type="dxa"/>
            <w:shd w:val="clear" w:color="auto" w:fill="auto"/>
            <w:noWrap/>
            <w:vAlign w:val="bottom"/>
            <w:hideMark/>
          </w:tcPr>
          <w:p w14:paraId="23EC72A9"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Moderate</w:t>
            </w:r>
          </w:p>
        </w:tc>
        <w:tc>
          <w:tcPr>
            <w:tcW w:w="930" w:type="dxa"/>
            <w:shd w:val="clear" w:color="auto" w:fill="auto"/>
            <w:noWrap/>
            <w:vAlign w:val="bottom"/>
            <w:hideMark/>
          </w:tcPr>
          <w:p w14:paraId="40F78327"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1.73</w:t>
            </w:r>
          </w:p>
        </w:tc>
        <w:tc>
          <w:tcPr>
            <w:tcW w:w="1080" w:type="dxa"/>
            <w:shd w:val="clear" w:color="auto" w:fill="auto"/>
            <w:noWrap/>
            <w:vAlign w:val="bottom"/>
            <w:hideMark/>
          </w:tcPr>
          <w:p w14:paraId="726F4D20"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3.00</w:t>
            </w:r>
          </w:p>
        </w:tc>
        <w:tc>
          <w:tcPr>
            <w:tcW w:w="720" w:type="dxa"/>
            <w:shd w:val="clear" w:color="auto" w:fill="auto"/>
            <w:vAlign w:val="bottom"/>
          </w:tcPr>
          <w:p w14:paraId="32EEBC49" w14:textId="77777777" w:rsidR="00A90E7E" w:rsidRPr="00A90E7E" w:rsidRDefault="00A90E7E" w:rsidP="00A90E7E">
            <w:pPr>
              <w:spacing w:after="0" w:line="240" w:lineRule="auto"/>
              <w:jc w:val="center"/>
              <w:rPr>
                <w:rFonts w:cstheme="minorHAnsi"/>
                <w:sz w:val="20"/>
                <w:szCs w:val="20"/>
              </w:rPr>
            </w:pPr>
            <w:r w:rsidRPr="00A90E7E">
              <w:rPr>
                <w:rFonts w:cstheme="minorHAnsi"/>
                <w:sz w:val="20"/>
                <w:szCs w:val="20"/>
              </w:rPr>
              <w:t>0.26</w:t>
            </w:r>
          </w:p>
        </w:tc>
        <w:tc>
          <w:tcPr>
            <w:tcW w:w="1440" w:type="dxa"/>
            <w:shd w:val="clear" w:color="auto" w:fill="auto"/>
            <w:noWrap/>
            <w:vAlign w:val="bottom"/>
            <w:hideMark/>
          </w:tcPr>
          <w:p w14:paraId="0BBA1982"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0.87</w:t>
            </w:r>
          </w:p>
        </w:tc>
        <w:tc>
          <w:tcPr>
            <w:tcW w:w="1440" w:type="dxa"/>
            <w:shd w:val="clear" w:color="auto" w:fill="auto"/>
            <w:noWrap/>
            <w:vAlign w:val="bottom"/>
            <w:hideMark/>
          </w:tcPr>
          <w:p w14:paraId="7D7153A9"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0.75</w:t>
            </w:r>
          </w:p>
        </w:tc>
        <w:tc>
          <w:tcPr>
            <w:tcW w:w="1235" w:type="dxa"/>
            <w:shd w:val="clear" w:color="auto" w:fill="auto"/>
            <w:noWrap/>
            <w:vAlign w:val="bottom"/>
            <w:hideMark/>
          </w:tcPr>
          <w:p w14:paraId="7FA36683"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85.4%</w:t>
            </w:r>
          </w:p>
        </w:tc>
      </w:tr>
      <w:tr w:rsidR="00A90E7E" w:rsidRPr="00A90E7E" w14:paraId="351AC8E1" w14:textId="77777777" w:rsidTr="00A90E7E">
        <w:trPr>
          <w:trHeight w:val="135"/>
        </w:trPr>
        <w:tc>
          <w:tcPr>
            <w:tcW w:w="1235" w:type="dxa"/>
            <w:shd w:val="clear" w:color="auto" w:fill="auto"/>
            <w:noWrap/>
            <w:vAlign w:val="bottom"/>
            <w:hideMark/>
          </w:tcPr>
          <w:p w14:paraId="4225C940"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High</w:t>
            </w:r>
          </w:p>
        </w:tc>
        <w:tc>
          <w:tcPr>
            <w:tcW w:w="930" w:type="dxa"/>
            <w:shd w:val="clear" w:color="auto" w:fill="auto"/>
            <w:noWrap/>
            <w:vAlign w:val="bottom"/>
            <w:hideMark/>
          </w:tcPr>
          <w:p w14:paraId="3EA67C02"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2.13</w:t>
            </w:r>
          </w:p>
        </w:tc>
        <w:tc>
          <w:tcPr>
            <w:tcW w:w="1080" w:type="dxa"/>
            <w:shd w:val="clear" w:color="auto" w:fill="auto"/>
            <w:noWrap/>
            <w:vAlign w:val="bottom"/>
            <w:hideMark/>
          </w:tcPr>
          <w:p w14:paraId="13F037D0"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2.75</w:t>
            </w:r>
          </w:p>
        </w:tc>
        <w:tc>
          <w:tcPr>
            <w:tcW w:w="720" w:type="dxa"/>
            <w:shd w:val="clear" w:color="auto" w:fill="auto"/>
            <w:vAlign w:val="bottom"/>
          </w:tcPr>
          <w:p w14:paraId="0199ED4D"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2.51</w:t>
            </w:r>
          </w:p>
        </w:tc>
        <w:tc>
          <w:tcPr>
            <w:tcW w:w="1440" w:type="dxa"/>
            <w:shd w:val="clear" w:color="auto" w:fill="auto"/>
            <w:noWrap/>
            <w:vAlign w:val="bottom"/>
          </w:tcPr>
          <w:p w14:paraId="09314212"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0.28</w:t>
            </w:r>
          </w:p>
        </w:tc>
        <w:tc>
          <w:tcPr>
            <w:tcW w:w="1440" w:type="dxa"/>
            <w:shd w:val="clear" w:color="auto" w:fill="auto"/>
            <w:noWrap/>
            <w:vAlign w:val="bottom"/>
            <w:hideMark/>
          </w:tcPr>
          <w:p w14:paraId="41C06EA1"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0.12</w:t>
            </w:r>
          </w:p>
        </w:tc>
        <w:tc>
          <w:tcPr>
            <w:tcW w:w="1235" w:type="dxa"/>
            <w:shd w:val="clear" w:color="auto" w:fill="auto"/>
            <w:noWrap/>
            <w:vAlign w:val="bottom"/>
            <w:hideMark/>
          </w:tcPr>
          <w:p w14:paraId="0E60DD69"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41.9%</w:t>
            </w:r>
          </w:p>
        </w:tc>
      </w:tr>
      <w:tr w:rsidR="00A90E7E" w:rsidRPr="00A90E7E" w14:paraId="76A4D28C" w14:textId="77777777" w:rsidTr="00A90E7E">
        <w:trPr>
          <w:trHeight w:val="225"/>
        </w:trPr>
        <w:tc>
          <w:tcPr>
            <w:tcW w:w="1235" w:type="dxa"/>
            <w:shd w:val="clear" w:color="auto" w:fill="auto"/>
            <w:noWrap/>
            <w:vAlign w:val="bottom"/>
            <w:hideMark/>
          </w:tcPr>
          <w:p w14:paraId="5F99415E"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High</w:t>
            </w:r>
          </w:p>
        </w:tc>
        <w:tc>
          <w:tcPr>
            <w:tcW w:w="930" w:type="dxa"/>
            <w:shd w:val="clear" w:color="auto" w:fill="auto"/>
            <w:noWrap/>
            <w:vAlign w:val="bottom"/>
            <w:hideMark/>
          </w:tcPr>
          <w:p w14:paraId="156DA6FE"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2.26</w:t>
            </w:r>
          </w:p>
        </w:tc>
        <w:tc>
          <w:tcPr>
            <w:tcW w:w="1080" w:type="dxa"/>
            <w:shd w:val="clear" w:color="auto" w:fill="auto"/>
            <w:noWrap/>
            <w:vAlign w:val="bottom"/>
            <w:hideMark/>
          </w:tcPr>
          <w:p w14:paraId="2AAC0AB5"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4.25</w:t>
            </w:r>
          </w:p>
        </w:tc>
        <w:tc>
          <w:tcPr>
            <w:tcW w:w="720" w:type="dxa"/>
            <w:shd w:val="clear" w:color="auto" w:fill="auto"/>
            <w:vAlign w:val="bottom"/>
          </w:tcPr>
          <w:p w14:paraId="25239095"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6.86</w:t>
            </w:r>
          </w:p>
        </w:tc>
        <w:tc>
          <w:tcPr>
            <w:tcW w:w="1440" w:type="dxa"/>
            <w:shd w:val="clear" w:color="auto" w:fill="auto"/>
            <w:noWrap/>
            <w:vAlign w:val="bottom"/>
            <w:hideMark/>
          </w:tcPr>
          <w:p w14:paraId="606E5AE6"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0.16</w:t>
            </w:r>
          </w:p>
        </w:tc>
        <w:tc>
          <w:tcPr>
            <w:tcW w:w="1440" w:type="dxa"/>
            <w:shd w:val="clear" w:color="auto" w:fill="auto"/>
            <w:noWrap/>
            <w:vAlign w:val="bottom"/>
            <w:hideMark/>
          </w:tcPr>
          <w:p w14:paraId="04A2214B"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0.09</w:t>
            </w:r>
          </w:p>
        </w:tc>
        <w:tc>
          <w:tcPr>
            <w:tcW w:w="1235" w:type="dxa"/>
            <w:shd w:val="clear" w:color="auto" w:fill="auto"/>
            <w:noWrap/>
            <w:vAlign w:val="bottom"/>
            <w:hideMark/>
          </w:tcPr>
          <w:p w14:paraId="5AE3F7C3"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58.6%</w:t>
            </w:r>
          </w:p>
        </w:tc>
      </w:tr>
      <w:tr w:rsidR="00A90E7E" w:rsidRPr="00A90E7E" w14:paraId="5AB05825" w14:textId="77777777" w:rsidTr="00A90E7E">
        <w:trPr>
          <w:trHeight w:val="135"/>
        </w:trPr>
        <w:tc>
          <w:tcPr>
            <w:tcW w:w="1235" w:type="dxa"/>
            <w:shd w:val="clear" w:color="auto" w:fill="auto"/>
            <w:noWrap/>
            <w:vAlign w:val="bottom"/>
            <w:hideMark/>
          </w:tcPr>
          <w:p w14:paraId="2C2E357A"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High</w:t>
            </w:r>
          </w:p>
        </w:tc>
        <w:tc>
          <w:tcPr>
            <w:tcW w:w="930" w:type="dxa"/>
            <w:shd w:val="clear" w:color="auto" w:fill="auto"/>
            <w:noWrap/>
            <w:vAlign w:val="bottom"/>
            <w:hideMark/>
          </w:tcPr>
          <w:p w14:paraId="03C66377"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2.67</w:t>
            </w:r>
          </w:p>
        </w:tc>
        <w:tc>
          <w:tcPr>
            <w:tcW w:w="1080" w:type="dxa"/>
            <w:shd w:val="clear" w:color="auto" w:fill="auto"/>
            <w:noWrap/>
            <w:vAlign w:val="bottom"/>
            <w:hideMark/>
          </w:tcPr>
          <w:p w14:paraId="6CE26D0C"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10.50</w:t>
            </w:r>
          </w:p>
        </w:tc>
        <w:tc>
          <w:tcPr>
            <w:tcW w:w="720" w:type="dxa"/>
            <w:shd w:val="clear" w:color="auto" w:fill="auto"/>
            <w:vAlign w:val="bottom"/>
          </w:tcPr>
          <w:p w14:paraId="457E54A1"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3.48</w:t>
            </w:r>
          </w:p>
        </w:tc>
        <w:tc>
          <w:tcPr>
            <w:tcW w:w="1440" w:type="dxa"/>
            <w:shd w:val="clear" w:color="auto" w:fill="auto"/>
            <w:noWrap/>
            <w:vAlign w:val="bottom"/>
            <w:hideMark/>
          </w:tcPr>
          <w:p w14:paraId="1A81744A"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0.21</w:t>
            </w:r>
          </w:p>
        </w:tc>
        <w:tc>
          <w:tcPr>
            <w:tcW w:w="1440" w:type="dxa"/>
            <w:shd w:val="clear" w:color="auto" w:fill="auto"/>
            <w:noWrap/>
            <w:vAlign w:val="bottom"/>
            <w:hideMark/>
          </w:tcPr>
          <w:p w14:paraId="7356FF84"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0.15</w:t>
            </w:r>
          </w:p>
        </w:tc>
        <w:tc>
          <w:tcPr>
            <w:tcW w:w="1235" w:type="dxa"/>
            <w:shd w:val="clear" w:color="auto" w:fill="auto"/>
            <w:noWrap/>
            <w:vAlign w:val="bottom"/>
            <w:hideMark/>
          </w:tcPr>
          <w:p w14:paraId="6B95537A"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74.6%</w:t>
            </w:r>
          </w:p>
        </w:tc>
      </w:tr>
      <w:tr w:rsidR="00A90E7E" w:rsidRPr="00A90E7E" w14:paraId="6E87AAB3" w14:textId="77777777" w:rsidTr="00A90E7E">
        <w:trPr>
          <w:trHeight w:val="225"/>
        </w:trPr>
        <w:tc>
          <w:tcPr>
            <w:tcW w:w="1235" w:type="dxa"/>
            <w:tcBorders>
              <w:bottom w:val="single" w:sz="4" w:space="0" w:color="auto"/>
            </w:tcBorders>
            <w:shd w:val="clear" w:color="auto" w:fill="auto"/>
            <w:noWrap/>
            <w:vAlign w:val="bottom"/>
            <w:hideMark/>
          </w:tcPr>
          <w:p w14:paraId="3A3261C7"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Extreme</w:t>
            </w:r>
          </w:p>
        </w:tc>
        <w:tc>
          <w:tcPr>
            <w:tcW w:w="930" w:type="dxa"/>
            <w:tcBorders>
              <w:bottom w:val="single" w:sz="4" w:space="0" w:color="auto"/>
            </w:tcBorders>
            <w:shd w:val="clear" w:color="auto" w:fill="auto"/>
            <w:noWrap/>
            <w:vAlign w:val="bottom"/>
            <w:hideMark/>
          </w:tcPr>
          <w:p w14:paraId="39DDDD12"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7.88</w:t>
            </w:r>
          </w:p>
        </w:tc>
        <w:tc>
          <w:tcPr>
            <w:tcW w:w="1080" w:type="dxa"/>
            <w:tcBorders>
              <w:bottom w:val="single" w:sz="4" w:space="0" w:color="auto"/>
            </w:tcBorders>
            <w:shd w:val="clear" w:color="auto" w:fill="auto"/>
            <w:noWrap/>
            <w:vAlign w:val="bottom"/>
            <w:hideMark/>
          </w:tcPr>
          <w:p w14:paraId="0F76C3D9"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4.25</w:t>
            </w:r>
          </w:p>
        </w:tc>
        <w:tc>
          <w:tcPr>
            <w:tcW w:w="720" w:type="dxa"/>
            <w:tcBorders>
              <w:bottom w:val="single" w:sz="4" w:space="0" w:color="auto"/>
            </w:tcBorders>
            <w:shd w:val="clear" w:color="auto" w:fill="auto"/>
            <w:vAlign w:val="bottom"/>
          </w:tcPr>
          <w:p w14:paraId="5A441A2C"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15.3</w:t>
            </w:r>
          </w:p>
        </w:tc>
        <w:tc>
          <w:tcPr>
            <w:tcW w:w="1440" w:type="dxa"/>
            <w:tcBorders>
              <w:bottom w:val="single" w:sz="4" w:space="0" w:color="auto"/>
            </w:tcBorders>
            <w:shd w:val="clear" w:color="auto" w:fill="auto"/>
            <w:noWrap/>
            <w:vAlign w:val="bottom"/>
            <w:hideMark/>
          </w:tcPr>
          <w:p w14:paraId="01ACE89F"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0.43</w:t>
            </w:r>
          </w:p>
        </w:tc>
        <w:tc>
          <w:tcPr>
            <w:tcW w:w="1440" w:type="dxa"/>
            <w:tcBorders>
              <w:bottom w:val="single" w:sz="4" w:space="0" w:color="auto"/>
            </w:tcBorders>
            <w:shd w:val="clear" w:color="auto" w:fill="auto"/>
            <w:noWrap/>
            <w:vAlign w:val="bottom"/>
            <w:hideMark/>
          </w:tcPr>
          <w:p w14:paraId="6164DF0C"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0.25</w:t>
            </w:r>
          </w:p>
        </w:tc>
        <w:tc>
          <w:tcPr>
            <w:tcW w:w="1235" w:type="dxa"/>
            <w:tcBorders>
              <w:bottom w:val="single" w:sz="4" w:space="0" w:color="auto"/>
            </w:tcBorders>
            <w:shd w:val="clear" w:color="auto" w:fill="auto"/>
            <w:noWrap/>
            <w:vAlign w:val="bottom"/>
            <w:hideMark/>
          </w:tcPr>
          <w:p w14:paraId="75CDAD8B" w14:textId="77777777" w:rsidR="00A90E7E" w:rsidRPr="00A90E7E" w:rsidRDefault="00A90E7E" w:rsidP="00A90E7E">
            <w:pPr>
              <w:spacing w:after="0" w:line="240" w:lineRule="auto"/>
              <w:jc w:val="center"/>
              <w:rPr>
                <w:rFonts w:eastAsia="Times New Roman" w:cstheme="minorHAnsi"/>
                <w:color w:val="000000"/>
                <w:sz w:val="20"/>
                <w:szCs w:val="20"/>
              </w:rPr>
            </w:pPr>
            <w:r w:rsidRPr="00A90E7E">
              <w:rPr>
                <w:rFonts w:eastAsia="Times New Roman" w:cstheme="minorHAnsi"/>
                <w:color w:val="000000"/>
                <w:sz w:val="20"/>
                <w:szCs w:val="20"/>
              </w:rPr>
              <w:t>57.8%</w:t>
            </w:r>
          </w:p>
        </w:tc>
      </w:tr>
    </w:tbl>
    <w:p w14:paraId="65AC82F2" w14:textId="6DBB0CC7" w:rsidR="00A90E7E" w:rsidRDefault="00A90E7E" w:rsidP="00A90E7E">
      <w:pPr>
        <w:spacing w:line="480" w:lineRule="auto"/>
        <w:jc w:val="both"/>
        <w:rPr>
          <w:rFonts w:cs="Arial"/>
        </w:rPr>
      </w:pPr>
    </w:p>
    <w:p w14:paraId="60E7DB33" w14:textId="58E8AB37" w:rsidR="006D6139" w:rsidRDefault="006D6139" w:rsidP="006D6139">
      <w:pPr>
        <w:spacing w:line="480" w:lineRule="auto"/>
        <w:jc w:val="both"/>
        <w:rPr>
          <w:rFonts w:cs="Arial"/>
        </w:rPr>
      </w:pPr>
      <w:r w:rsidRPr="00A90E7E">
        <w:rPr>
          <w:rFonts w:cs="Arial"/>
        </w:rPr>
        <w:t xml:space="preserve">Storm induced iron transport out of Cell 6 was observed for low, moderate, high, and extreme storm classifications, yet the average mass transported per storm event averaged only (0.33kg/storm event).  Transport was at its maximum during the precipitation period for the low, high, and extreme storm events, while moderate storm events transported material during the storm event as well as after the event (Figure 3.11).  </w:t>
      </w:r>
    </w:p>
    <w:p w14:paraId="49F9C093" w14:textId="77777777" w:rsidR="00F71853" w:rsidRDefault="00F71853" w:rsidP="00CE1CC3">
      <w:pPr>
        <w:jc w:val="both"/>
        <w:rPr>
          <w:i/>
        </w:rPr>
      </w:pPr>
    </w:p>
    <w:p w14:paraId="3E40E12E" w14:textId="77777777" w:rsidR="00F71853" w:rsidRDefault="00F71853" w:rsidP="00CE1CC3">
      <w:pPr>
        <w:jc w:val="both"/>
        <w:rPr>
          <w:i/>
        </w:rPr>
      </w:pPr>
    </w:p>
    <w:p w14:paraId="4958EB56" w14:textId="4225C69A" w:rsidR="00CE1CC3" w:rsidRDefault="00CE1CC3" w:rsidP="00CE1CC3">
      <w:pPr>
        <w:jc w:val="both"/>
        <w:rPr>
          <w:i/>
        </w:rPr>
      </w:pPr>
      <w:r w:rsidRPr="000B6607">
        <w:rPr>
          <w:i/>
        </w:rPr>
        <w:lastRenderedPageBreak/>
        <w:t xml:space="preserve">Cell6: Average Storm-Induced Iron Transport Over Time </w:t>
      </w:r>
    </w:p>
    <w:p w14:paraId="73492BBD" w14:textId="77777777" w:rsidR="00CE1CC3" w:rsidRPr="000B6607" w:rsidRDefault="00CE1CC3" w:rsidP="00CE1CC3">
      <w:pPr>
        <w:jc w:val="both"/>
        <w:rPr>
          <w:rFonts w:cs="Arial"/>
          <w:i/>
        </w:rPr>
      </w:pPr>
    </w:p>
    <w:p w14:paraId="591FE845" w14:textId="70A14875" w:rsidR="00CE1CC3" w:rsidRDefault="00CE1CC3" w:rsidP="00CE1CC3">
      <w:pPr>
        <w:spacing w:line="480" w:lineRule="auto"/>
        <w:jc w:val="both"/>
        <w:rPr>
          <w:rFonts w:cs="Arial"/>
        </w:rPr>
      </w:pPr>
      <w:r>
        <w:rPr>
          <w:rFonts w:cs="Arial"/>
        </w:rPr>
        <w:t xml:space="preserve">Eleven storm induced iron transport profiles were collected at the effluent of the passive treatment system polishing surface flow wetland (C6out). The same rainfall intensity criteria that were applied to Cell 1, Cell 2N, and Cell 2S were also applied to C6Out (low, moderate, high, extreme). The seasonal flow rates used to calculate mass loadings for Cell 6 were determined from five years of flow measurements collected at the MRPTS weir (2009-2013). The short- term impact of rainfall events on the influent and effluent flow rates of the cell over a 30+hr period is negligible due to retention time of the passive treatment system (cells 1-5) exceeding the sample collection time increment. Seasonal flow rates measured at the MRPTS weir were used to adjust the influent and effluent mass loadings for Cell 6 based on assuming a steady state condition with respect to flow for acute storm events. The use of seasonal flow rates averaging three months of measurements is intended to correct for seasonality in mass loading as a chronic event. Table </w:t>
      </w:r>
      <w:r w:rsidR="00F71853">
        <w:rPr>
          <w:rFonts w:cs="Arial"/>
        </w:rPr>
        <w:t xml:space="preserve">3.13 </w:t>
      </w:r>
      <w:r>
        <w:rPr>
          <w:rFonts w:cs="Arial"/>
        </w:rPr>
        <w:t xml:space="preserve">is a summary of the average intensity, duration, and yield of storms sampled at C6Out as it relates to the average amount of iron export from MRPTS. </w:t>
      </w:r>
    </w:p>
    <w:p w14:paraId="072A8A43" w14:textId="7B17C11D" w:rsidR="00CE1CC3" w:rsidRDefault="00F71853" w:rsidP="00EB4E49">
      <w:pPr>
        <w:jc w:val="both"/>
        <w:rPr>
          <w:rFonts w:cs="Arial"/>
        </w:rPr>
      </w:pPr>
      <w:r w:rsidRPr="00F71853">
        <w:rPr>
          <w:rFonts w:cs="Arial"/>
          <w:sz w:val="20"/>
        </w:rPr>
        <w:t>Table 3.13</w:t>
      </w:r>
      <w:r w:rsidR="00CE1CC3" w:rsidRPr="00F71853">
        <w:rPr>
          <w:rFonts w:cs="Arial"/>
          <w:sz w:val="20"/>
        </w:rPr>
        <w:t>: Average Iron Mass Transport Based on Storm Intensity Classifications for Cell6</w:t>
      </w:r>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1260"/>
        <w:gridCol w:w="1080"/>
        <w:gridCol w:w="1080"/>
        <w:gridCol w:w="1260"/>
        <w:gridCol w:w="1440"/>
        <w:gridCol w:w="1080"/>
      </w:tblGrid>
      <w:tr w:rsidR="00CE1CC3" w:rsidRPr="005705F1" w14:paraId="5DB9912B" w14:textId="77777777" w:rsidTr="000B63E4">
        <w:trPr>
          <w:trHeight w:val="610"/>
        </w:trPr>
        <w:tc>
          <w:tcPr>
            <w:tcW w:w="1080" w:type="dxa"/>
            <w:tcBorders>
              <w:top w:val="single" w:sz="4" w:space="0" w:color="auto"/>
              <w:bottom w:val="double" w:sz="4" w:space="0" w:color="auto"/>
            </w:tcBorders>
            <w:vAlign w:val="center"/>
            <w:hideMark/>
          </w:tcPr>
          <w:p w14:paraId="0606ECDB" w14:textId="77777777" w:rsidR="00CE1CC3" w:rsidRPr="005705F1" w:rsidRDefault="00CE1CC3" w:rsidP="000B63E4">
            <w:pPr>
              <w:jc w:val="both"/>
              <w:rPr>
                <w:rFonts w:ascii="Calibri" w:hAnsi="Calibri" w:cs="Calibri"/>
                <w:color w:val="000000"/>
                <w:sz w:val="20"/>
                <w:szCs w:val="20"/>
              </w:rPr>
            </w:pPr>
            <w:r w:rsidRPr="005705F1">
              <w:rPr>
                <w:rFonts w:ascii="Calibri" w:hAnsi="Calibri" w:cs="Calibri"/>
                <w:color w:val="000000"/>
                <w:sz w:val="20"/>
                <w:szCs w:val="20"/>
              </w:rPr>
              <w:t>Intensity</w:t>
            </w:r>
          </w:p>
        </w:tc>
        <w:tc>
          <w:tcPr>
            <w:tcW w:w="1260" w:type="dxa"/>
            <w:tcBorders>
              <w:top w:val="single" w:sz="4" w:space="0" w:color="auto"/>
              <w:bottom w:val="double" w:sz="4" w:space="0" w:color="auto"/>
            </w:tcBorders>
            <w:vAlign w:val="center"/>
            <w:hideMark/>
          </w:tcPr>
          <w:p w14:paraId="52B95018" w14:textId="77777777" w:rsidR="00CE1CC3" w:rsidRPr="005705F1" w:rsidRDefault="00CE1CC3" w:rsidP="00F71853">
            <w:pPr>
              <w:jc w:val="center"/>
              <w:rPr>
                <w:rFonts w:ascii="Calibri" w:hAnsi="Calibri" w:cs="Calibri"/>
                <w:color w:val="000000"/>
                <w:sz w:val="20"/>
                <w:szCs w:val="20"/>
              </w:rPr>
            </w:pPr>
            <w:r w:rsidRPr="005705F1">
              <w:rPr>
                <w:rFonts w:ascii="Calibri" w:hAnsi="Calibri" w:cs="Calibri"/>
                <w:color w:val="000000"/>
                <w:sz w:val="20"/>
                <w:szCs w:val="20"/>
              </w:rPr>
              <w:t>Average Intensity ±σ (cm/</w:t>
            </w:r>
            <w:proofErr w:type="spellStart"/>
            <w:r w:rsidRPr="005705F1">
              <w:rPr>
                <w:rFonts w:ascii="Calibri" w:hAnsi="Calibri" w:cs="Calibri"/>
                <w:color w:val="000000"/>
                <w:sz w:val="20"/>
                <w:szCs w:val="20"/>
              </w:rPr>
              <w:t>hr</w:t>
            </w:r>
            <w:proofErr w:type="spellEnd"/>
            <w:r w:rsidRPr="005705F1">
              <w:rPr>
                <w:rFonts w:ascii="Calibri" w:hAnsi="Calibri" w:cs="Calibri"/>
                <w:color w:val="000000"/>
                <w:sz w:val="20"/>
                <w:szCs w:val="20"/>
              </w:rPr>
              <w:t>)</w:t>
            </w:r>
          </w:p>
        </w:tc>
        <w:tc>
          <w:tcPr>
            <w:tcW w:w="1080" w:type="dxa"/>
            <w:tcBorders>
              <w:top w:val="single" w:sz="4" w:space="0" w:color="auto"/>
              <w:bottom w:val="double" w:sz="4" w:space="0" w:color="auto"/>
            </w:tcBorders>
            <w:vAlign w:val="center"/>
            <w:hideMark/>
          </w:tcPr>
          <w:p w14:paraId="2A428DF3" w14:textId="77777777" w:rsidR="00CE1CC3" w:rsidRPr="005705F1" w:rsidRDefault="00CE1CC3" w:rsidP="00F71853">
            <w:pPr>
              <w:jc w:val="center"/>
              <w:rPr>
                <w:rFonts w:ascii="Calibri" w:hAnsi="Calibri" w:cs="Calibri"/>
                <w:color w:val="000000"/>
                <w:sz w:val="20"/>
                <w:szCs w:val="20"/>
              </w:rPr>
            </w:pPr>
            <w:r w:rsidRPr="005705F1">
              <w:rPr>
                <w:rFonts w:ascii="Calibri" w:hAnsi="Calibri" w:cs="Calibri"/>
                <w:color w:val="000000"/>
                <w:sz w:val="20"/>
                <w:szCs w:val="20"/>
              </w:rPr>
              <w:t>Average Duration ±σ (</w:t>
            </w:r>
            <w:proofErr w:type="spellStart"/>
            <w:r w:rsidRPr="005705F1">
              <w:rPr>
                <w:rFonts w:ascii="Calibri" w:hAnsi="Calibri" w:cs="Calibri"/>
                <w:color w:val="000000"/>
                <w:sz w:val="20"/>
                <w:szCs w:val="20"/>
              </w:rPr>
              <w:t>hrs</w:t>
            </w:r>
            <w:proofErr w:type="spellEnd"/>
            <w:r w:rsidRPr="005705F1">
              <w:rPr>
                <w:rFonts w:ascii="Calibri" w:hAnsi="Calibri" w:cs="Calibri"/>
                <w:color w:val="000000"/>
                <w:sz w:val="20"/>
                <w:szCs w:val="20"/>
              </w:rPr>
              <w:t>)</w:t>
            </w:r>
          </w:p>
        </w:tc>
        <w:tc>
          <w:tcPr>
            <w:tcW w:w="1080" w:type="dxa"/>
            <w:tcBorders>
              <w:top w:val="single" w:sz="4" w:space="0" w:color="auto"/>
              <w:bottom w:val="double" w:sz="4" w:space="0" w:color="auto"/>
            </w:tcBorders>
            <w:vAlign w:val="center"/>
          </w:tcPr>
          <w:p w14:paraId="564C65F6" w14:textId="77777777" w:rsidR="00CE1CC3" w:rsidRPr="005705F1" w:rsidRDefault="00CE1CC3" w:rsidP="00F71853">
            <w:pPr>
              <w:jc w:val="center"/>
              <w:rPr>
                <w:rFonts w:ascii="Calibri" w:hAnsi="Calibri" w:cs="Calibri"/>
                <w:color w:val="000000"/>
                <w:sz w:val="20"/>
                <w:szCs w:val="20"/>
              </w:rPr>
            </w:pPr>
            <w:r w:rsidRPr="005705F1">
              <w:rPr>
                <w:rFonts w:ascii="Calibri" w:hAnsi="Calibri" w:cs="Calibri"/>
                <w:color w:val="000000"/>
                <w:sz w:val="20"/>
                <w:szCs w:val="20"/>
              </w:rPr>
              <w:t>Average Yield ±σ (cm)</w:t>
            </w:r>
          </w:p>
        </w:tc>
        <w:tc>
          <w:tcPr>
            <w:tcW w:w="1260" w:type="dxa"/>
            <w:tcBorders>
              <w:top w:val="single" w:sz="4" w:space="0" w:color="auto"/>
              <w:bottom w:val="double" w:sz="4" w:space="0" w:color="auto"/>
            </w:tcBorders>
            <w:vAlign w:val="center"/>
            <w:hideMark/>
          </w:tcPr>
          <w:p w14:paraId="4BF08188" w14:textId="77777777" w:rsidR="00CE1CC3" w:rsidRPr="005705F1" w:rsidRDefault="00CE1CC3" w:rsidP="00F71853">
            <w:pPr>
              <w:jc w:val="center"/>
              <w:rPr>
                <w:rFonts w:ascii="Calibri" w:hAnsi="Calibri" w:cs="Calibri"/>
                <w:color w:val="000000"/>
                <w:sz w:val="20"/>
                <w:szCs w:val="20"/>
              </w:rPr>
            </w:pPr>
            <w:r w:rsidRPr="005705F1">
              <w:rPr>
                <w:rFonts w:ascii="Calibri" w:hAnsi="Calibri" w:cs="Calibri"/>
                <w:color w:val="000000"/>
                <w:sz w:val="20"/>
                <w:szCs w:val="20"/>
              </w:rPr>
              <w:t>Gross Fe Transport ±σ (kg)</w:t>
            </w:r>
          </w:p>
        </w:tc>
        <w:tc>
          <w:tcPr>
            <w:tcW w:w="1440" w:type="dxa"/>
            <w:tcBorders>
              <w:top w:val="single" w:sz="4" w:space="0" w:color="auto"/>
              <w:bottom w:val="double" w:sz="4" w:space="0" w:color="auto"/>
            </w:tcBorders>
            <w:vAlign w:val="center"/>
            <w:hideMark/>
          </w:tcPr>
          <w:p w14:paraId="64A61F36" w14:textId="77777777" w:rsidR="00CE1CC3" w:rsidRPr="005705F1" w:rsidRDefault="00CE1CC3" w:rsidP="00F71853">
            <w:pPr>
              <w:jc w:val="center"/>
              <w:rPr>
                <w:rFonts w:ascii="Calibri" w:hAnsi="Calibri" w:cs="Calibri"/>
                <w:color w:val="000000"/>
                <w:sz w:val="20"/>
                <w:szCs w:val="20"/>
              </w:rPr>
            </w:pPr>
            <w:r w:rsidRPr="005705F1">
              <w:rPr>
                <w:rFonts w:ascii="Calibri" w:hAnsi="Calibri" w:cs="Calibri"/>
                <w:color w:val="000000"/>
                <w:sz w:val="20"/>
                <w:szCs w:val="20"/>
              </w:rPr>
              <w:t>Net Fe Transport (kg)</w:t>
            </w:r>
          </w:p>
        </w:tc>
        <w:tc>
          <w:tcPr>
            <w:tcW w:w="1080" w:type="dxa"/>
            <w:tcBorders>
              <w:top w:val="single" w:sz="4" w:space="0" w:color="auto"/>
              <w:bottom w:val="double" w:sz="4" w:space="0" w:color="auto"/>
            </w:tcBorders>
            <w:vAlign w:val="center"/>
            <w:hideMark/>
          </w:tcPr>
          <w:p w14:paraId="54084E88" w14:textId="4F8643EE" w:rsidR="00CE1CC3" w:rsidRPr="005705F1" w:rsidRDefault="00CE1CC3" w:rsidP="00F71853">
            <w:pPr>
              <w:jc w:val="center"/>
              <w:rPr>
                <w:rFonts w:ascii="Calibri" w:hAnsi="Calibri" w:cs="Calibri"/>
                <w:color w:val="000000"/>
                <w:sz w:val="20"/>
                <w:szCs w:val="20"/>
              </w:rPr>
            </w:pPr>
            <w:r w:rsidRPr="005705F1">
              <w:rPr>
                <w:rFonts w:ascii="Calibri" w:hAnsi="Calibri" w:cs="Calibri"/>
                <w:color w:val="000000"/>
                <w:sz w:val="20"/>
                <w:szCs w:val="20"/>
              </w:rPr>
              <w:t xml:space="preserve">% of Total </w:t>
            </w:r>
            <w:r w:rsidR="00F71853">
              <w:rPr>
                <w:rFonts w:ascii="Calibri" w:hAnsi="Calibri" w:cs="Calibri"/>
                <w:color w:val="000000"/>
                <w:sz w:val="20"/>
                <w:szCs w:val="20"/>
              </w:rPr>
              <w:t>Export</w:t>
            </w:r>
          </w:p>
        </w:tc>
      </w:tr>
      <w:tr w:rsidR="00CE1CC3" w:rsidRPr="005705F1" w14:paraId="681CC923" w14:textId="77777777" w:rsidTr="000B63E4">
        <w:trPr>
          <w:trHeight w:val="315"/>
        </w:trPr>
        <w:tc>
          <w:tcPr>
            <w:tcW w:w="1080" w:type="dxa"/>
            <w:noWrap/>
            <w:vAlign w:val="center"/>
            <w:hideMark/>
          </w:tcPr>
          <w:p w14:paraId="33030FB0" w14:textId="77777777" w:rsidR="00CE1CC3" w:rsidRPr="003C5BA5" w:rsidRDefault="00CE1CC3" w:rsidP="000B63E4">
            <w:pPr>
              <w:jc w:val="both"/>
              <w:rPr>
                <w:rFonts w:ascii="Calibri" w:hAnsi="Calibri" w:cs="Calibri"/>
                <w:color w:val="000000"/>
                <w:sz w:val="18"/>
                <w:szCs w:val="20"/>
              </w:rPr>
            </w:pPr>
            <w:r>
              <w:rPr>
                <w:rFonts w:ascii="Calibri" w:hAnsi="Calibri" w:cs="Calibri"/>
                <w:color w:val="000000"/>
                <w:sz w:val="18"/>
                <w:szCs w:val="20"/>
              </w:rPr>
              <w:t xml:space="preserve">Low </w:t>
            </w:r>
            <w:r>
              <w:rPr>
                <w:rFonts w:ascii="Calibri" w:hAnsi="Calibri" w:cs="Calibri"/>
                <w:color w:val="000000"/>
                <w:sz w:val="18"/>
                <w:szCs w:val="20"/>
              </w:rPr>
              <w:br/>
              <w:t xml:space="preserve">   (n = 4</w:t>
            </w:r>
            <w:r w:rsidRPr="003C5BA5">
              <w:rPr>
                <w:rFonts w:ascii="Calibri" w:hAnsi="Calibri" w:cs="Calibri"/>
                <w:color w:val="000000"/>
                <w:sz w:val="18"/>
                <w:szCs w:val="20"/>
              </w:rPr>
              <w:t>)</w:t>
            </w:r>
          </w:p>
        </w:tc>
        <w:tc>
          <w:tcPr>
            <w:tcW w:w="1260" w:type="dxa"/>
            <w:noWrap/>
            <w:vAlign w:val="center"/>
          </w:tcPr>
          <w:p w14:paraId="177DB073"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0.63</w:t>
            </w:r>
            <w:r w:rsidRPr="003C5BA5">
              <w:rPr>
                <w:rFonts w:ascii="Calibri" w:hAnsi="Calibri" w:cs="Calibri"/>
                <w:color w:val="000000"/>
                <w:sz w:val="18"/>
                <w:szCs w:val="20"/>
              </w:rPr>
              <w:t xml:space="preserve"> ± 0.3</w:t>
            </w:r>
            <w:r>
              <w:rPr>
                <w:rFonts w:ascii="Calibri" w:hAnsi="Calibri" w:cs="Calibri"/>
                <w:color w:val="000000"/>
                <w:sz w:val="18"/>
                <w:szCs w:val="20"/>
              </w:rPr>
              <w:t>0</w:t>
            </w:r>
          </w:p>
        </w:tc>
        <w:tc>
          <w:tcPr>
            <w:tcW w:w="1080" w:type="dxa"/>
            <w:noWrap/>
            <w:vAlign w:val="center"/>
          </w:tcPr>
          <w:p w14:paraId="4BE6F9A1"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3.25</w:t>
            </w:r>
            <w:r w:rsidRPr="003C5BA5">
              <w:rPr>
                <w:rFonts w:ascii="Calibri" w:hAnsi="Calibri" w:cs="Calibri"/>
                <w:color w:val="000000"/>
                <w:sz w:val="18"/>
                <w:szCs w:val="20"/>
              </w:rPr>
              <w:t xml:space="preserve"> ± </w:t>
            </w:r>
            <w:r>
              <w:rPr>
                <w:rFonts w:ascii="Calibri" w:hAnsi="Calibri" w:cs="Calibri"/>
                <w:color w:val="000000"/>
                <w:sz w:val="18"/>
                <w:szCs w:val="20"/>
              </w:rPr>
              <w:t>2.65</w:t>
            </w:r>
          </w:p>
        </w:tc>
        <w:tc>
          <w:tcPr>
            <w:tcW w:w="1080" w:type="dxa"/>
            <w:vAlign w:val="center"/>
          </w:tcPr>
          <w:p w14:paraId="770364C2" w14:textId="77777777" w:rsidR="00CE1CC3" w:rsidRPr="003C5BA5" w:rsidRDefault="00CE1CC3" w:rsidP="00F71853">
            <w:pPr>
              <w:jc w:val="center"/>
              <w:rPr>
                <w:sz w:val="18"/>
                <w:szCs w:val="20"/>
              </w:rPr>
            </w:pPr>
            <w:r>
              <w:rPr>
                <w:rFonts w:ascii="Calibri" w:hAnsi="Calibri" w:cs="Calibri"/>
                <w:color w:val="000000"/>
                <w:sz w:val="18"/>
                <w:szCs w:val="20"/>
              </w:rPr>
              <w:t>0.91</w:t>
            </w:r>
            <w:r w:rsidRPr="003C5BA5">
              <w:rPr>
                <w:rFonts w:ascii="Calibri" w:hAnsi="Calibri" w:cs="Calibri"/>
                <w:color w:val="000000"/>
                <w:sz w:val="18"/>
                <w:szCs w:val="20"/>
              </w:rPr>
              <w:t xml:space="preserve"> ±0.</w:t>
            </w:r>
            <w:r>
              <w:rPr>
                <w:rFonts w:ascii="Calibri" w:hAnsi="Calibri" w:cs="Calibri"/>
                <w:color w:val="000000"/>
                <w:sz w:val="18"/>
                <w:szCs w:val="20"/>
              </w:rPr>
              <w:t>68</w:t>
            </w:r>
          </w:p>
        </w:tc>
        <w:tc>
          <w:tcPr>
            <w:tcW w:w="1260" w:type="dxa"/>
            <w:noWrap/>
            <w:vAlign w:val="center"/>
          </w:tcPr>
          <w:p w14:paraId="583D6D6C"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0.46</w:t>
            </w:r>
            <w:r w:rsidRPr="003C5BA5">
              <w:rPr>
                <w:rFonts w:ascii="Calibri" w:hAnsi="Calibri" w:cs="Calibri"/>
                <w:color w:val="000000"/>
                <w:sz w:val="18"/>
                <w:szCs w:val="20"/>
              </w:rPr>
              <w:t xml:space="preserve"> ±0.</w:t>
            </w:r>
            <w:r>
              <w:rPr>
                <w:rFonts w:ascii="Calibri" w:hAnsi="Calibri" w:cs="Calibri"/>
                <w:color w:val="000000"/>
                <w:sz w:val="18"/>
                <w:szCs w:val="20"/>
              </w:rPr>
              <w:t>36</w:t>
            </w:r>
          </w:p>
        </w:tc>
        <w:tc>
          <w:tcPr>
            <w:tcW w:w="1440" w:type="dxa"/>
            <w:noWrap/>
            <w:vAlign w:val="center"/>
          </w:tcPr>
          <w:p w14:paraId="479BA751"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0.35</w:t>
            </w:r>
            <w:r w:rsidRPr="003C5BA5">
              <w:rPr>
                <w:rFonts w:ascii="Calibri" w:hAnsi="Calibri" w:cs="Calibri"/>
                <w:color w:val="000000"/>
                <w:sz w:val="18"/>
                <w:szCs w:val="20"/>
              </w:rPr>
              <w:t xml:space="preserve"> ±0.</w:t>
            </w:r>
            <w:r>
              <w:rPr>
                <w:rFonts w:ascii="Calibri" w:hAnsi="Calibri" w:cs="Calibri"/>
                <w:color w:val="000000"/>
                <w:sz w:val="18"/>
                <w:szCs w:val="20"/>
              </w:rPr>
              <w:t>27</w:t>
            </w:r>
          </w:p>
        </w:tc>
        <w:tc>
          <w:tcPr>
            <w:tcW w:w="1080" w:type="dxa"/>
            <w:noWrap/>
            <w:vAlign w:val="center"/>
          </w:tcPr>
          <w:p w14:paraId="396EBB86"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75.3</w:t>
            </w:r>
            <w:r w:rsidRPr="003C5BA5">
              <w:rPr>
                <w:rFonts w:ascii="Calibri" w:hAnsi="Calibri" w:cs="Calibri"/>
                <w:color w:val="000000"/>
                <w:sz w:val="18"/>
                <w:szCs w:val="20"/>
              </w:rPr>
              <w:t>%</w:t>
            </w:r>
          </w:p>
        </w:tc>
      </w:tr>
      <w:tr w:rsidR="00CE1CC3" w:rsidRPr="005705F1" w14:paraId="7EA3240E" w14:textId="77777777" w:rsidTr="000B63E4">
        <w:trPr>
          <w:trHeight w:val="315"/>
        </w:trPr>
        <w:tc>
          <w:tcPr>
            <w:tcW w:w="1080" w:type="dxa"/>
            <w:noWrap/>
            <w:vAlign w:val="center"/>
            <w:hideMark/>
          </w:tcPr>
          <w:p w14:paraId="335D2C2A" w14:textId="77777777" w:rsidR="00CE1CC3" w:rsidRPr="003C5BA5" w:rsidRDefault="00CE1CC3" w:rsidP="000B63E4">
            <w:pPr>
              <w:jc w:val="both"/>
              <w:rPr>
                <w:rFonts w:ascii="Calibri" w:hAnsi="Calibri" w:cs="Calibri"/>
                <w:color w:val="000000"/>
                <w:sz w:val="18"/>
                <w:szCs w:val="20"/>
              </w:rPr>
            </w:pPr>
            <w:r>
              <w:rPr>
                <w:rFonts w:ascii="Calibri" w:hAnsi="Calibri" w:cs="Calibri"/>
                <w:color w:val="000000"/>
                <w:sz w:val="18"/>
                <w:szCs w:val="20"/>
              </w:rPr>
              <w:t>Moderate</w:t>
            </w:r>
            <w:r>
              <w:rPr>
                <w:rFonts w:ascii="Calibri" w:hAnsi="Calibri" w:cs="Calibri"/>
                <w:color w:val="000000"/>
                <w:sz w:val="18"/>
                <w:szCs w:val="20"/>
              </w:rPr>
              <w:br/>
              <w:t xml:space="preserve">   (n = 3</w:t>
            </w:r>
            <w:r w:rsidRPr="003C5BA5">
              <w:rPr>
                <w:rFonts w:ascii="Calibri" w:hAnsi="Calibri" w:cs="Calibri"/>
                <w:color w:val="000000"/>
                <w:sz w:val="18"/>
                <w:szCs w:val="20"/>
              </w:rPr>
              <w:t>)</w:t>
            </w:r>
          </w:p>
        </w:tc>
        <w:tc>
          <w:tcPr>
            <w:tcW w:w="1260" w:type="dxa"/>
            <w:noWrap/>
            <w:vAlign w:val="center"/>
          </w:tcPr>
          <w:p w14:paraId="1874290B"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1.11</w:t>
            </w:r>
            <w:r w:rsidRPr="003C5BA5">
              <w:rPr>
                <w:rFonts w:ascii="Calibri" w:hAnsi="Calibri" w:cs="Calibri"/>
                <w:color w:val="000000"/>
                <w:sz w:val="18"/>
                <w:szCs w:val="20"/>
              </w:rPr>
              <w:t xml:space="preserve"> ± 0.</w:t>
            </w:r>
            <w:r>
              <w:rPr>
                <w:rFonts w:ascii="Calibri" w:hAnsi="Calibri" w:cs="Calibri"/>
                <w:color w:val="000000"/>
                <w:sz w:val="18"/>
                <w:szCs w:val="20"/>
              </w:rPr>
              <w:t>31</w:t>
            </w:r>
          </w:p>
        </w:tc>
        <w:tc>
          <w:tcPr>
            <w:tcW w:w="1080" w:type="dxa"/>
            <w:noWrap/>
            <w:vAlign w:val="center"/>
          </w:tcPr>
          <w:p w14:paraId="3B57400C"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5.38</w:t>
            </w:r>
            <w:r w:rsidRPr="003C5BA5">
              <w:rPr>
                <w:rFonts w:ascii="Calibri" w:hAnsi="Calibri" w:cs="Calibri"/>
                <w:color w:val="000000"/>
                <w:sz w:val="18"/>
                <w:szCs w:val="20"/>
              </w:rPr>
              <w:t xml:space="preserve"> ± </w:t>
            </w:r>
            <w:r>
              <w:rPr>
                <w:rFonts w:ascii="Calibri" w:hAnsi="Calibri" w:cs="Calibri"/>
                <w:color w:val="000000"/>
                <w:sz w:val="18"/>
                <w:szCs w:val="20"/>
              </w:rPr>
              <w:t>3.49</w:t>
            </w:r>
          </w:p>
        </w:tc>
        <w:tc>
          <w:tcPr>
            <w:tcW w:w="1080" w:type="dxa"/>
            <w:vAlign w:val="center"/>
          </w:tcPr>
          <w:p w14:paraId="1D40D6EA" w14:textId="77777777" w:rsidR="00CE1CC3" w:rsidRPr="003C5BA5" w:rsidRDefault="00CE1CC3" w:rsidP="00F71853">
            <w:pPr>
              <w:jc w:val="center"/>
              <w:rPr>
                <w:sz w:val="18"/>
                <w:szCs w:val="20"/>
              </w:rPr>
            </w:pPr>
            <w:r>
              <w:rPr>
                <w:rFonts w:ascii="Calibri" w:hAnsi="Calibri" w:cs="Calibri"/>
                <w:color w:val="000000"/>
                <w:sz w:val="18"/>
                <w:szCs w:val="20"/>
              </w:rPr>
              <w:t>2.02</w:t>
            </w:r>
            <w:r w:rsidRPr="003C5BA5">
              <w:rPr>
                <w:rFonts w:ascii="Calibri" w:hAnsi="Calibri" w:cs="Calibri"/>
                <w:color w:val="000000"/>
                <w:sz w:val="18"/>
                <w:szCs w:val="20"/>
              </w:rPr>
              <w:t xml:space="preserve"> ±</w:t>
            </w:r>
            <w:r>
              <w:rPr>
                <w:rFonts w:ascii="Calibri" w:hAnsi="Calibri" w:cs="Calibri"/>
                <w:color w:val="000000"/>
                <w:sz w:val="18"/>
                <w:szCs w:val="20"/>
              </w:rPr>
              <w:t>1.04</w:t>
            </w:r>
          </w:p>
        </w:tc>
        <w:tc>
          <w:tcPr>
            <w:tcW w:w="1260" w:type="dxa"/>
            <w:noWrap/>
            <w:vAlign w:val="center"/>
          </w:tcPr>
          <w:p w14:paraId="5B819E95"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0.70</w:t>
            </w:r>
            <w:r w:rsidRPr="003C5BA5">
              <w:rPr>
                <w:rFonts w:ascii="Calibri" w:hAnsi="Calibri" w:cs="Calibri"/>
                <w:color w:val="000000"/>
                <w:sz w:val="18"/>
                <w:szCs w:val="20"/>
              </w:rPr>
              <w:t xml:space="preserve"> ±</w:t>
            </w:r>
            <w:r>
              <w:rPr>
                <w:rFonts w:ascii="Calibri" w:hAnsi="Calibri" w:cs="Calibri"/>
                <w:color w:val="000000"/>
                <w:sz w:val="18"/>
                <w:szCs w:val="20"/>
              </w:rPr>
              <w:t>0.20</w:t>
            </w:r>
          </w:p>
        </w:tc>
        <w:tc>
          <w:tcPr>
            <w:tcW w:w="1440" w:type="dxa"/>
            <w:noWrap/>
            <w:vAlign w:val="center"/>
          </w:tcPr>
          <w:p w14:paraId="16AD9039"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0.50</w:t>
            </w:r>
            <w:r w:rsidRPr="003C5BA5">
              <w:rPr>
                <w:rFonts w:ascii="Calibri" w:hAnsi="Calibri" w:cs="Calibri"/>
                <w:color w:val="000000"/>
                <w:sz w:val="18"/>
                <w:szCs w:val="20"/>
              </w:rPr>
              <w:t xml:space="preserve"> ±0.</w:t>
            </w:r>
            <w:r>
              <w:rPr>
                <w:rFonts w:ascii="Calibri" w:hAnsi="Calibri" w:cs="Calibri"/>
                <w:color w:val="000000"/>
                <w:sz w:val="18"/>
                <w:szCs w:val="20"/>
              </w:rPr>
              <w:t>27</w:t>
            </w:r>
          </w:p>
        </w:tc>
        <w:tc>
          <w:tcPr>
            <w:tcW w:w="1080" w:type="dxa"/>
            <w:noWrap/>
            <w:vAlign w:val="center"/>
          </w:tcPr>
          <w:p w14:paraId="1B82A93C"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65.9</w:t>
            </w:r>
            <w:r w:rsidRPr="003C5BA5">
              <w:rPr>
                <w:rFonts w:ascii="Calibri" w:hAnsi="Calibri" w:cs="Calibri"/>
                <w:color w:val="000000"/>
                <w:sz w:val="18"/>
                <w:szCs w:val="20"/>
              </w:rPr>
              <w:t>%</w:t>
            </w:r>
          </w:p>
        </w:tc>
      </w:tr>
      <w:tr w:rsidR="00CE1CC3" w:rsidRPr="005705F1" w14:paraId="5EAB818E" w14:textId="77777777" w:rsidTr="000B63E4">
        <w:trPr>
          <w:trHeight w:val="315"/>
        </w:trPr>
        <w:tc>
          <w:tcPr>
            <w:tcW w:w="1080" w:type="dxa"/>
            <w:noWrap/>
            <w:vAlign w:val="center"/>
            <w:hideMark/>
          </w:tcPr>
          <w:p w14:paraId="53AB354E" w14:textId="77777777" w:rsidR="00CE1CC3" w:rsidRPr="003C5BA5" w:rsidRDefault="00CE1CC3" w:rsidP="000B63E4">
            <w:pPr>
              <w:jc w:val="both"/>
              <w:rPr>
                <w:rFonts w:ascii="Calibri" w:hAnsi="Calibri" w:cs="Calibri"/>
                <w:color w:val="000000"/>
                <w:sz w:val="18"/>
                <w:szCs w:val="20"/>
              </w:rPr>
            </w:pPr>
            <w:r w:rsidRPr="003C5BA5">
              <w:rPr>
                <w:rFonts w:ascii="Calibri" w:hAnsi="Calibri" w:cs="Calibri"/>
                <w:color w:val="000000"/>
                <w:sz w:val="18"/>
                <w:szCs w:val="20"/>
              </w:rPr>
              <w:t xml:space="preserve">High </w:t>
            </w:r>
            <w:r w:rsidRPr="003C5BA5">
              <w:rPr>
                <w:rFonts w:ascii="Calibri" w:hAnsi="Calibri" w:cs="Calibri"/>
                <w:color w:val="000000"/>
                <w:sz w:val="18"/>
                <w:szCs w:val="20"/>
              </w:rPr>
              <w:br/>
              <w:t xml:space="preserve">   (n = 3)</w:t>
            </w:r>
          </w:p>
        </w:tc>
        <w:tc>
          <w:tcPr>
            <w:tcW w:w="1260" w:type="dxa"/>
            <w:noWrap/>
            <w:vAlign w:val="center"/>
          </w:tcPr>
          <w:p w14:paraId="6A28D3DD"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1.64 ± 0.37</w:t>
            </w:r>
          </w:p>
        </w:tc>
        <w:tc>
          <w:tcPr>
            <w:tcW w:w="1080" w:type="dxa"/>
            <w:noWrap/>
            <w:vAlign w:val="center"/>
          </w:tcPr>
          <w:p w14:paraId="3B54C005"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4.75</w:t>
            </w:r>
            <w:r w:rsidRPr="003C5BA5">
              <w:rPr>
                <w:rFonts w:ascii="Calibri" w:hAnsi="Calibri" w:cs="Calibri"/>
                <w:color w:val="000000"/>
                <w:sz w:val="18"/>
                <w:szCs w:val="20"/>
              </w:rPr>
              <w:t xml:space="preserve"> ± </w:t>
            </w:r>
            <w:r>
              <w:rPr>
                <w:rFonts w:ascii="Calibri" w:hAnsi="Calibri" w:cs="Calibri"/>
                <w:color w:val="000000"/>
                <w:sz w:val="18"/>
                <w:szCs w:val="20"/>
              </w:rPr>
              <w:t>3.50</w:t>
            </w:r>
          </w:p>
        </w:tc>
        <w:tc>
          <w:tcPr>
            <w:tcW w:w="1080" w:type="dxa"/>
            <w:vAlign w:val="center"/>
          </w:tcPr>
          <w:p w14:paraId="3D574786" w14:textId="77777777" w:rsidR="00CE1CC3" w:rsidRPr="003C5BA5" w:rsidRDefault="00CE1CC3" w:rsidP="00F71853">
            <w:pPr>
              <w:spacing w:after="160"/>
              <w:jc w:val="center"/>
              <w:rPr>
                <w:rFonts w:ascii="Calibri" w:hAnsi="Calibri" w:cs="Calibri"/>
                <w:color w:val="000000"/>
                <w:sz w:val="18"/>
                <w:szCs w:val="20"/>
              </w:rPr>
            </w:pPr>
            <w:r>
              <w:rPr>
                <w:rFonts w:ascii="Calibri" w:hAnsi="Calibri" w:cs="Calibri"/>
                <w:color w:val="000000"/>
                <w:sz w:val="18"/>
                <w:szCs w:val="20"/>
              </w:rPr>
              <w:t>1.89 ± 1.30</w:t>
            </w:r>
          </w:p>
        </w:tc>
        <w:tc>
          <w:tcPr>
            <w:tcW w:w="1260" w:type="dxa"/>
            <w:noWrap/>
            <w:vAlign w:val="center"/>
          </w:tcPr>
          <w:p w14:paraId="585FB300"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0.61</w:t>
            </w:r>
            <w:r w:rsidRPr="003C5BA5">
              <w:rPr>
                <w:rFonts w:ascii="Calibri" w:hAnsi="Calibri" w:cs="Calibri"/>
                <w:color w:val="000000"/>
                <w:sz w:val="18"/>
                <w:szCs w:val="20"/>
              </w:rPr>
              <w:t xml:space="preserve"> ± 0.</w:t>
            </w:r>
            <w:r>
              <w:rPr>
                <w:rFonts w:ascii="Calibri" w:hAnsi="Calibri" w:cs="Calibri"/>
                <w:color w:val="000000"/>
                <w:sz w:val="18"/>
                <w:szCs w:val="20"/>
              </w:rPr>
              <w:t>30</w:t>
            </w:r>
          </w:p>
        </w:tc>
        <w:tc>
          <w:tcPr>
            <w:tcW w:w="1440" w:type="dxa"/>
            <w:noWrap/>
            <w:vAlign w:val="center"/>
          </w:tcPr>
          <w:p w14:paraId="6A62E03D"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0.43</w:t>
            </w:r>
            <w:r w:rsidRPr="003C5BA5">
              <w:rPr>
                <w:rFonts w:ascii="Calibri" w:hAnsi="Calibri" w:cs="Calibri"/>
                <w:color w:val="000000"/>
                <w:sz w:val="18"/>
                <w:szCs w:val="20"/>
              </w:rPr>
              <w:t xml:space="preserve"> ± 0</w:t>
            </w:r>
            <w:r>
              <w:rPr>
                <w:rFonts w:ascii="Calibri" w:hAnsi="Calibri" w:cs="Calibri"/>
                <w:color w:val="000000"/>
                <w:sz w:val="18"/>
                <w:szCs w:val="20"/>
              </w:rPr>
              <w:t>.36</w:t>
            </w:r>
          </w:p>
        </w:tc>
        <w:tc>
          <w:tcPr>
            <w:tcW w:w="1080" w:type="dxa"/>
            <w:noWrap/>
            <w:vAlign w:val="center"/>
          </w:tcPr>
          <w:p w14:paraId="6E416ACF"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60.4</w:t>
            </w:r>
            <w:r w:rsidRPr="003C5BA5">
              <w:rPr>
                <w:rFonts w:ascii="Calibri" w:hAnsi="Calibri" w:cs="Calibri"/>
                <w:color w:val="000000"/>
                <w:sz w:val="18"/>
                <w:szCs w:val="20"/>
              </w:rPr>
              <w:t>%</w:t>
            </w:r>
          </w:p>
        </w:tc>
      </w:tr>
      <w:tr w:rsidR="00CE1CC3" w:rsidRPr="005705F1" w14:paraId="1CBA7CF9" w14:textId="77777777" w:rsidTr="000B63E4">
        <w:trPr>
          <w:trHeight w:val="315"/>
        </w:trPr>
        <w:tc>
          <w:tcPr>
            <w:tcW w:w="1080" w:type="dxa"/>
            <w:tcBorders>
              <w:bottom w:val="single" w:sz="4" w:space="0" w:color="auto"/>
            </w:tcBorders>
            <w:noWrap/>
            <w:vAlign w:val="center"/>
          </w:tcPr>
          <w:p w14:paraId="74961640" w14:textId="77777777" w:rsidR="00CE1CC3" w:rsidRPr="003C5BA5" w:rsidRDefault="00CE1CC3" w:rsidP="000B63E4">
            <w:pPr>
              <w:jc w:val="both"/>
              <w:rPr>
                <w:rFonts w:ascii="Calibri" w:hAnsi="Calibri" w:cs="Calibri"/>
                <w:color w:val="000000"/>
                <w:sz w:val="18"/>
                <w:szCs w:val="20"/>
              </w:rPr>
            </w:pPr>
            <w:r w:rsidRPr="003C5BA5">
              <w:rPr>
                <w:rFonts w:ascii="Calibri" w:hAnsi="Calibri" w:cs="Calibri"/>
                <w:color w:val="000000"/>
                <w:sz w:val="18"/>
                <w:szCs w:val="20"/>
              </w:rPr>
              <w:t>Extreme</w:t>
            </w:r>
            <w:r w:rsidRPr="003C5BA5">
              <w:rPr>
                <w:rFonts w:ascii="Calibri" w:hAnsi="Calibri" w:cs="Calibri"/>
                <w:color w:val="000000"/>
                <w:sz w:val="18"/>
                <w:szCs w:val="20"/>
              </w:rPr>
              <w:br/>
              <w:t xml:space="preserve">   (n = 1)</w:t>
            </w:r>
          </w:p>
        </w:tc>
        <w:tc>
          <w:tcPr>
            <w:tcW w:w="1260" w:type="dxa"/>
            <w:tcBorders>
              <w:bottom w:val="single" w:sz="4" w:space="0" w:color="auto"/>
            </w:tcBorders>
            <w:noWrap/>
            <w:vAlign w:val="center"/>
          </w:tcPr>
          <w:p w14:paraId="3CE08425"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2.20</w:t>
            </w:r>
          </w:p>
        </w:tc>
        <w:tc>
          <w:tcPr>
            <w:tcW w:w="1080" w:type="dxa"/>
            <w:tcBorders>
              <w:bottom w:val="single" w:sz="4" w:space="0" w:color="auto"/>
            </w:tcBorders>
            <w:noWrap/>
            <w:vAlign w:val="center"/>
          </w:tcPr>
          <w:p w14:paraId="0C3A52B1"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3.05</w:t>
            </w:r>
          </w:p>
        </w:tc>
        <w:tc>
          <w:tcPr>
            <w:tcW w:w="1080" w:type="dxa"/>
            <w:tcBorders>
              <w:bottom w:val="single" w:sz="4" w:space="0" w:color="auto"/>
            </w:tcBorders>
            <w:vAlign w:val="center"/>
          </w:tcPr>
          <w:p w14:paraId="3482FC36"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2.87</w:t>
            </w:r>
          </w:p>
        </w:tc>
        <w:tc>
          <w:tcPr>
            <w:tcW w:w="1260" w:type="dxa"/>
            <w:tcBorders>
              <w:bottom w:val="single" w:sz="4" w:space="0" w:color="auto"/>
            </w:tcBorders>
            <w:noWrap/>
            <w:vAlign w:val="center"/>
          </w:tcPr>
          <w:p w14:paraId="20126807"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0.378</w:t>
            </w:r>
          </w:p>
        </w:tc>
        <w:tc>
          <w:tcPr>
            <w:tcW w:w="1440" w:type="dxa"/>
            <w:tcBorders>
              <w:bottom w:val="single" w:sz="4" w:space="0" w:color="auto"/>
            </w:tcBorders>
            <w:noWrap/>
            <w:vAlign w:val="center"/>
          </w:tcPr>
          <w:p w14:paraId="7D2DA829" w14:textId="77777777" w:rsidR="00CE1CC3" w:rsidRPr="003C5BA5" w:rsidRDefault="00CE1CC3" w:rsidP="00F71853">
            <w:pPr>
              <w:jc w:val="center"/>
              <w:rPr>
                <w:rFonts w:ascii="Calibri" w:hAnsi="Calibri" w:cs="Calibri"/>
                <w:color w:val="000000"/>
                <w:sz w:val="18"/>
                <w:szCs w:val="20"/>
              </w:rPr>
            </w:pPr>
            <w:r>
              <w:rPr>
                <w:rFonts w:ascii="Calibri" w:hAnsi="Calibri" w:cs="Calibri"/>
                <w:color w:val="000000"/>
                <w:sz w:val="18"/>
                <w:szCs w:val="20"/>
              </w:rPr>
              <w:t>0.277</w:t>
            </w:r>
          </w:p>
        </w:tc>
        <w:tc>
          <w:tcPr>
            <w:tcW w:w="1080" w:type="dxa"/>
            <w:tcBorders>
              <w:bottom w:val="single" w:sz="4" w:space="0" w:color="auto"/>
            </w:tcBorders>
            <w:noWrap/>
            <w:vAlign w:val="center"/>
          </w:tcPr>
          <w:p w14:paraId="5B992202" w14:textId="77777777" w:rsidR="00CE1CC3" w:rsidRPr="003C5BA5" w:rsidRDefault="00CE1CC3" w:rsidP="00F71853">
            <w:pPr>
              <w:ind w:left="49"/>
              <w:jc w:val="center"/>
              <w:rPr>
                <w:rFonts w:ascii="Calibri" w:hAnsi="Calibri" w:cs="Calibri"/>
                <w:color w:val="000000"/>
                <w:sz w:val="18"/>
                <w:szCs w:val="20"/>
              </w:rPr>
            </w:pPr>
            <w:r>
              <w:rPr>
                <w:rFonts w:ascii="Calibri" w:hAnsi="Calibri" w:cs="Calibri"/>
                <w:color w:val="000000"/>
                <w:sz w:val="18"/>
                <w:szCs w:val="20"/>
              </w:rPr>
              <w:t>65.1</w:t>
            </w:r>
            <w:r w:rsidRPr="003C5BA5">
              <w:rPr>
                <w:rFonts w:ascii="Calibri" w:hAnsi="Calibri" w:cs="Calibri"/>
                <w:color w:val="000000"/>
                <w:sz w:val="18"/>
                <w:szCs w:val="20"/>
              </w:rPr>
              <w:t>%</w:t>
            </w:r>
          </w:p>
        </w:tc>
      </w:tr>
    </w:tbl>
    <w:p w14:paraId="3959128E" w14:textId="77777777" w:rsidR="00CE1CC3" w:rsidRPr="002C0F3B" w:rsidRDefault="00CE1CC3" w:rsidP="00CE1CC3">
      <w:pPr>
        <w:spacing w:line="480" w:lineRule="auto"/>
        <w:jc w:val="both"/>
        <w:rPr>
          <w:rFonts w:cs="Arial"/>
          <w:sz w:val="4"/>
        </w:rPr>
      </w:pPr>
    </w:p>
    <w:p w14:paraId="2929B0F9" w14:textId="6A91A990" w:rsidR="00CE1CC3" w:rsidRPr="00D85C71" w:rsidRDefault="00CE1CC3" w:rsidP="00CE1CC3">
      <w:pPr>
        <w:spacing w:line="480" w:lineRule="auto"/>
        <w:jc w:val="both"/>
        <w:rPr>
          <w:rFonts w:cs="Arial"/>
        </w:rPr>
      </w:pPr>
      <w:r>
        <w:rPr>
          <w:rFonts w:cs="Arial"/>
        </w:rPr>
        <w:t xml:space="preserve">Storms were observed to transport iron above the baseline value for all four storm intensities. The average amount of iron transported out of </w:t>
      </w:r>
      <w:r w:rsidRPr="00C124B9">
        <w:rPr>
          <w:rFonts w:cs="Arial"/>
        </w:rPr>
        <w:t>Cell</w:t>
      </w:r>
      <w:r>
        <w:rPr>
          <w:rFonts w:cs="Arial"/>
        </w:rPr>
        <w:t>6</w:t>
      </w:r>
      <w:r w:rsidRPr="00C124B9">
        <w:rPr>
          <w:rFonts w:cs="Arial"/>
        </w:rPr>
        <w:t xml:space="preserve"> is </w:t>
      </w:r>
      <w:r>
        <w:rPr>
          <w:rFonts w:cs="Arial"/>
        </w:rPr>
        <w:t>0.54</w:t>
      </w:r>
      <w:r w:rsidRPr="00C124B9">
        <w:rPr>
          <w:rFonts w:cs="Calibri"/>
        </w:rPr>
        <w:t>±</w:t>
      </w:r>
      <w:r w:rsidRPr="00C124B9">
        <w:rPr>
          <w:rFonts w:cs="Arial"/>
        </w:rPr>
        <w:t>0.</w:t>
      </w:r>
      <w:r>
        <w:rPr>
          <w:rFonts w:cs="Arial"/>
        </w:rPr>
        <w:t>15</w:t>
      </w:r>
      <w:r w:rsidRPr="00C124B9">
        <w:rPr>
          <w:rFonts w:cs="Arial"/>
        </w:rPr>
        <w:t xml:space="preserve"> kg/storm for all</w:t>
      </w:r>
      <w:r>
        <w:rPr>
          <w:rFonts w:cs="Arial"/>
        </w:rPr>
        <w:t xml:space="preserve"> storms </w:t>
      </w:r>
      <w:r>
        <w:rPr>
          <w:rFonts w:cs="Arial"/>
        </w:rPr>
        <w:lastRenderedPageBreak/>
        <w:t>sampled, of which 66.7</w:t>
      </w:r>
      <w:r>
        <w:rPr>
          <w:rFonts w:cs="Calibri"/>
        </w:rPr>
        <w:t>±</w:t>
      </w:r>
      <w:r w:rsidR="00F71853">
        <w:rPr>
          <w:rFonts w:cs="Arial"/>
        </w:rPr>
        <w:t>6.3% of the material transported during the mean storm event</w:t>
      </w:r>
      <w:r>
        <w:rPr>
          <w:rFonts w:cs="Arial"/>
        </w:rPr>
        <w:t xml:space="preserve"> (n = 11) of the transported iron is due to storm disturbance for individual storms.  There is no apparent quantitative relationship between storm intensity and the amount of mass transport of iron</w:t>
      </w:r>
      <w:r w:rsidRPr="00D85C71">
        <w:rPr>
          <w:rFonts w:cs="Arial"/>
        </w:rPr>
        <w:t>.  A storm event of any intensity exceeding 0.25 cm/h exports iron out of Cell6 (less than 0.50 kg of Fe per storm; see T</w:t>
      </w:r>
      <w:r w:rsidR="00F71853">
        <w:rPr>
          <w:rFonts w:cs="Arial"/>
        </w:rPr>
        <w:t>able 3.13</w:t>
      </w:r>
      <w:r w:rsidRPr="00D85C71">
        <w:rPr>
          <w:rFonts w:cs="Arial"/>
        </w:rPr>
        <w:t>). Average individual storm transport of iron is statistically significant with respect to baseline transport based on the one</w:t>
      </w:r>
      <w:r>
        <w:rPr>
          <w:rFonts w:cs="Arial"/>
        </w:rPr>
        <w:t>-</w:t>
      </w:r>
      <w:r w:rsidRPr="00D85C71">
        <w:rPr>
          <w:rFonts w:cs="Arial"/>
        </w:rPr>
        <w:t xml:space="preserve">tailed </w:t>
      </w:r>
      <w:r>
        <w:rPr>
          <w:rFonts w:cs="Arial"/>
        </w:rPr>
        <w:t>S</w:t>
      </w:r>
      <w:r w:rsidRPr="00D85C71">
        <w:rPr>
          <w:rFonts w:cs="Arial"/>
        </w:rPr>
        <w:t>tudent</w:t>
      </w:r>
      <w:r>
        <w:rPr>
          <w:rFonts w:cs="Arial"/>
        </w:rPr>
        <w:t>’s</w:t>
      </w:r>
      <w:r w:rsidRPr="00D85C71">
        <w:rPr>
          <w:rFonts w:cs="Arial"/>
        </w:rPr>
        <w:t xml:space="preserve"> t test (</w:t>
      </w:r>
      <w:r w:rsidRPr="00D85C71">
        <w:rPr>
          <w:rFonts w:cs="Calibri"/>
        </w:rPr>
        <w:t>α</w:t>
      </w:r>
      <w:r w:rsidRPr="00D85C71">
        <w:rPr>
          <w:rFonts w:cs="Arial"/>
        </w:rPr>
        <w:t>=0.05; 2.26 t stat; 1.78 t Critical).</w:t>
      </w:r>
    </w:p>
    <w:p w14:paraId="3F76FCB3" w14:textId="77777777" w:rsidR="00CE1CC3" w:rsidRDefault="00CE1CC3" w:rsidP="00CE1CC3">
      <w:pPr>
        <w:spacing w:line="240" w:lineRule="auto"/>
        <w:jc w:val="both"/>
        <w:rPr>
          <w:rFonts w:cs="Arial"/>
          <w:sz w:val="20"/>
        </w:rPr>
      </w:pPr>
      <w:r w:rsidRPr="0085448A">
        <w:rPr>
          <w:noProof/>
        </w:rPr>
        <w:drawing>
          <wp:inline distT="0" distB="0" distL="0" distR="0" wp14:anchorId="4ACF2E60" wp14:editId="28EB9028">
            <wp:extent cx="5257800" cy="2571750"/>
            <wp:effectExtent l="0" t="0" r="0" b="0"/>
            <wp:docPr id="239" name="Chart 2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2C93A5D" w14:textId="74DA3CEF" w:rsidR="00CE1CC3" w:rsidRPr="00411456" w:rsidRDefault="00CE1CC3" w:rsidP="00CE1CC3">
      <w:pPr>
        <w:spacing w:line="240" w:lineRule="auto"/>
        <w:jc w:val="both"/>
        <w:rPr>
          <w:rFonts w:cs="Arial"/>
          <w:sz w:val="20"/>
        </w:rPr>
      </w:pPr>
      <w:r w:rsidRPr="00411456">
        <w:rPr>
          <w:rFonts w:cs="Arial"/>
          <w:sz w:val="20"/>
        </w:rPr>
        <w:t>Figure</w:t>
      </w:r>
      <w:r>
        <w:rPr>
          <w:rFonts w:cs="Arial"/>
          <w:sz w:val="20"/>
        </w:rPr>
        <w:t xml:space="preserve"> </w:t>
      </w:r>
      <w:r w:rsidR="00F71853">
        <w:rPr>
          <w:rFonts w:cs="Arial"/>
          <w:sz w:val="20"/>
        </w:rPr>
        <w:t>3.17</w:t>
      </w:r>
      <w:r w:rsidRPr="00411456">
        <w:rPr>
          <w:rFonts w:cs="Arial"/>
          <w:sz w:val="20"/>
        </w:rPr>
        <w:t>: Monthly storm induced iron transport distribution over the three-year period of the storm tra</w:t>
      </w:r>
      <w:r>
        <w:rPr>
          <w:rFonts w:cs="Arial"/>
          <w:sz w:val="20"/>
        </w:rPr>
        <w:t>nsport profile data collection for Cell6</w:t>
      </w:r>
      <w:r w:rsidRPr="00411456">
        <w:rPr>
          <w:rFonts w:cs="Arial"/>
          <w:sz w:val="20"/>
        </w:rPr>
        <w:t xml:space="preserve"> </w:t>
      </w:r>
    </w:p>
    <w:p w14:paraId="0CD0EBBD" w14:textId="77777777" w:rsidR="00CE1CC3" w:rsidRPr="00631A43" w:rsidRDefault="00CE1CC3" w:rsidP="00CE1CC3">
      <w:pPr>
        <w:spacing w:line="240" w:lineRule="auto"/>
        <w:jc w:val="both"/>
        <w:rPr>
          <w:rFonts w:cs="Arial"/>
          <w:sz w:val="20"/>
        </w:rPr>
      </w:pPr>
    </w:p>
    <w:p w14:paraId="45F05EFE" w14:textId="490A3349" w:rsidR="00CE1CC3" w:rsidRPr="00C00762" w:rsidRDefault="00CE1CC3" w:rsidP="00CE1CC3">
      <w:pPr>
        <w:spacing w:line="480" w:lineRule="auto"/>
        <w:jc w:val="both"/>
        <w:rPr>
          <w:rFonts w:cs="Arial"/>
        </w:rPr>
      </w:pPr>
      <w:r w:rsidRPr="001F37E8">
        <w:rPr>
          <w:rFonts w:cs="Arial"/>
        </w:rPr>
        <w:t>The positive</w:t>
      </w:r>
      <w:r>
        <w:rPr>
          <w:rFonts w:cs="Arial"/>
        </w:rPr>
        <w:t xml:space="preserve"> linear correlation between monthly storm induced mass transport of iron out of Cell 6 and the average frequency of storms each month for 2011-2013 (y=2.54x+1.54; r</w:t>
      </w:r>
      <w:r w:rsidRPr="002B7B87">
        <w:rPr>
          <w:rFonts w:cs="Arial"/>
          <w:vertAlign w:val="superscript"/>
        </w:rPr>
        <w:t>2</w:t>
      </w:r>
      <w:r>
        <w:rPr>
          <w:rFonts w:cs="Arial"/>
        </w:rPr>
        <w:t xml:space="preserve"> = 0.9111) supports the statement that the quantity of material being exported above baseline is dependent on storm frequency rather than storm intensity. Low intensity storms transported the largest quantity of iron consistently each season over the higher intensity events (Figure </w:t>
      </w:r>
      <w:r w:rsidR="00F71853">
        <w:rPr>
          <w:rFonts w:cs="Arial"/>
        </w:rPr>
        <w:t>3.17</w:t>
      </w:r>
      <w:r>
        <w:rPr>
          <w:rFonts w:cs="Arial"/>
        </w:rPr>
        <w:t xml:space="preserve">). As there are nearly six times as many low intensity storms than moderate and high, and three times as many as the extreme events; the small quantity of iron </w:t>
      </w:r>
      <w:r>
        <w:rPr>
          <w:rFonts w:cs="Arial"/>
        </w:rPr>
        <w:lastRenderedPageBreak/>
        <w:t xml:space="preserve">transported for individual events is additive resulting in the largest contribution with increasing time. </w:t>
      </w:r>
    </w:p>
    <w:p w14:paraId="31790BFE" w14:textId="77777777" w:rsidR="00CE1CC3" w:rsidRDefault="00CE1CC3" w:rsidP="00CE1CC3">
      <w:pPr>
        <w:spacing w:line="240" w:lineRule="auto"/>
        <w:jc w:val="both"/>
        <w:rPr>
          <w:rFonts w:cs="Arial"/>
          <w:sz w:val="20"/>
        </w:rPr>
      </w:pPr>
      <w:r w:rsidRPr="0085448A">
        <w:rPr>
          <w:noProof/>
        </w:rPr>
        <w:drawing>
          <wp:inline distT="0" distB="0" distL="0" distR="0" wp14:anchorId="041756D4" wp14:editId="0E6AA6E9">
            <wp:extent cx="5257800" cy="3886200"/>
            <wp:effectExtent l="0" t="0" r="0" b="0"/>
            <wp:docPr id="238" name="Chart 2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BCDE153" w14:textId="133B4FAD" w:rsidR="00CE1CC3" w:rsidRDefault="00CE1CC3" w:rsidP="00CE1CC3">
      <w:pPr>
        <w:spacing w:line="240" w:lineRule="auto"/>
        <w:jc w:val="both"/>
        <w:rPr>
          <w:rFonts w:cs="Arial"/>
          <w:sz w:val="20"/>
        </w:rPr>
      </w:pPr>
      <w:r w:rsidRPr="00B30B07">
        <w:rPr>
          <w:rFonts w:cs="Arial"/>
          <w:sz w:val="20"/>
        </w:rPr>
        <w:t xml:space="preserve">Figure </w:t>
      </w:r>
      <w:r w:rsidR="00F71853">
        <w:rPr>
          <w:rFonts w:cs="Arial"/>
          <w:sz w:val="20"/>
        </w:rPr>
        <w:t>3.18</w:t>
      </w:r>
      <w:r w:rsidRPr="00B30B07">
        <w:rPr>
          <w:rFonts w:cs="Arial"/>
          <w:sz w:val="20"/>
        </w:rPr>
        <w:t>: Average seasonal iron export from Cell</w:t>
      </w:r>
      <w:r>
        <w:rPr>
          <w:rFonts w:cs="Arial"/>
          <w:sz w:val="20"/>
        </w:rPr>
        <w:t>6</w:t>
      </w:r>
      <w:r w:rsidRPr="00B30B07">
        <w:rPr>
          <w:rFonts w:cs="Arial"/>
          <w:sz w:val="20"/>
        </w:rPr>
        <w:t xml:space="preserve"> of the MRPTS based on rainfall intensity (2011-2013)</w:t>
      </w:r>
      <w:r>
        <w:rPr>
          <w:rFonts w:cs="Arial"/>
          <w:sz w:val="20"/>
        </w:rPr>
        <w:t xml:space="preserve"> with error bars representing the standard deviation of the iron transport between individual events at each intensity. </w:t>
      </w:r>
    </w:p>
    <w:p w14:paraId="7449DCA7" w14:textId="77777777" w:rsidR="00CE1CC3" w:rsidRPr="000B6607" w:rsidRDefault="00CE1CC3" w:rsidP="00CE1CC3">
      <w:pPr>
        <w:spacing w:line="240" w:lineRule="auto"/>
        <w:jc w:val="both"/>
        <w:rPr>
          <w:rFonts w:cs="Arial"/>
          <w:sz w:val="20"/>
        </w:rPr>
      </w:pPr>
    </w:p>
    <w:p w14:paraId="50A2F904" w14:textId="7D08A151" w:rsidR="00CE1CC3" w:rsidRDefault="00CE1CC3" w:rsidP="00CE1CC3">
      <w:pPr>
        <w:spacing w:line="240" w:lineRule="auto"/>
        <w:jc w:val="both"/>
        <w:rPr>
          <w:rFonts w:cs="Arial"/>
        </w:rPr>
      </w:pPr>
      <w:r w:rsidRPr="00F71853">
        <w:rPr>
          <w:rFonts w:cs="Arial"/>
          <w:sz w:val="20"/>
        </w:rPr>
        <w:t xml:space="preserve">Table </w:t>
      </w:r>
      <w:r w:rsidR="00F71853">
        <w:rPr>
          <w:rFonts w:cs="Arial"/>
          <w:sz w:val="20"/>
        </w:rPr>
        <w:t>3.14</w:t>
      </w:r>
      <w:r w:rsidRPr="00F71853">
        <w:rPr>
          <w:rFonts w:cs="Arial"/>
          <w:sz w:val="20"/>
        </w:rPr>
        <w:t xml:space="preserve">: Summary of Annual Iron Mass Loading and Transport for Cell6 from 2011-2013 </w:t>
      </w:r>
    </w:p>
    <w:tbl>
      <w:tblPr>
        <w:tblW w:w="8311" w:type="dxa"/>
        <w:tblLook w:val="04A0" w:firstRow="1" w:lastRow="0" w:firstColumn="1" w:lastColumn="0" w:noHBand="0" w:noVBand="1"/>
      </w:tblPr>
      <w:tblGrid>
        <w:gridCol w:w="995"/>
        <w:gridCol w:w="956"/>
        <w:gridCol w:w="1015"/>
        <w:gridCol w:w="1020"/>
        <w:gridCol w:w="1103"/>
        <w:gridCol w:w="1010"/>
        <w:gridCol w:w="1281"/>
        <w:gridCol w:w="931"/>
      </w:tblGrid>
      <w:tr w:rsidR="00CE1CC3" w:rsidRPr="00EF38D3" w14:paraId="207CB87F" w14:textId="77777777" w:rsidTr="000B63E4">
        <w:trPr>
          <w:trHeight w:val="674"/>
        </w:trPr>
        <w:tc>
          <w:tcPr>
            <w:tcW w:w="995" w:type="dxa"/>
            <w:tcBorders>
              <w:top w:val="single" w:sz="4" w:space="0" w:color="auto"/>
              <w:left w:val="nil"/>
              <w:bottom w:val="double" w:sz="6" w:space="0" w:color="auto"/>
              <w:right w:val="nil"/>
            </w:tcBorders>
            <w:vAlign w:val="bottom"/>
            <w:hideMark/>
          </w:tcPr>
          <w:p w14:paraId="1737DC28" w14:textId="51C3EE24" w:rsidR="00CE1CC3" w:rsidRPr="00EF38D3" w:rsidRDefault="00CE1CC3" w:rsidP="00F71853">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Year</w:t>
            </w:r>
          </w:p>
        </w:tc>
        <w:tc>
          <w:tcPr>
            <w:tcW w:w="956" w:type="dxa"/>
            <w:tcBorders>
              <w:top w:val="single" w:sz="4" w:space="0" w:color="auto"/>
              <w:left w:val="nil"/>
              <w:bottom w:val="double" w:sz="6" w:space="0" w:color="auto"/>
              <w:right w:val="nil"/>
            </w:tcBorders>
            <w:vAlign w:val="bottom"/>
            <w:hideMark/>
          </w:tcPr>
          <w:p w14:paraId="5505ABDE" w14:textId="77777777" w:rsidR="00CE1CC3" w:rsidRPr="00EF38D3" w:rsidRDefault="00CE1CC3" w:rsidP="00F71853">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Loading Fe (kg/year)</w:t>
            </w:r>
          </w:p>
        </w:tc>
        <w:tc>
          <w:tcPr>
            <w:tcW w:w="1015" w:type="dxa"/>
            <w:tcBorders>
              <w:top w:val="single" w:sz="4" w:space="0" w:color="auto"/>
              <w:left w:val="nil"/>
              <w:bottom w:val="double" w:sz="6" w:space="0" w:color="auto"/>
              <w:right w:val="nil"/>
            </w:tcBorders>
            <w:vAlign w:val="bottom"/>
            <w:hideMark/>
          </w:tcPr>
          <w:p w14:paraId="559F4C79"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Gross Fe Transport</w:t>
            </w:r>
            <w:r w:rsidRPr="00EF38D3">
              <w:rPr>
                <w:rFonts w:ascii="Calibri" w:hAnsi="Calibri" w:cs="Calibri"/>
                <w:color w:val="000000"/>
                <w:sz w:val="20"/>
                <w:szCs w:val="20"/>
              </w:rPr>
              <w:t xml:space="preserve"> (kg/year)</w:t>
            </w:r>
          </w:p>
        </w:tc>
        <w:tc>
          <w:tcPr>
            <w:tcW w:w="1020" w:type="dxa"/>
            <w:tcBorders>
              <w:top w:val="single" w:sz="4" w:space="0" w:color="auto"/>
              <w:left w:val="nil"/>
              <w:bottom w:val="double" w:sz="6" w:space="0" w:color="auto"/>
              <w:right w:val="nil"/>
            </w:tcBorders>
            <w:vAlign w:val="bottom"/>
            <w:hideMark/>
          </w:tcPr>
          <w:p w14:paraId="5B459C37" w14:textId="77777777" w:rsidR="00CE1CC3" w:rsidRPr="00EF38D3" w:rsidRDefault="00CE1CC3" w:rsidP="00F71853">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Cell Fe Retention (kg/year)</w:t>
            </w:r>
          </w:p>
        </w:tc>
        <w:tc>
          <w:tcPr>
            <w:tcW w:w="1103" w:type="dxa"/>
            <w:tcBorders>
              <w:top w:val="single" w:sz="4" w:space="0" w:color="auto"/>
              <w:left w:val="nil"/>
              <w:bottom w:val="double" w:sz="6" w:space="0" w:color="auto"/>
              <w:right w:val="nil"/>
            </w:tcBorders>
            <w:vAlign w:val="bottom"/>
            <w:hideMark/>
          </w:tcPr>
          <w:p w14:paraId="1886D727" w14:textId="6493B9A3" w:rsidR="00CE1CC3" w:rsidRPr="00EF38D3" w:rsidRDefault="00CE1CC3" w:rsidP="00F71853">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Removal Rate (g/m</w:t>
            </w:r>
            <w:r w:rsidRPr="00EF38D3">
              <w:rPr>
                <w:rFonts w:ascii="Calibri" w:hAnsi="Calibri" w:cs="Calibri"/>
                <w:color w:val="000000"/>
                <w:sz w:val="20"/>
                <w:szCs w:val="20"/>
                <w:vertAlign w:val="superscript"/>
              </w:rPr>
              <w:t>2</w:t>
            </w:r>
            <w:r w:rsidRPr="00EF38D3">
              <w:rPr>
                <w:rFonts w:ascii="Calibri" w:hAnsi="Calibri" w:cs="Calibri"/>
                <w:color w:val="000000"/>
                <w:sz w:val="20"/>
                <w:szCs w:val="20"/>
              </w:rPr>
              <w:t>/day)</w:t>
            </w:r>
          </w:p>
        </w:tc>
        <w:tc>
          <w:tcPr>
            <w:tcW w:w="1010" w:type="dxa"/>
            <w:tcBorders>
              <w:top w:val="single" w:sz="4" w:space="0" w:color="auto"/>
              <w:left w:val="nil"/>
              <w:bottom w:val="double" w:sz="6" w:space="0" w:color="auto"/>
              <w:right w:val="nil"/>
            </w:tcBorders>
            <w:vAlign w:val="bottom"/>
            <w:hideMark/>
          </w:tcPr>
          <w:p w14:paraId="07F8BF99" w14:textId="77777777" w:rsidR="00CE1CC3" w:rsidRPr="00EF38D3" w:rsidRDefault="00CE1CC3" w:rsidP="00F71853">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Net Fe Transport (kg/year)</w:t>
            </w:r>
          </w:p>
        </w:tc>
        <w:tc>
          <w:tcPr>
            <w:tcW w:w="1281" w:type="dxa"/>
            <w:tcBorders>
              <w:top w:val="single" w:sz="4" w:space="0" w:color="auto"/>
              <w:left w:val="nil"/>
              <w:bottom w:val="double" w:sz="6" w:space="0" w:color="auto"/>
              <w:right w:val="nil"/>
            </w:tcBorders>
            <w:vAlign w:val="bottom"/>
            <w:hideMark/>
          </w:tcPr>
          <w:p w14:paraId="6CDB0E8C" w14:textId="77777777" w:rsidR="00CE1CC3" w:rsidRPr="00EF38D3" w:rsidRDefault="00CE1CC3" w:rsidP="00F71853">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 xml:space="preserve">% Transport </w:t>
            </w:r>
            <w:r>
              <w:rPr>
                <w:rFonts w:ascii="Calibri" w:hAnsi="Calibri" w:cs="Calibri"/>
                <w:color w:val="000000"/>
                <w:sz w:val="20"/>
                <w:szCs w:val="20"/>
              </w:rPr>
              <w:t>relative to Fe Loading</w:t>
            </w:r>
          </w:p>
        </w:tc>
        <w:tc>
          <w:tcPr>
            <w:tcW w:w="931" w:type="dxa"/>
            <w:tcBorders>
              <w:top w:val="single" w:sz="4" w:space="0" w:color="auto"/>
              <w:left w:val="nil"/>
              <w:bottom w:val="double" w:sz="6" w:space="0" w:color="auto"/>
              <w:right w:val="nil"/>
            </w:tcBorders>
            <w:vAlign w:val="bottom"/>
            <w:hideMark/>
          </w:tcPr>
          <w:p w14:paraId="2AC9F304" w14:textId="2BEC864F"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 xml:space="preserve">%Storm Induced </w:t>
            </w:r>
            <w:r w:rsidR="00F71853">
              <w:rPr>
                <w:rFonts w:ascii="Calibri" w:hAnsi="Calibri" w:cs="Calibri"/>
                <w:color w:val="000000"/>
                <w:sz w:val="18"/>
                <w:szCs w:val="20"/>
              </w:rPr>
              <w:t>Export</w:t>
            </w:r>
          </w:p>
        </w:tc>
      </w:tr>
      <w:tr w:rsidR="00CE1CC3" w:rsidRPr="00EF38D3" w14:paraId="2494680B" w14:textId="77777777" w:rsidTr="000B63E4">
        <w:trPr>
          <w:trHeight w:val="315"/>
        </w:trPr>
        <w:tc>
          <w:tcPr>
            <w:tcW w:w="995" w:type="dxa"/>
            <w:tcBorders>
              <w:top w:val="nil"/>
              <w:left w:val="nil"/>
              <w:bottom w:val="nil"/>
              <w:right w:val="nil"/>
            </w:tcBorders>
            <w:noWrap/>
            <w:vAlign w:val="bottom"/>
            <w:hideMark/>
          </w:tcPr>
          <w:p w14:paraId="6BBEA405" w14:textId="77777777" w:rsidR="00CE1CC3" w:rsidRPr="00EF38D3" w:rsidRDefault="00CE1CC3" w:rsidP="00F71853">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 xml:space="preserve">2011 </w:t>
            </w:r>
            <w:r>
              <w:rPr>
                <w:rFonts w:ascii="Calibri" w:hAnsi="Calibri" w:cs="Calibri"/>
                <w:color w:val="000000"/>
                <w:sz w:val="20"/>
                <w:szCs w:val="20"/>
              </w:rPr>
              <w:t xml:space="preserve">     </w:t>
            </w:r>
            <w:r w:rsidRPr="00EF38D3">
              <w:rPr>
                <w:rFonts w:ascii="Calibri" w:hAnsi="Calibri" w:cs="Calibri"/>
                <w:color w:val="000000"/>
                <w:sz w:val="20"/>
                <w:szCs w:val="20"/>
              </w:rPr>
              <w:t>(n = 4)</w:t>
            </w:r>
          </w:p>
        </w:tc>
        <w:tc>
          <w:tcPr>
            <w:tcW w:w="956" w:type="dxa"/>
            <w:tcBorders>
              <w:top w:val="nil"/>
              <w:left w:val="nil"/>
              <w:bottom w:val="nil"/>
              <w:right w:val="nil"/>
            </w:tcBorders>
            <w:noWrap/>
            <w:vAlign w:val="center"/>
            <w:hideMark/>
          </w:tcPr>
          <w:p w14:paraId="0BA74363"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230</w:t>
            </w:r>
          </w:p>
        </w:tc>
        <w:tc>
          <w:tcPr>
            <w:tcW w:w="1015" w:type="dxa"/>
            <w:tcBorders>
              <w:top w:val="nil"/>
              <w:left w:val="nil"/>
              <w:bottom w:val="nil"/>
              <w:right w:val="nil"/>
            </w:tcBorders>
            <w:noWrap/>
            <w:vAlign w:val="center"/>
            <w:hideMark/>
          </w:tcPr>
          <w:p w14:paraId="2AD0F246"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106</w:t>
            </w:r>
          </w:p>
        </w:tc>
        <w:tc>
          <w:tcPr>
            <w:tcW w:w="1020" w:type="dxa"/>
            <w:tcBorders>
              <w:top w:val="nil"/>
              <w:left w:val="nil"/>
              <w:bottom w:val="nil"/>
              <w:right w:val="nil"/>
            </w:tcBorders>
            <w:noWrap/>
            <w:vAlign w:val="center"/>
            <w:hideMark/>
          </w:tcPr>
          <w:p w14:paraId="2CEB41F2"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124</w:t>
            </w:r>
          </w:p>
        </w:tc>
        <w:tc>
          <w:tcPr>
            <w:tcW w:w="1103" w:type="dxa"/>
            <w:tcBorders>
              <w:top w:val="nil"/>
              <w:left w:val="nil"/>
              <w:bottom w:val="nil"/>
              <w:right w:val="nil"/>
            </w:tcBorders>
            <w:noWrap/>
            <w:vAlign w:val="center"/>
            <w:hideMark/>
          </w:tcPr>
          <w:p w14:paraId="584DA493"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0.31</w:t>
            </w:r>
          </w:p>
        </w:tc>
        <w:tc>
          <w:tcPr>
            <w:tcW w:w="1010" w:type="dxa"/>
            <w:tcBorders>
              <w:top w:val="nil"/>
              <w:left w:val="nil"/>
              <w:bottom w:val="nil"/>
              <w:right w:val="nil"/>
            </w:tcBorders>
            <w:vAlign w:val="center"/>
            <w:hideMark/>
          </w:tcPr>
          <w:p w14:paraId="35AF7611"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35.1</w:t>
            </w:r>
          </w:p>
        </w:tc>
        <w:tc>
          <w:tcPr>
            <w:tcW w:w="1281" w:type="dxa"/>
            <w:tcBorders>
              <w:top w:val="nil"/>
              <w:left w:val="nil"/>
              <w:bottom w:val="nil"/>
              <w:right w:val="nil"/>
            </w:tcBorders>
            <w:vAlign w:val="center"/>
            <w:hideMark/>
          </w:tcPr>
          <w:p w14:paraId="27513BC6"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15.3%</w:t>
            </w:r>
          </w:p>
        </w:tc>
        <w:tc>
          <w:tcPr>
            <w:tcW w:w="931" w:type="dxa"/>
            <w:tcBorders>
              <w:top w:val="nil"/>
              <w:left w:val="nil"/>
              <w:bottom w:val="nil"/>
              <w:right w:val="nil"/>
            </w:tcBorders>
            <w:noWrap/>
            <w:vAlign w:val="center"/>
            <w:hideMark/>
          </w:tcPr>
          <w:p w14:paraId="726EED59"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33.1%</w:t>
            </w:r>
          </w:p>
        </w:tc>
      </w:tr>
      <w:tr w:rsidR="00CE1CC3" w:rsidRPr="00EF38D3" w14:paraId="690A1A4A" w14:textId="77777777" w:rsidTr="000B63E4">
        <w:trPr>
          <w:trHeight w:val="300"/>
        </w:trPr>
        <w:tc>
          <w:tcPr>
            <w:tcW w:w="995" w:type="dxa"/>
            <w:tcBorders>
              <w:top w:val="nil"/>
              <w:left w:val="nil"/>
              <w:bottom w:val="nil"/>
              <w:right w:val="nil"/>
            </w:tcBorders>
            <w:noWrap/>
            <w:vAlign w:val="bottom"/>
            <w:hideMark/>
          </w:tcPr>
          <w:p w14:paraId="6C683972" w14:textId="77777777" w:rsidR="00CE1CC3" w:rsidRPr="00EF38D3" w:rsidRDefault="00CE1CC3" w:rsidP="00F71853">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2012</w:t>
            </w:r>
            <w:r>
              <w:rPr>
                <w:rFonts w:ascii="Calibri" w:hAnsi="Calibri" w:cs="Calibri"/>
                <w:color w:val="000000"/>
                <w:sz w:val="20"/>
                <w:szCs w:val="20"/>
              </w:rPr>
              <w:t xml:space="preserve">    </w:t>
            </w:r>
            <w:r w:rsidRPr="00EF38D3">
              <w:rPr>
                <w:rFonts w:ascii="Calibri" w:hAnsi="Calibri" w:cs="Calibri"/>
                <w:color w:val="000000"/>
                <w:sz w:val="20"/>
                <w:szCs w:val="20"/>
              </w:rPr>
              <w:t xml:space="preserve"> (n = 3)</w:t>
            </w:r>
          </w:p>
        </w:tc>
        <w:tc>
          <w:tcPr>
            <w:tcW w:w="956" w:type="dxa"/>
            <w:tcBorders>
              <w:top w:val="nil"/>
              <w:left w:val="nil"/>
              <w:bottom w:val="nil"/>
              <w:right w:val="nil"/>
            </w:tcBorders>
            <w:noWrap/>
            <w:vAlign w:val="center"/>
            <w:hideMark/>
          </w:tcPr>
          <w:p w14:paraId="7570C73E"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281</w:t>
            </w:r>
          </w:p>
        </w:tc>
        <w:tc>
          <w:tcPr>
            <w:tcW w:w="1015" w:type="dxa"/>
            <w:tcBorders>
              <w:top w:val="nil"/>
              <w:left w:val="nil"/>
              <w:bottom w:val="nil"/>
              <w:right w:val="nil"/>
            </w:tcBorders>
            <w:noWrap/>
            <w:vAlign w:val="center"/>
            <w:hideMark/>
          </w:tcPr>
          <w:p w14:paraId="0298870B"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217</w:t>
            </w:r>
          </w:p>
        </w:tc>
        <w:tc>
          <w:tcPr>
            <w:tcW w:w="1020" w:type="dxa"/>
            <w:tcBorders>
              <w:top w:val="nil"/>
              <w:left w:val="nil"/>
              <w:bottom w:val="nil"/>
              <w:right w:val="nil"/>
            </w:tcBorders>
            <w:noWrap/>
            <w:vAlign w:val="center"/>
            <w:hideMark/>
          </w:tcPr>
          <w:p w14:paraId="30816BAB"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64.5</w:t>
            </w:r>
          </w:p>
        </w:tc>
        <w:tc>
          <w:tcPr>
            <w:tcW w:w="1103" w:type="dxa"/>
            <w:tcBorders>
              <w:top w:val="nil"/>
              <w:left w:val="nil"/>
              <w:bottom w:val="nil"/>
              <w:right w:val="nil"/>
            </w:tcBorders>
            <w:noWrap/>
            <w:vAlign w:val="center"/>
            <w:hideMark/>
          </w:tcPr>
          <w:p w14:paraId="700C3B37"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0.54</w:t>
            </w:r>
          </w:p>
        </w:tc>
        <w:tc>
          <w:tcPr>
            <w:tcW w:w="1010" w:type="dxa"/>
            <w:tcBorders>
              <w:top w:val="nil"/>
              <w:left w:val="nil"/>
              <w:bottom w:val="nil"/>
              <w:right w:val="nil"/>
            </w:tcBorders>
            <w:vAlign w:val="center"/>
            <w:hideMark/>
          </w:tcPr>
          <w:p w14:paraId="20489163"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42.7</w:t>
            </w:r>
          </w:p>
        </w:tc>
        <w:tc>
          <w:tcPr>
            <w:tcW w:w="1281" w:type="dxa"/>
            <w:tcBorders>
              <w:top w:val="nil"/>
              <w:left w:val="nil"/>
              <w:bottom w:val="nil"/>
              <w:right w:val="nil"/>
            </w:tcBorders>
            <w:vAlign w:val="center"/>
            <w:hideMark/>
          </w:tcPr>
          <w:p w14:paraId="1AFE45BB"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15.2%</w:t>
            </w:r>
          </w:p>
        </w:tc>
        <w:tc>
          <w:tcPr>
            <w:tcW w:w="931" w:type="dxa"/>
            <w:tcBorders>
              <w:top w:val="nil"/>
              <w:left w:val="nil"/>
              <w:bottom w:val="nil"/>
              <w:right w:val="nil"/>
            </w:tcBorders>
            <w:noWrap/>
            <w:vAlign w:val="center"/>
            <w:hideMark/>
          </w:tcPr>
          <w:p w14:paraId="27C5C458"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19.7%</w:t>
            </w:r>
          </w:p>
        </w:tc>
      </w:tr>
      <w:tr w:rsidR="00CE1CC3" w:rsidRPr="00EF38D3" w14:paraId="48A188A5" w14:textId="77777777" w:rsidTr="000B63E4">
        <w:trPr>
          <w:trHeight w:val="300"/>
        </w:trPr>
        <w:tc>
          <w:tcPr>
            <w:tcW w:w="995" w:type="dxa"/>
            <w:tcBorders>
              <w:top w:val="nil"/>
              <w:left w:val="nil"/>
              <w:bottom w:val="single" w:sz="4" w:space="0" w:color="auto"/>
              <w:right w:val="nil"/>
            </w:tcBorders>
            <w:noWrap/>
            <w:vAlign w:val="bottom"/>
            <w:hideMark/>
          </w:tcPr>
          <w:p w14:paraId="439F7D2C" w14:textId="77777777" w:rsidR="00CE1CC3" w:rsidRPr="00EF38D3" w:rsidRDefault="00CE1CC3" w:rsidP="00F71853">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2013 (n=3)</w:t>
            </w:r>
          </w:p>
        </w:tc>
        <w:tc>
          <w:tcPr>
            <w:tcW w:w="956" w:type="dxa"/>
            <w:tcBorders>
              <w:top w:val="nil"/>
              <w:left w:val="nil"/>
              <w:bottom w:val="single" w:sz="4" w:space="0" w:color="auto"/>
              <w:right w:val="nil"/>
            </w:tcBorders>
            <w:noWrap/>
            <w:vAlign w:val="center"/>
            <w:hideMark/>
          </w:tcPr>
          <w:p w14:paraId="5891D73A"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391</w:t>
            </w:r>
          </w:p>
        </w:tc>
        <w:tc>
          <w:tcPr>
            <w:tcW w:w="1015" w:type="dxa"/>
            <w:tcBorders>
              <w:top w:val="nil"/>
              <w:left w:val="nil"/>
              <w:bottom w:val="single" w:sz="4" w:space="0" w:color="auto"/>
              <w:right w:val="nil"/>
            </w:tcBorders>
            <w:noWrap/>
            <w:vAlign w:val="center"/>
            <w:hideMark/>
          </w:tcPr>
          <w:p w14:paraId="6DFAA888"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133</w:t>
            </w:r>
          </w:p>
        </w:tc>
        <w:tc>
          <w:tcPr>
            <w:tcW w:w="1020" w:type="dxa"/>
            <w:tcBorders>
              <w:top w:val="nil"/>
              <w:left w:val="nil"/>
              <w:bottom w:val="single" w:sz="4" w:space="0" w:color="auto"/>
              <w:right w:val="nil"/>
            </w:tcBorders>
            <w:noWrap/>
            <w:vAlign w:val="center"/>
            <w:hideMark/>
          </w:tcPr>
          <w:p w14:paraId="442048CA"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258</w:t>
            </w:r>
          </w:p>
        </w:tc>
        <w:tc>
          <w:tcPr>
            <w:tcW w:w="1103" w:type="dxa"/>
            <w:tcBorders>
              <w:top w:val="nil"/>
              <w:left w:val="nil"/>
              <w:bottom w:val="single" w:sz="4" w:space="0" w:color="auto"/>
              <w:right w:val="nil"/>
            </w:tcBorders>
            <w:noWrap/>
            <w:vAlign w:val="center"/>
            <w:hideMark/>
          </w:tcPr>
          <w:p w14:paraId="25955011"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0.64</w:t>
            </w:r>
          </w:p>
        </w:tc>
        <w:tc>
          <w:tcPr>
            <w:tcW w:w="1010" w:type="dxa"/>
            <w:tcBorders>
              <w:top w:val="nil"/>
              <w:left w:val="nil"/>
              <w:bottom w:val="single" w:sz="4" w:space="0" w:color="auto"/>
              <w:right w:val="nil"/>
            </w:tcBorders>
            <w:vAlign w:val="center"/>
            <w:hideMark/>
          </w:tcPr>
          <w:p w14:paraId="6C2D581E"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68.6</w:t>
            </w:r>
          </w:p>
        </w:tc>
        <w:tc>
          <w:tcPr>
            <w:tcW w:w="1281" w:type="dxa"/>
            <w:tcBorders>
              <w:top w:val="nil"/>
              <w:left w:val="nil"/>
              <w:bottom w:val="single" w:sz="4" w:space="0" w:color="auto"/>
              <w:right w:val="nil"/>
            </w:tcBorders>
            <w:vAlign w:val="center"/>
            <w:hideMark/>
          </w:tcPr>
          <w:p w14:paraId="229A5CBA"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17.6%</w:t>
            </w:r>
          </w:p>
        </w:tc>
        <w:tc>
          <w:tcPr>
            <w:tcW w:w="931" w:type="dxa"/>
            <w:tcBorders>
              <w:top w:val="nil"/>
              <w:left w:val="nil"/>
              <w:bottom w:val="single" w:sz="4" w:space="0" w:color="auto"/>
              <w:right w:val="nil"/>
            </w:tcBorders>
            <w:noWrap/>
            <w:vAlign w:val="center"/>
            <w:hideMark/>
          </w:tcPr>
          <w:p w14:paraId="16E41FB8"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51.5%</w:t>
            </w:r>
          </w:p>
        </w:tc>
      </w:tr>
      <w:tr w:rsidR="00CE1CC3" w:rsidRPr="00EF38D3" w14:paraId="71D2E16F" w14:textId="77777777" w:rsidTr="000B63E4">
        <w:trPr>
          <w:trHeight w:val="300"/>
        </w:trPr>
        <w:tc>
          <w:tcPr>
            <w:tcW w:w="995" w:type="dxa"/>
            <w:tcBorders>
              <w:top w:val="nil"/>
              <w:left w:val="nil"/>
              <w:bottom w:val="nil"/>
              <w:right w:val="nil"/>
            </w:tcBorders>
            <w:noWrap/>
            <w:vAlign w:val="bottom"/>
            <w:hideMark/>
          </w:tcPr>
          <w:p w14:paraId="7804019F"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 xml:space="preserve">Average </w:t>
            </w:r>
            <w:r w:rsidRPr="00EF38D3">
              <w:rPr>
                <w:rFonts w:ascii="Calibri" w:hAnsi="Calibri" w:cs="Calibri"/>
                <w:color w:val="000000"/>
                <w:sz w:val="20"/>
                <w:szCs w:val="20"/>
              </w:rPr>
              <w:t>(n = 10)</w:t>
            </w:r>
          </w:p>
        </w:tc>
        <w:tc>
          <w:tcPr>
            <w:tcW w:w="956" w:type="dxa"/>
            <w:tcBorders>
              <w:top w:val="nil"/>
              <w:left w:val="nil"/>
              <w:bottom w:val="nil"/>
              <w:right w:val="nil"/>
            </w:tcBorders>
            <w:noWrap/>
            <w:vAlign w:val="center"/>
            <w:hideMark/>
          </w:tcPr>
          <w:p w14:paraId="4CBF2F3D"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301</w:t>
            </w:r>
          </w:p>
        </w:tc>
        <w:tc>
          <w:tcPr>
            <w:tcW w:w="1015" w:type="dxa"/>
            <w:tcBorders>
              <w:top w:val="nil"/>
              <w:left w:val="nil"/>
              <w:bottom w:val="nil"/>
              <w:right w:val="nil"/>
            </w:tcBorders>
            <w:noWrap/>
            <w:vAlign w:val="center"/>
            <w:hideMark/>
          </w:tcPr>
          <w:p w14:paraId="5D842860"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152</w:t>
            </w:r>
          </w:p>
        </w:tc>
        <w:tc>
          <w:tcPr>
            <w:tcW w:w="1020" w:type="dxa"/>
            <w:tcBorders>
              <w:top w:val="nil"/>
              <w:left w:val="nil"/>
              <w:bottom w:val="nil"/>
              <w:right w:val="nil"/>
            </w:tcBorders>
            <w:noWrap/>
            <w:vAlign w:val="center"/>
            <w:hideMark/>
          </w:tcPr>
          <w:p w14:paraId="320DD653"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149</w:t>
            </w:r>
          </w:p>
        </w:tc>
        <w:tc>
          <w:tcPr>
            <w:tcW w:w="1103" w:type="dxa"/>
            <w:tcBorders>
              <w:top w:val="nil"/>
              <w:left w:val="nil"/>
              <w:bottom w:val="nil"/>
              <w:right w:val="nil"/>
            </w:tcBorders>
            <w:noWrap/>
            <w:vAlign w:val="center"/>
            <w:hideMark/>
          </w:tcPr>
          <w:p w14:paraId="57E3F3C2"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0.50</w:t>
            </w:r>
          </w:p>
        </w:tc>
        <w:tc>
          <w:tcPr>
            <w:tcW w:w="1010" w:type="dxa"/>
            <w:tcBorders>
              <w:top w:val="nil"/>
              <w:left w:val="nil"/>
              <w:bottom w:val="nil"/>
              <w:right w:val="nil"/>
            </w:tcBorders>
            <w:vAlign w:val="center"/>
            <w:hideMark/>
          </w:tcPr>
          <w:p w14:paraId="5F0B4FDD"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48.8</w:t>
            </w:r>
          </w:p>
        </w:tc>
        <w:tc>
          <w:tcPr>
            <w:tcW w:w="1281" w:type="dxa"/>
            <w:tcBorders>
              <w:top w:val="nil"/>
              <w:left w:val="nil"/>
              <w:bottom w:val="nil"/>
              <w:right w:val="nil"/>
            </w:tcBorders>
            <w:vAlign w:val="center"/>
            <w:hideMark/>
          </w:tcPr>
          <w:p w14:paraId="5003AAD3"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16.0%</w:t>
            </w:r>
          </w:p>
        </w:tc>
        <w:tc>
          <w:tcPr>
            <w:tcW w:w="931" w:type="dxa"/>
            <w:tcBorders>
              <w:top w:val="nil"/>
              <w:left w:val="nil"/>
              <w:bottom w:val="nil"/>
              <w:right w:val="nil"/>
            </w:tcBorders>
            <w:noWrap/>
            <w:vAlign w:val="center"/>
            <w:hideMark/>
          </w:tcPr>
          <w:p w14:paraId="37BD3CD1"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34.8%</w:t>
            </w:r>
          </w:p>
        </w:tc>
      </w:tr>
      <w:tr w:rsidR="00CE1CC3" w:rsidRPr="00EF38D3" w14:paraId="6DBAD147" w14:textId="77777777" w:rsidTr="000B63E4">
        <w:trPr>
          <w:trHeight w:val="300"/>
        </w:trPr>
        <w:tc>
          <w:tcPr>
            <w:tcW w:w="995" w:type="dxa"/>
            <w:tcBorders>
              <w:top w:val="nil"/>
              <w:left w:val="nil"/>
              <w:bottom w:val="nil"/>
              <w:right w:val="nil"/>
            </w:tcBorders>
            <w:noWrap/>
            <w:vAlign w:val="bottom"/>
            <w:hideMark/>
          </w:tcPr>
          <w:p w14:paraId="421F526A" w14:textId="77777777" w:rsidR="00CE1CC3" w:rsidRPr="00EF38D3" w:rsidRDefault="00CE1CC3" w:rsidP="00F71853">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St</w:t>
            </w:r>
            <w:r>
              <w:rPr>
                <w:rFonts w:ascii="Calibri" w:hAnsi="Calibri" w:cs="Calibri"/>
                <w:color w:val="000000"/>
                <w:sz w:val="20"/>
                <w:szCs w:val="20"/>
              </w:rPr>
              <w:t>andard Deviation</w:t>
            </w:r>
          </w:p>
        </w:tc>
        <w:tc>
          <w:tcPr>
            <w:tcW w:w="956" w:type="dxa"/>
            <w:tcBorders>
              <w:top w:val="nil"/>
              <w:left w:val="nil"/>
              <w:bottom w:val="nil"/>
              <w:right w:val="nil"/>
            </w:tcBorders>
            <w:noWrap/>
            <w:vAlign w:val="center"/>
            <w:hideMark/>
          </w:tcPr>
          <w:p w14:paraId="46A98659"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82</w:t>
            </w:r>
          </w:p>
        </w:tc>
        <w:tc>
          <w:tcPr>
            <w:tcW w:w="1015" w:type="dxa"/>
            <w:tcBorders>
              <w:top w:val="nil"/>
              <w:left w:val="nil"/>
              <w:bottom w:val="nil"/>
              <w:right w:val="nil"/>
            </w:tcBorders>
            <w:noWrap/>
            <w:vAlign w:val="center"/>
            <w:hideMark/>
          </w:tcPr>
          <w:p w14:paraId="7093D600"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58</w:t>
            </w:r>
          </w:p>
        </w:tc>
        <w:tc>
          <w:tcPr>
            <w:tcW w:w="1020" w:type="dxa"/>
            <w:tcBorders>
              <w:top w:val="nil"/>
              <w:left w:val="nil"/>
              <w:bottom w:val="nil"/>
              <w:right w:val="nil"/>
            </w:tcBorders>
            <w:noWrap/>
            <w:vAlign w:val="center"/>
            <w:hideMark/>
          </w:tcPr>
          <w:p w14:paraId="7285BDC0"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99</w:t>
            </w:r>
          </w:p>
        </w:tc>
        <w:tc>
          <w:tcPr>
            <w:tcW w:w="1103" w:type="dxa"/>
            <w:tcBorders>
              <w:top w:val="nil"/>
              <w:left w:val="nil"/>
              <w:bottom w:val="nil"/>
              <w:right w:val="nil"/>
            </w:tcBorders>
            <w:noWrap/>
            <w:vAlign w:val="center"/>
            <w:hideMark/>
          </w:tcPr>
          <w:p w14:paraId="0FCD636B"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0.17</w:t>
            </w:r>
          </w:p>
        </w:tc>
        <w:tc>
          <w:tcPr>
            <w:tcW w:w="1010" w:type="dxa"/>
            <w:tcBorders>
              <w:top w:val="nil"/>
              <w:left w:val="nil"/>
              <w:bottom w:val="nil"/>
              <w:right w:val="nil"/>
            </w:tcBorders>
            <w:noWrap/>
            <w:vAlign w:val="center"/>
            <w:hideMark/>
          </w:tcPr>
          <w:p w14:paraId="556BAC4D"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17.6</w:t>
            </w:r>
          </w:p>
        </w:tc>
        <w:tc>
          <w:tcPr>
            <w:tcW w:w="1281" w:type="dxa"/>
            <w:tcBorders>
              <w:top w:val="nil"/>
              <w:left w:val="nil"/>
              <w:bottom w:val="nil"/>
              <w:right w:val="nil"/>
            </w:tcBorders>
            <w:noWrap/>
            <w:vAlign w:val="center"/>
            <w:hideMark/>
          </w:tcPr>
          <w:p w14:paraId="1EBDFB2A"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1.3%</w:t>
            </w:r>
          </w:p>
        </w:tc>
        <w:tc>
          <w:tcPr>
            <w:tcW w:w="931" w:type="dxa"/>
            <w:tcBorders>
              <w:top w:val="nil"/>
              <w:left w:val="nil"/>
              <w:bottom w:val="nil"/>
              <w:right w:val="nil"/>
            </w:tcBorders>
            <w:noWrap/>
            <w:vAlign w:val="center"/>
            <w:hideMark/>
          </w:tcPr>
          <w:p w14:paraId="79593107"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16.0%</w:t>
            </w:r>
          </w:p>
        </w:tc>
      </w:tr>
      <w:tr w:rsidR="00CE1CC3" w:rsidRPr="00EF38D3" w14:paraId="1DA9CB8D" w14:textId="77777777" w:rsidTr="000B63E4">
        <w:trPr>
          <w:trHeight w:val="405"/>
        </w:trPr>
        <w:tc>
          <w:tcPr>
            <w:tcW w:w="995" w:type="dxa"/>
            <w:tcBorders>
              <w:top w:val="nil"/>
              <w:left w:val="nil"/>
              <w:bottom w:val="single" w:sz="4" w:space="0" w:color="auto"/>
              <w:right w:val="nil"/>
            </w:tcBorders>
            <w:noWrap/>
            <w:vAlign w:val="bottom"/>
            <w:hideMark/>
          </w:tcPr>
          <w:p w14:paraId="32FB74D3" w14:textId="77777777" w:rsidR="00CE1CC3" w:rsidRPr="00EF38D3" w:rsidRDefault="00CE1CC3" w:rsidP="00F71853">
            <w:pPr>
              <w:spacing w:after="0" w:line="240" w:lineRule="auto"/>
              <w:jc w:val="center"/>
              <w:rPr>
                <w:rFonts w:ascii="Calibri" w:hAnsi="Calibri" w:cs="Calibri"/>
                <w:color w:val="000000"/>
                <w:sz w:val="20"/>
                <w:szCs w:val="20"/>
              </w:rPr>
            </w:pPr>
            <w:r w:rsidRPr="00EF38D3">
              <w:rPr>
                <w:rFonts w:ascii="Calibri" w:hAnsi="Calibri" w:cs="Calibri"/>
                <w:color w:val="000000"/>
                <w:sz w:val="20"/>
                <w:szCs w:val="20"/>
              </w:rPr>
              <w:t>%RSD</w:t>
            </w:r>
          </w:p>
        </w:tc>
        <w:tc>
          <w:tcPr>
            <w:tcW w:w="956" w:type="dxa"/>
            <w:tcBorders>
              <w:top w:val="nil"/>
              <w:left w:val="nil"/>
              <w:bottom w:val="single" w:sz="4" w:space="0" w:color="auto"/>
              <w:right w:val="nil"/>
            </w:tcBorders>
            <w:noWrap/>
            <w:vAlign w:val="center"/>
            <w:hideMark/>
          </w:tcPr>
          <w:p w14:paraId="73BD8902"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27.4%</w:t>
            </w:r>
          </w:p>
        </w:tc>
        <w:tc>
          <w:tcPr>
            <w:tcW w:w="1015" w:type="dxa"/>
            <w:tcBorders>
              <w:top w:val="nil"/>
              <w:left w:val="nil"/>
              <w:bottom w:val="single" w:sz="4" w:space="0" w:color="auto"/>
              <w:right w:val="nil"/>
            </w:tcBorders>
            <w:noWrap/>
            <w:vAlign w:val="center"/>
            <w:hideMark/>
          </w:tcPr>
          <w:p w14:paraId="493E0112"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37.9%</w:t>
            </w:r>
          </w:p>
        </w:tc>
        <w:tc>
          <w:tcPr>
            <w:tcW w:w="1020" w:type="dxa"/>
            <w:tcBorders>
              <w:top w:val="nil"/>
              <w:left w:val="nil"/>
              <w:bottom w:val="single" w:sz="4" w:space="0" w:color="auto"/>
              <w:right w:val="nil"/>
            </w:tcBorders>
            <w:noWrap/>
            <w:vAlign w:val="center"/>
            <w:hideMark/>
          </w:tcPr>
          <w:p w14:paraId="6ABBE661"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66.6%</w:t>
            </w:r>
          </w:p>
        </w:tc>
        <w:tc>
          <w:tcPr>
            <w:tcW w:w="1103" w:type="dxa"/>
            <w:tcBorders>
              <w:top w:val="nil"/>
              <w:left w:val="nil"/>
              <w:bottom w:val="single" w:sz="4" w:space="0" w:color="auto"/>
              <w:right w:val="nil"/>
            </w:tcBorders>
            <w:noWrap/>
            <w:vAlign w:val="center"/>
            <w:hideMark/>
          </w:tcPr>
          <w:p w14:paraId="45820515"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34.5%</w:t>
            </w:r>
          </w:p>
        </w:tc>
        <w:tc>
          <w:tcPr>
            <w:tcW w:w="1010" w:type="dxa"/>
            <w:tcBorders>
              <w:top w:val="nil"/>
              <w:left w:val="nil"/>
              <w:bottom w:val="single" w:sz="4" w:space="0" w:color="auto"/>
              <w:right w:val="nil"/>
            </w:tcBorders>
            <w:noWrap/>
            <w:vAlign w:val="center"/>
            <w:hideMark/>
          </w:tcPr>
          <w:p w14:paraId="2809DB69"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36.0%</w:t>
            </w:r>
          </w:p>
        </w:tc>
        <w:tc>
          <w:tcPr>
            <w:tcW w:w="1281" w:type="dxa"/>
            <w:tcBorders>
              <w:top w:val="nil"/>
              <w:left w:val="nil"/>
              <w:bottom w:val="single" w:sz="4" w:space="0" w:color="auto"/>
              <w:right w:val="nil"/>
            </w:tcBorders>
            <w:noWrap/>
            <w:vAlign w:val="center"/>
            <w:hideMark/>
          </w:tcPr>
          <w:p w14:paraId="1D330A63"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8.3%</w:t>
            </w:r>
          </w:p>
        </w:tc>
        <w:tc>
          <w:tcPr>
            <w:tcW w:w="931" w:type="dxa"/>
            <w:tcBorders>
              <w:top w:val="nil"/>
              <w:left w:val="nil"/>
              <w:bottom w:val="single" w:sz="4" w:space="0" w:color="auto"/>
              <w:right w:val="nil"/>
            </w:tcBorders>
            <w:noWrap/>
            <w:vAlign w:val="center"/>
            <w:hideMark/>
          </w:tcPr>
          <w:p w14:paraId="4A223721" w14:textId="77777777" w:rsidR="00CE1CC3" w:rsidRPr="00EF38D3" w:rsidRDefault="00CE1CC3" w:rsidP="00F71853">
            <w:pPr>
              <w:spacing w:after="0" w:line="240" w:lineRule="auto"/>
              <w:jc w:val="center"/>
              <w:rPr>
                <w:rFonts w:ascii="Calibri" w:hAnsi="Calibri" w:cs="Calibri"/>
                <w:color w:val="000000"/>
                <w:sz w:val="20"/>
                <w:szCs w:val="20"/>
              </w:rPr>
            </w:pPr>
            <w:r>
              <w:rPr>
                <w:rFonts w:ascii="Calibri" w:hAnsi="Calibri" w:cs="Calibri"/>
                <w:color w:val="000000"/>
                <w:sz w:val="20"/>
                <w:szCs w:val="20"/>
              </w:rPr>
              <w:t>46.0%</w:t>
            </w:r>
          </w:p>
        </w:tc>
      </w:tr>
    </w:tbl>
    <w:p w14:paraId="15F29C8B" w14:textId="77777777" w:rsidR="00CE1CC3" w:rsidRDefault="00CE1CC3" w:rsidP="00CE1CC3">
      <w:pPr>
        <w:spacing w:line="480" w:lineRule="auto"/>
        <w:jc w:val="both"/>
        <w:rPr>
          <w:rFonts w:cs="Arial"/>
        </w:rPr>
      </w:pPr>
    </w:p>
    <w:p w14:paraId="176C3C71" w14:textId="4B52C3AF" w:rsidR="00CE1CC3" w:rsidRDefault="00CE1CC3" w:rsidP="00CE1CC3">
      <w:pPr>
        <w:spacing w:line="480" w:lineRule="auto"/>
        <w:jc w:val="both"/>
        <w:rPr>
          <w:rFonts w:cs="Arial"/>
        </w:rPr>
      </w:pPr>
      <w:r>
        <w:rPr>
          <w:rFonts w:cs="Arial"/>
        </w:rPr>
        <w:t>The average iron loading for 2011-2013 into Cell6 was 301</w:t>
      </w:r>
      <w:r>
        <w:rPr>
          <w:rFonts w:cs="Calibri"/>
        </w:rPr>
        <w:t>±</w:t>
      </w:r>
      <w:r>
        <w:rPr>
          <w:rFonts w:cs="Arial"/>
        </w:rPr>
        <w:t>82 kg/year with an average retention of 149</w:t>
      </w:r>
      <w:r>
        <w:rPr>
          <w:rFonts w:cs="Calibri"/>
        </w:rPr>
        <w:t>±</w:t>
      </w:r>
      <w:r>
        <w:rPr>
          <w:rFonts w:cs="Arial"/>
        </w:rPr>
        <w:t>99 kg/year and an average removal rate of 0.45</w:t>
      </w:r>
      <w:r>
        <w:rPr>
          <w:rFonts w:cs="Calibri"/>
        </w:rPr>
        <w:t>±</w:t>
      </w:r>
      <w:r>
        <w:rPr>
          <w:rFonts w:cs="Arial"/>
        </w:rPr>
        <w:t>0.17 g/m</w:t>
      </w:r>
      <w:r w:rsidRPr="00075C46">
        <w:rPr>
          <w:rFonts w:cs="Arial"/>
          <w:vertAlign w:val="superscript"/>
        </w:rPr>
        <w:t>2</w:t>
      </w:r>
      <w:r>
        <w:rPr>
          <w:rFonts w:cs="Arial"/>
        </w:rPr>
        <w:t>/day. Cell6 exported an average of 152</w:t>
      </w:r>
      <w:r>
        <w:rPr>
          <w:rFonts w:cs="Calibri"/>
        </w:rPr>
        <w:t>±</w:t>
      </w:r>
      <w:r>
        <w:rPr>
          <w:rFonts w:cs="Arial"/>
        </w:rPr>
        <w:t>58 kg Fe/year with 49</w:t>
      </w:r>
      <w:r>
        <w:rPr>
          <w:rFonts w:cs="Calibri"/>
        </w:rPr>
        <w:t xml:space="preserve"> ±</w:t>
      </w:r>
      <w:r>
        <w:rPr>
          <w:rFonts w:cs="Arial"/>
        </w:rPr>
        <w:t>18 kg/year due to storm induced transport. Iron exported out of Cell6 averages of 16.0% of the mass loading into Cell6 with storm-induced transport of iron consists of 34.8</w:t>
      </w:r>
      <w:r w:rsidRPr="002E1BF8">
        <w:rPr>
          <w:rFonts w:cs="Arial"/>
        </w:rPr>
        <w:t>%</w:t>
      </w:r>
      <w:r>
        <w:rPr>
          <w:rFonts w:cs="Arial"/>
        </w:rPr>
        <w:t xml:space="preserve"> of the transported iron being due to storm disturbance</w:t>
      </w:r>
      <w:r w:rsidR="0088745B">
        <w:rPr>
          <w:rFonts w:cs="Arial"/>
        </w:rPr>
        <w:t xml:space="preserve"> on a yearly basis</w:t>
      </w:r>
      <w:r>
        <w:rPr>
          <w:rFonts w:cs="Arial"/>
        </w:rPr>
        <w:t xml:space="preserve">. The storm induced iron export from Cell6 is 0.87% of the mass loading from the three AMD seeps supplying the system with AMD for treatment (301 kg/year Cell6 export in comparison to 34,767kg/year system loading). This is consistent with the metals transport mitigation function of the pond-marsh-pond design of the aerobic surface flow wetland cells to remove and retain any iron transported in the dissolved or particulate state.  </w:t>
      </w:r>
    </w:p>
    <w:p w14:paraId="2E577A84" w14:textId="77777777" w:rsidR="00CE1CC3" w:rsidRDefault="00CE1CC3" w:rsidP="00CE1CC3">
      <w:pPr>
        <w:spacing w:line="480" w:lineRule="auto"/>
        <w:jc w:val="both"/>
        <w:rPr>
          <w:rFonts w:cs="Arial"/>
        </w:rPr>
      </w:pPr>
      <w:r>
        <w:rPr>
          <w:rFonts w:cs="Arial"/>
        </w:rPr>
        <w:t xml:space="preserve">Mass transport out of Cell6 was only observed during storm events, with no secondary transport observed over the 30+hr period. This indicates that the iron transport only occurred during the rainfall event which coincides with the first flush of sampling from a dormant </w:t>
      </w:r>
      <w:proofErr w:type="spellStart"/>
      <w:r>
        <w:rPr>
          <w:rFonts w:cs="Arial"/>
        </w:rPr>
        <w:t>autosampler</w:t>
      </w:r>
      <w:proofErr w:type="spellEnd"/>
      <w:r>
        <w:rPr>
          <w:rFonts w:cs="Arial"/>
        </w:rPr>
        <w:t xml:space="preserve">. It is suspected that the flush of iron observed may be partially due to accumulated solids and biomass on the </w:t>
      </w:r>
      <w:proofErr w:type="spellStart"/>
      <w:r>
        <w:rPr>
          <w:rFonts w:cs="Arial"/>
        </w:rPr>
        <w:t>autosampler</w:t>
      </w:r>
      <w:proofErr w:type="spellEnd"/>
      <w:r>
        <w:rPr>
          <w:rFonts w:cs="Arial"/>
        </w:rPr>
        <w:t xml:space="preserve"> weighted sieve. Even with the three consecutive flush protocol preceding sample collection, there may not have been enough time between the rinsing phase and the sample collection phase for these first flush samples for this materials to clean out and not cause a false positive for iron in the transport profile samples (less than five minutes between first rinse, and sample #1 collection; 20 minutes to the second sample collection). Inclusion of these values into the mass transport was suspected to lead to a false positive overestimation of total iron exported from the MRPTS that was significantly different from the average mass export of 49</w:t>
      </w:r>
      <w:r>
        <w:rPr>
          <w:rFonts w:cs="Calibri"/>
        </w:rPr>
        <w:t xml:space="preserve"> ±</w:t>
      </w:r>
      <w:r>
        <w:rPr>
          <w:rFonts w:cs="Arial"/>
        </w:rPr>
        <w:t xml:space="preserve">18 kg/year due to storm induced </w:t>
      </w:r>
      <w:r>
        <w:rPr>
          <w:rFonts w:cs="Arial"/>
        </w:rPr>
        <w:lastRenderedPageBreak/>
        <w:t>transport of iron. The storm induced mass transport of iron determined from the dataset with the first flush outliers removed is 36.0</w:t>
      </w:r>
      <w:r>
        <w:rPr>
          <w:rFonts w:cs="Calibri"/>
        </w:rPr>
        <w:t>±10.6 kg/year</w:t>
      </w:r>
      <w:r>
        <w:rPr>
          <w:rFonts w:cs="Arial"/>
        </w:rPr>
        <w:t xml:space="preserve"> which is not significantly different from the uncorrected value (t stat = 1.08; t Critical = 2.35; one tailed Student’s t test with unequal variances). </w:t>
      </w:r>
    </w:p>
    <w:p w14:paraId="6D03EE05" w14:textId="77777777" w:rsidR="00CE1CC3" w:rsidRDefault="00CE1CC3" w:rsidP="00CE1CC3">
      <w:pPr>
        <w:spacing w:line="480" w:lineRule="auto"/>
        <w:jc w:val="both"/>
        <w:rPr>
          <w:rFonts w:cs="Arial"/>
        </w:rPr>
      </w:pPr>
      <w:r>
        <w:rPr>
          <w:rFonts w:cs="Arial"/>
        </w:rPr>
        <w:t xml:space="preserve">The calculation of iron mass loading is based on the area under the 24 measurement transport profiles rather than the concentration of a single data point like the first flush or the average of data points that may be skewed by artificially elevated concentrations within the first flush period. This procedure mitigates the impact of any single data point which may be acting as an outlier, and instead focuses on trends in transport over time.  As most of the mass transport for all cells occurs due to the disturbance of the precipitated iron </w:t>
      </w:r>
      <w:proofErr w:type="spellStart"/>
      <w:r>
        <w:rPr>
          <w:rFonts w:cs="Arial"/>
        </w:rPr>
        <w:t>oxyhydroxides</w:t>
      </w:r>
      <w:proofErr w:type="spellEnd"/>
      <w:r>
        <w:rPr>
          <w:rFonts w:cs="Arial"/>
        </w:rPr>
        <w:t xml:space="preserve"> in the water column, the transport profile is observed after the storm event. Only extreme storm events have peaks of iron transport that coincide with storm events of sufficient rainfall intensity to have triggered sampling. </w:t>
      </w:r>
    </w:p>
    <w:p w14:paraId="70FD3578" w14:textId="3EBF02B0" w:rsidR="00CE1CC3" w:rsidRDefault="00CE1CC3" w:rsidP="006D6139">
      <w:pPr>
        <w:spacing w:line="480" w:lineRule="auto"/>
        <w:jc w:val="both"/>
        <w:rPr>
          <w:rFonts w:cs="Arial"/>
        </w:rPr>
      </w:pPr>
    </w:p>
    <w:p w14:paraId="40D6F62D" w14:textId="77777777" w:rsidR="0088745B" w:rsidRPr="00A90E7E" w:rsidRDefault="0088745B" w:rsidP="006D6139">
      <w:pPr>
        <w:spacing w:line="480" w:lineRule="auto"/>
        <w:jc w:val="both"/>
        <w:rPr>
          <w:rFonts w:cs="Arial"/>
        </w:rPr>
      </w:pPr>
    </w:p>
    <w:p w14:paraId="262869BD" w14:textId="77777777" w:rsidR="00A90E7E" w:rsidRPr="00A90E7E" w:rsidRDefault="00A90E7E" w:rsidP="00A90E7E">
      <w:pPr>
        <w:spacing w:line="480" w:lineRule="auto"/>
        <w:jc w:val="both"/>
        <w:rPr>
          <w:rFonts w:cs="Arial"/>
        </w:rPr>
      </w:pPr>
      <w:r w:rsidRPr="00A90E7E">
        <w:rPr>
          <w:noProof/>
        </w:rPr>
        <w:lastRenderedPageBreak/>
        <w:drawing>
          <wp:inline distT="0" distB="0" distL="0" distR="0" wp14:anchorId="687CD156" wp14:editId="012C741C">
            <wp:extent cx="8006904" cy="5177790"/>
            <wp:effectExtent l="4763"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23264" t="30569" r="23263" b="11382"/>
                    <a:stretch/>
                  </pic:blipFill>
                  <pic:spPr bwMode="auto">
                    <a:xfrm rot="16200000">
                      <a:off x="0" y="0"/>
                      <a:ext cx="8057071" cy="5210231"/>
                    </a:xfrm>
                    <a:prstGeom prst="rect">
                      <a:avLst/>
                    </a:prstGeom>
                    <a:ln>
                      <a:noFill/>
                    </a:ln>
                    <a:extLst>
                      <a:ext uri="{53640926-AAD7-44D8-BBD7-CCE9431645EC}">
                        <a14:shadowObscured xmlns:a14="http://schemas.microsoft.com/office/drawing/2010/main"/>
                      </a:ext>
                    </a:extLst>
                  </pic:spPr>
                </pic:pic>
              </a:graphicData>
            </a:graphic>
          </wp:inline>
        </w:drawing>
      </w:r>
    </w:p>
    <w:p w14:paraId="76E2FBB5" w14:textId="77777777" w:rsidR="0088745B" w:rsidRPr="00A90E7E" w:rsidRDefault="0088745B" w:rsidP="0088745B">
      <w:pPr>
        <w:keepNext/>
        <w:keepLines/>
        <w:spacing w:before="40" w:after="0"/>
        <w:outlineLvl w:val="3"/>
        <w:rPr>
          <w:rFonts w:asciiTheme="majorHAnsi" w:eastAsiaTheme="majorEastAsia" w:hAnsiTheme="majorHAnsi" w:cstheme="majorBidi"/>
          <w:i/>
          <w:iCs/>
        </w:rPr>
      </w:pPr>
      <w:r w:rsidRPr="00A90E7E">
        <w:rPr>
          <w:rFonts w:asciiTheme="majorHAnsi" w:eastAsiaTheme="majorEastAsia" w:hAnsiTheme="majorHAnsi" w:cstheme="majorBidi"/>
          <w:i/>
          <w:iCs/>
        </w:rPr>
        <w:lastRenderedPageBreak/>
        <w:t>Significance of Transport</w:t>
      </w:r>
    </w:p>
    <w:p w14:paraId="7CDF3D7F" w14:textId="77777777" w:rsidR="0088745B" w:rsidRPr="00A90E7E" w:rsidRDefault="0088745B" w:rsidP="0088745B"/>
    <w:p w14:paraId="1B471CF6" w14:textId="77777777" w:rsidR="0088745B" w:rsidRPr="00A90E7E" w:rsidRDefault="0088745B" w:rsidP="0088745B">
      <w:pPr>
        <w:spacing w:line="480" w:lineRule="auto"/>
        <w:jc w:val="both"/>
        <w:rPr>
          <w:rFonts w:cs="Arial"/>
        </w:rPr>
      </w:pPr>
      <w:r w:rsidRPr="00A90E7E">
        <w:rPr>
          <w:rFonts w:cs="Arial"/>
        </w:rPr>
        <w:t>The statistical significance of storm induced mass transport with respect to baseline transport was evaluated using a single tailed t-test (</w:t>
      </w:r>
      <w:r w:rsidRPr="00A90E7E">
        <w:rPr>
          <w:rFonts w:cstheme="minorHAnsi"/>
        </w:rPr>
        <w:t>α</w:t>
      </w:r>
      <w:r w:rsidRPr="00A90E7E">
        <w:rPr>
          <w:rFonts w:cs="Arial"/>
        </w:rPr>
        <w:t xml:space="preserve"> = 0.05) for unpaired data with unequal variance. Although the amount of iron transported by individual storm events does not scale with increasing storm activity, the amount of iron being transported due to individual storm disturbances was statistically significant with respect to the baseline transport at all four locations (Table 3.6). This confirms that storms of any intensity will increase the concentration of transported iron significantly over the baseline concentration that would have persisted without storm disturbance. Sampling during acute transport events (during precipitation or for 30+ </w:t>
      </w:r>
      <w:proofErr w:type="spellStart"/>
      <w:r w:rsidRPr="00A90E7E">
        <w:rPr>
          <w:rFonts w:cs="Arial"/>
        </w:rPr>
        <w:t>hrs</w:t>
      </w:r>
      <w:proofErr w:type="spellEnd"/>
      <w:r w:rsidRPr="00A90E7E">
        <w:rPr>
          <w:rFonts w:cs="Arial"/>
        </w:rPr>
        <w:t xml:space="preserve"> following precipitation) will lead to falsely positive total iron concentrations. </w:t>
      </w:r>
    </w:p>
    <w:p w14:paraId="122ECB88" w14:textId="308EEE77" w:rsidR="0088745B" w:rsidRPr="00A90E7E" w:rsidRDefault="0088745B" w:rsidP="0088745B">
      <w:pPr>
        <w:spacing w:line="240" w:lineRule="auto"/>
        <w:rPr>
          <w:rFonts w:cs="Arial"/>
          <w:sz w:val="20"/>
        </w:rPr>
      </w:pPr>
      <w:r w:rsidRPr="00A90E7E">
        <w:rPr>
          <w:rFonts w:cs="Arial"/>
          <w:sz w:val="20"/>
        </w:rPr>
        <w:t>Table 3.</w:t>
      </w:r>
      <w:r>
        <w:rPr>
          <w:rFonts w:cs="Arial"/>
          <w:sz w:val="20"/>
        </w:rPr>
        <w:t>15</w:t>
      </w:r>
      <w:r w:rsidRPr="00A90E7E">
        <w:rPr>
          <w:rFonts w:cs="Arial"/>
          <w:sz w:val="20"/>
        </w:rPr>
        <w:t>: t test results (</w:t>
      </w:r>
      <w:r w:rsidRPr="00A90E7E">
        <w:rPr>
          <w:rFonts w:cstheme="minorHAnsi"/>
          <w:sz w:val="20"/>
        </w:rPr>
        <w:t>α</w:t>
      </w:r>
      <w:r w:rsidRPr="00A90E7E">
        <w:rPr>
          <w:rFonts w:cs="Arial"/>
          <w:sz w:val="20"/>
        </w:rPr>
        <w:t xml:space="preserve"> = 0.05, 1 tailed, unpaired) for storm transport by location </w:t>
      </w:r>
    </w:p>
    <w:tbl>
      <w:tblPr>
        <w:tblW w:w="8280" w:type="dxa"/>
        <w:tblLook w:val="04A0" w:firstRow="1" w:lastRow="0" w:firstColumn="1" w:lastColumn="0" w:noHBand="0" w:noVBand="1"/>
      </w:tblPr>
      <w:tblGrid>
        <w:gridCol w:w="1080"/>
        <w:gridCol w:w="1620"/>
        <w:gridCol w:w="1440"/>
        <w:gridCol w:w="540"/>
        <w:gridCol w:w="900"/>
        <w:gridCol w:w="1080"/>
        <w:gridCol w:w="1620"/>
      </w:tblGrid>
      <w:tr w:rsidR="0088745B" w:rsidRPr="00A90E7E" w14:paraId="41C5F434" w14:textId="77777777" w:rsidTr="000B63E4">
        <w:trPr>
          <w:trHeight w:val="300"/>
        </w:trPr>
        <w:tc>
          <w:tcPr>
            <w:tcW w:w="1080" w:type="dxa"/>
            <w:tcBorders>
              <w:top w:val="single" w:sz="4" w:space="0" w:color="auto"/>
              <w:left w:val="nil"/>
              <w:bottom w:val="nil"/>
              <w:right w:val="nil"/>
            </w:tcBorders>
            <w:shd w:val="clear" w:color="auto" w:fill="auto"/>
            <w:noWrap/>
            <w:vAlign w:val="bottom"/>
            <w:hideMark/>
          </w:tcPr>
          <w:p w14:paraId="2842E2CB" w14:textId="77777777" w:rsidR="0088745B" w:rsidRPr="00A90E7E" w:rsidRDefault="0088745B" w:rsidP="000B63E4">
            <w:pPr>
              <w:spacing w:after="0" w:line="24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 </w:t>
            </w:r>
          </w:p>
        </w:tc>
        <w:tc>
          <w:tcPr>
            <w:tcW w:w="3060" w:type="dxa"/>
            <w:gridSpan w:val="2"/>
            <w:tcBorders>
              <w:top w:val="single" w:sz="4" w:space="0" w:color="auto"/>
              <w:left w:val="nil"/>
              <w:bottom w:val="nil"/>
              <w:right w:val="nil"/>
            </w:tcBorders>
            <w:shd w:val="clear" w:color="auto" w:fill="auto"/>
            <w:noWrap/>
            <w:vAlign w:val="bottom"/>
            <w:hideMark/>
          </w:tcPr>
          <w:p w14:paraId="29035D0A" w14:textId="77777777" w:rsidR="0088745B" w:rsidRPr="00A90E7E" w:rsidRDefault="0088745B" w:rsidP="000B63E4">
            <w:pPr>
              <w:spacing w:after="0" w:line="24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Average Transport (kg/storm) ± σ</w:t>
            </w:r>
          </w:p>
        </w:tc>
        <w:tc>
          <w:tcPr>
            <w:tcW w:w="540" w:type="dxa"/>
            <w:tcBorders>
              <w:top w:val="single" w:sz="4" w:space="0" w:color="auto"/>
              <w:left w:val="nil"/>
              <w:bottom w:val="nil"/>
              <w:right w:val="nil"/>
            </w:tcBorders>
            <w:shd w:val="clear" w:color="auto" w:fill="auto"/>
            <w:noWrap/>
            <w:vAlign w:val="bottom"/>
            <w:hideMark/>
          </w:tcPr>
          <w:p w14:paraId="01151391" w14:textId="77777777" w:rsidR="0088745B" w:rsidRPr="00A90E7E" w:rsidRDefault="0088745B" w:rsidP="000B63E4">
            <w:pPr>
              <w:spacing w:after="0" w:line="24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 </w:t>
            </w:r>
          </w:p>
        </w:tc>
        <w:tc>
          <w:tcPr>
            <w:tcW w:w="900" w:type="dxa"/>
            <w:tcBorders>
              <w:top w:val="single" w:sz="4" w:space="0" w:color="auto"/>
              <w:left w:val="nil"/>
              <w:bottom w:val="nil"/>
              <w:right w:val="nil"/>
            </w:tcBorders>
            <w:shd w:val="clear" w:color="auto" w:fill="auto"/>
            <w:noWrap/>
            <w:vAlign w:val="bottom"/>
            <w:hideMark/>
          </w:tcPr>
          <w:p w14:paraId="209C475E" w14:textId="77777777" w:rsidR="0088745B" w:rsidRPr="00A90E7E" w:rsidRDefault="0088745B" w:rsidP="000B63E4">
            <w:pPr>
              <w:spacing w:after="0" w:line="24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 </w:t>
            </w:r>
          </w:p>
        </w:tc>
        <w:tc>
          <w:tcPr>
            <w:tcW w:w="1080" w:type="dxa"/>
            <w:tcBorders>
              <w:top w:val="single" w:sz="4" w:space="0" w:color="auto"/>
              <w:left w:val="nil"/>
              <w:bottom w:val="nil"/>
              <w:right w:val="nil"/>
            </w:tcBorders>
            <w:shd w:val="clear" w:color="auto" w:fill="auto"/>
            <w:noWrap/>
            <w:vAlign w:val="bottom"/>
            <w:hideMark/>
          </w:tcPr>
          <w:p w14:paraId="266AA2A4" w14:textId="77777777" w:rsidR="0088745B" w:rsidRPr="00A90E7E" w:rsidRDefault="0088745B" w:rsidP="000B63E4">
            <w:pPr>
              <w:spacing w:after="0" w:line="24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 </w:t>
            </w:r>
          </w:p>
        </w:tc>
        <w:tc>
          <w:tcPr>
            <w:tcW w:w="1620" w:type="dxa"/>
            <w:tcBorders>
              <w:top w:val="single" w:sz="4" w:space="0" w:color="auto"/>
              <w:left w:val="nil"/>
              <w:bottom w:val="nil"/>
              <w:right w:val="nil"/>
            </w:tcBorders>
            <w:shd w:val="clear" w:color="auto" w:fill="auto"/>
            <w:noWrap/>
            <w:vAlign w:val="bottom"/>
            <w:hideMark/>
          </w:tcPr>
          <w:p w14:paraId="63EE231D" w14:textId="77777777" w:rsidR="0088745B" w:rsidRPr="00A90E7E" w:rsidRDefault="0088745B" w:rsidP="000B63E4">
            <w:pPr>
              <w:spacing w:after="0" w:line="24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 </w:t>
            </w:r>
          </w:p>
        </w:tc>
      </w:tr>
      <w:tr w:rsidR="0088745B" w:rsidRPr="00A90E7E" w14:paraId="68FFB966" w14:textId="77777777" w:rsidTr="000B63E4">
        <w:trPr>
          <w:trHeight w:val="315"/>
        </w:trPr>
        <w:tc>
          <w:tcPr>
            <w:tcW w:w="1080" w:type="dxa"/>
            <w:tcBorders>
              <w:top w:val="nil"/>
              <w:left w:val="nil"/>
              <w:bottom w:val="double" w:sz="6" w:space="0" w:color="auto"/>
              <w:right w:val="nil"/>
            </w:tcBorders>
            <w:shd w:val="clear" w:color="auto" w:fill="auto"/>
            <w:vAlign w:val="bottom"/>
            <w:hideMark/>
          </w:tcPr>
          <w:p w14:paraId="623636D2" w14:textId="77777777" w:rsidR="0088745B" w:rsidRPr="00A90E7E" w:rsidRDefault="0088745B" w:rsidP="000B63E4">
            <w:pPr>
              <w:spacing w:after="0" w:line="24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Location</w:t>
            </w:r>
          </w:p>
        </w:tc>
        <w:tc>
          <w:tcPr>
            <w:tcW w:w="1620" w:type="dxa"/>
            <w:tcBorders>
              <w:top w:val="nil"/>
              <w:left w:val="nil"/>
              <w:bottom w:val="double" w:sz="6" w:space="0" w:color="auto"/>
              <w:right w:val="nil"/>
            </w:tcBorders>
            <w:shd w:val="clear" w:color="auto" w:fill="auto"/>
            <w:vAlign w:val="bottom"/>
            <w:hideMark/>
          </w:tcPr>
          <w:p w14:paraId="54E1FE83" w14:textId="77777777" w:rsidR="0088745B" w:rsidRPr="00A90E7E" w:rsidRDefault="0088745B" w:rsidP="000B63E4">
            <w:pPr>
              <w:spacing w:after="0" w:line="24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 xml:space="preserve">Storm Induced </w:t>
            </w:r>
          </w:p>
        </w:tc>
        <w:tc>
          <w:tcPr>
            <w:tcW w:w="1440" w:type="dxa"/>
            <w:tcBorders>
              <w:top w:val="nil"/>
              <w:left w:val="nil"/>
              <w:bottom w:val="double" w:sz="6" w:space="0" w:color="auto"/>
              <w:right w:val="nil"/>
            </w:tcBorders>
            <w:shd w:val="clear" w:color="auto" w:fill="auto"/>
            <w:vAlign w:val="bottom"/>
            <w:hideMark/>
          </w:tcPr>
          <w:p w14:paraId="7CEDDAD3" w14:textId="77777777" w:rsidR="0088745B" w:rsidRPr="00A90E7E" w:rsidRDefault="0088745B" w:rsidP="000B63E4">
            <w:pPr>
              <w:spacing w:after="0" w:line="24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Baseline</w:t>
            </w:r>
          </w:p>
        </w:tc>
        <w:tc>
          <w:tcPr>
            <w:tcW w:w="540" w:type="dxa"/>
            <w:tcBorders>
              <w:top w:val="nil"/>
              <w:left w:val="nil"/>
              <w:bottom w:val="double" w:sz="6" w:space="0" w:color="auto"/>
              <w:right w:val="nil"/>
            </w:tcBorders>
            <w:shd w:val="clear" w:color="auto" w:fill="auto"/>
            <w:vAlign w:val="bottom"/>
            <w:hideMark/>
          </w:tcPr>
          <w:p w14:paraId="4BF0DECA" w14:textId="77777777" w:rsidR="0088745B" w:rsidRPr="00A90E7E" w:rsidRDefault="0088745B" w:rsidP="000B63E4">
            <w:pPr>
              <w:spacing w:after="0" w:line="240" w:lineRule="auto"/>
              <w:jc w:val="center"/>
              <w:rPr>
                <w:rFonts w:ascii="Calibri" w:eastAsia="Times New Roman" w:hAnsi="Calibri" w:cs="Calibri"/>
                <w:color w:val="000000"/>
                <w:sz w:val="20"/>
              </w:rPr>
            </w:pPr>
            <w:proofErr w:type="spellStart"/>
            <w:r w:rsidRPr="00A90E7E">
              <w:rPr>
                <w:rFonts w:ascii="Calibri" w:eastAsia="Times New Roman" w:hAnsi="Calibri" w:cs="Calibri"/>
                <w:color w:val="000000"/>
                <w:sz w:val="20"/>
              </w:rPr>
              <w:t>df</w:t>
            </w:r>
            <w:proofErr w:type="spellEnd"/>
          </w:p>
        </w:tc>
        <w:tc>
          <w:tcPr>
            <w:tcW w:w="900" w:type="dxa"/>
            <w:tcBorders>
              <w:top w:val="nil"/>
              <w:left w:val="nil"/>
              <w:bottom w:val="double" w:sz="6" w:space="0" w:color="auto"/>
              <w:right w:val="nil"/>
            </w:tcBorders>
            <w:shd w:val="clear" w:color="auto" w:fill="auto"/>
            <w:vAlign w:val="bottom"/>
            <w:hideMark/>
          </w:tcPr>
          <w:p w14:paraId="729FDB3F" w14:textId="77777777" w:rsidR="0088745B" w:rsidRPr="00A90E7E" w:rsidRDefault="0088745B" w:rsidP="000B63E4">
            <w:pPr>
              <w:spacing w:after="0" w:line="24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t Stat</w:t>
            </w:r>
          </w:p>
        </w:tc>
        <w:tc>
          <w:tcPr>
            <w:tcW w:w="1080" w:type="dxa"/>
            <w:tcBorders>
              <w:top w:val="nil"/>
              <w:left w:val="nil"/>
              <w:bottom w:val="double" w:sz="6" w:space="0" w:color="auto"/>
              <w:right w:val="nil"/>
            </w:tcBorders>
            <w:shd w:val="clear" w:color="auto" w:fill="auto"/>
            <w:vAlign w:val="bottom"/>
            <w:hideMark/>
          </w:tcPr>
          <w:p w14:paraId="79AB075B" w14:textId="77777777" w:rsidR="0088745B" w:rsidRPr="00A90E7E" w:rsidRDefault="0088745B" w:rsidP="000B63E4">
            <w:pPr>
              <w:spacing w:after="0" w:line="24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T Critical</w:t>
            </w:r>
          </w:p>
        </w:tc>
        <w:tc>
          <w:tcPr>
            <w:tcW w:w="1620" w:type="dxa"/>
            <w:tcBorders>
              <w:top w:val="nil"/>
              <w:left w:val="nil"/>
              <w:bottom w:val="double" w:sz="6" w:space="0" w:color="auto"/>
              <w:right w:val="nil"/>
            </w:tcBorders>
            <w:shd w:val="clear" w:color="auto" w:fill="auto"/>
            <w:vAlign w:val="bottom"/>
            <w:hideMark/>
          </w:tcPr>
          <w:p w14:paraId="3146177C" w14:textId="77777777" w:rsidR="0088745B" w:rsidRPr="00A90E7E" w:rsidRDefault="0088745B" w:rsidP="000B63E4">
            <w:pPr>
              <w:spacing w:after="0" w:line="24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Interpretation</w:t>
            </w:r>
          </w:p>
        </w:tc>
      </w:tr>
      <w:tr w:rsidR="0088745B" w:rsidRPr="00A90E7E" w14:paraId="09A218DF" w14:textId="77777777" w:rsidTr="000B63E4">
        <w:trPr>
          <w:trHeight w:val="315"/>
        </w:trPr>
        <w:tc>
          <w:tcPr>
            <w:tcW w:w="1080" w:type="dxa"/>
            <w:tcBorders>
              <w:top w:val="nil"/>
              <w:left w:val="nil"/>
              <w:bottom w:val="nil"/>
              <w:right w:val="nil"/>
            </w:tcBorders>
            <w:shd w:val="clear" w:color="auto" w:fill="auto"/>
            <w:vAlign w:val="bottom"/>
            <w:hideMark/>
          </w:tcPr>
          <w:p w14:paraId="35787797" w14:textId="77777777" w:rsidR="0088745B" w:rsidRPr="00A90E7E" w:rsidRDefault="0088745B" w:rsidP="000B63E4">
            <w:pPr>
              <w:spacing w:after="0" w:line="360" w:lineRule="auto"/>
              <w:rPr>
                <w:rFonts w:ascii="Calibri" w:eastAsia="Times New Roman" w:hAnsi="Calibri" w:cs="Calibri"/>
                <w:color w:val="000000"/>
                <w:sz w:val="20"/>
              </w:rPr>
            </w:pPr>
            <w:r w:rsidRPr="00A90E7E">
              <w:rPr>
                <w:rFonts w:ascii="Calibri" w:eastAsia="Times New Roman" w:hAnsi="Calibri" w:cs="Calibri"/>
                <w:color w:val="000000"/>
                <w:sz w:val="20"/>
              </w:rPr>
              <w:t>Cell 1</w:t>
            </w:r>
          </w:p>
        </w:tc>
        <w:tc>
          <w:tcPr>
            <w:tcW w:w="1620" w:type="dxa"/>
            <w:tcBorders>
              <w:top w:val="nil"/>
              <w:left w:val="nil"/>
              <w:bottom w:val="nil"/>
              <w:right w:val="nil"/>
            </w:tcBorders>
            <w:shd w:val="clear" w:color="auto" w:fill="auto"/>
            <w:vAlign w:val="bottom"/>
            <w:hideMark/>
          </w:tcPr>
          <w:p w14:paraId="6990A728"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8.69±5.76</w:t>
            </w:r>
          </w:p>
        </w:tc>
        <w:tc>
          <w:tcPr>
            <w:tcW w:w="1440" w:type="dxa"/>
            <w:tcBorders>
              <w:top w:val="nil"/>
              <w:left w:val="nil"/>
              <w:bottom w:val="nil"/>
              <w:right w:val="nil"/>
            </w:tcBorders>
            <w:shd w:val="clear" w:color="auto" w:fill="auto"/>
            <w:vAlign w:val="bottom"/>
            <w:hideMark/>
          </w:tcPr>
          <w:p w14:paraId="6D69986C"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2.49±1.74</w:t>
            </w:r>
          </w:p>
        </w:tc>
        <w:tc>
          <w:tcPr>
            <w:tcW w:w="540" w:type="dxa"/>
            <w:tcBorders>
              <w:top w:val="nil"/>
              <w:left w:val="nil"/>
              <w:bottom w:val="nil"/>
              <w:right w:val="nil"/>
            </w:tcBorders>
            <w:shd w:val="clear" w:color="auto" w:fill="auto"/>
            <w:vAlign w:val="bottom"/>
            <w:hideMark/>
          </w:tcPr>
          <w:p w14:paraId="070960D9"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12</w:t>
            </w:r>
          </w:p>
        </w:tc>
        <w:tc>
          <w:tcPr>
            <w:tcW w:w="900" w:type="dxa"/>
            <w:tcBorders>
              <w:top w:val="nil"/>
              <w:left w:val="nil"/>
              <w:bottom w:val="nil"/>
              <w:right w:val="nil"/>
            </w:tcBorders>
            <w:shd w:val="clear" w:color="auto" w:fill="auto"/>
            <w:vAlign w:val="bottom"/>
            <w:hideMark/>
          </w:tcPr>
          <w:p w14:paraId="0DD510D1"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3.42</w:t>
            </w:r>
          </w:p>
        </w:tc>
        <w:tc>
          <w:tcPr>
            <w:tcW w:w="1080" w:type="dxa"/>
            <w:tcBorders>
              <w:top w:val="nil"/>
              <w:left w:val="nil"/>
              <w:bottom w:val="nil"/>
              <w:right w:val="nil"/>
            </w:tcBorders>
            <w:shd w:val="clear" w:color="auto" w:fill="auto"/>
            <w:vAlign w:val="bottom"/>
            <w:hideMark/>
          </w:tcPr>
          <w:p w14:paraId="41F2ED4E"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1.78</w:t>
            </w:r>
          </w:p>
        </w:tc>
        <w:tc>
          <w:tcPr>
            <w:tcW w:w="1620" w:type="dxa"/>
            <w:tcBorders>
              <w:top w:val="nil"/>
              <w:left w:val="nil"/>
              <w:bottom w:val="nil"/>
              <w:right w:val="nil"/>
            </w:tcBorders>
            <w:shd w:val="clear" w:color="auto" w:fill="auto"/>
            <w:vAlign w:val="bottom"/>
            <w:hideMark/>
          </w:tcPr>
          <w:p w14:paraId="1F8698D6"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Significant</w:t>
            </w:r>
          </w:p>
        </w:tc>
      </w:tr>
      <w:tr w:rsidR="0088745B" w:rsidRPr="00A90E7E" w14:paraId="1F953749" w14:textId="77777777" w:rsidTr="000B63E4">
        <w:trPr>
          <w:trHeight w:val="300"/>
        </w:trPr>
        <w:tc>
          <w:tcPr>
            <w:tcW w:w="1080" w:type="dxa"/>
            <w:tcBorders>
              <w:top w:val="nil"/>
              <w:left w:val="nil"/>
              <w:bottom w:val="nil"/>
              <w:right w:val="nil"/>
            </w:tcBorders>
            <w:shd w:val="clear" w:color="auto" w:fill="auto"/>
            <w:vAlign w:val="bottom"/>
            <w:hideMark/>
          </w:tcPr>
          <w:p w14:paraId="2AA0CF4C" w14:textId="77777777" w:rsidR="0088745B" w:rsidRPr="00A90E7E" w:rsidRDefault="0088745B" w:rsidP="000B63E4">
            <w:pPr>
              <w:spacing w:after="0" w:line="360" w:lineRule="auto"/>
              <w:rPr>
                <w:rFonts w:ascii="Calibri" w:eastAsia="Times New Roman" w:hAnsi="Calibri" w:cs="Calibri"/>
                <w:color w:val="000000"/>
                <w:sz w:val="20"/>
              </w:rPr>
            </w:pPr>
            <w:r w:rsidRPr="00A90E7E">
              <w:rPr>
                <w:rFonts w:ascii="Calibri" w:eastAsia="Times New Roman" w:hAnsi="Calibri" w:cs="Calibri"/>
                <w:color w:val="000000"/>
                <w:sz w:val="20"/>
              </w:rPr>
              <w:t>Cell 2N+S</w:t>
            </w:r>
          </w:p>
        </w:tc>
        <w:tc>
          <w:tcPr>
            <w:tcW w:w="1620" w:type="dxa"/>
            <w:tcBorders>
              <w:top w:val="nil"/>
              <w:left w:val="nil"/>
              <w:bottom w:val="nil"/>
              <w:right w:val="nil"/>
            </w:tcBorders>
            <w:shd w:val="clear" w:color="auto" w:fill="auto"/>
            <w:vAlign w:val="bottom"/>
            <w:hideMark/>
          </w:tcPr>
          <w:p w14:paraId="763D577F"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hAnsi="Calibri" w:cs="Calibri"/>
                <w:color w:val="000000"/>
                <w:sz w:val="20"/>
              </w:rPr>
              <w:t>0.96±0.47</w:t>
            </w:r>
          </w:p>
        </w:tc>
        <w:tc>
          <w:tcPr>
            <w:tcW w:w="1440" w:type="dxa"/>
            <w:tcBorders>
              <w:top w:val="nil"/>
              <w:left w:val="nil"/>
              <w:bottom w:val="nil"/>
              <w:right w:val="nil"/>
            </w:tcBorders>
            <w:shd w:val="clear" w:color="auto" w:fill="auto"/>
            <w:vAlign w:val="bottom"/>
            <w:hideMark/>
          </w:tcPr>
          <w:p w14:paraId="2A528884"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hAnsi="Calibri" w:cs="Calibri"/>
                <w:color w:val="000000"/>
                <w:sz w:val="20"/>
              </w:rPr>
              <w:t>0.44±0.50</w:t>
            </w:r>
          </w:p>
        </w:tc>
        <w:tc>
          <w:tcPr>
            <w:tcW w:w="540" w:type="dxa"/>
            <w:tcBorders>
              <w:top w:val="nil"/>
              <w:left w:val="nil"/>
              <w:bottom w:val="nil"/>
              <w:right w:val="nil"/>
            </w:tcBorders>
            <w:shd w:val="clear" w:color="auto" w:fill="auto"/>
            <w:vAlign w:val="bottom"/>
            <w:hideMark/>
          </w:tcPr>
          <w:p w14:paraId="3B4C00A7"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20</w:t>
            </w:r>
          </w:p>
        </w:tc>
        <w:tc>
          <w:tcPr>
            <w:tcW w:w="900" w:type="dxa"/>
            <w:tcBorders>
              <w:top w:val="nil"/>
              <w:left w:val="nil"/>
              <w:bottom w:val="nil"/>
              <w:right w:val="nil"/>
            </w:tcBorders>
            <w:shd w:val="clear" w:color="auto" w:fill="auto"/>
            <w:vAlign w:val="bottom"/>
            <w:hideMark/>
          </w:tcPr>
          <w:p w14:paraId="6DC1D231"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1.9</w:t>
            </w:r>
          </w:p>
        </w:tc>
        <w:tc>
          <w:tcPr>
            <w:tcW w:w="1080" w:type="dxa"/>
            <w:tcBorders>
              <w:top w:val="nil"/>
              <w:left w:val="nil"/>
              <w:bottom w:val="nil"/>
              <w:right w:val="nil"/>
            </w:tcBorders>
            <w:shd w:val="clear" w:color="auto" w:fill="auto"/>
            <w:vAlign w:val="bottom"/>
            <w:hideMark/>
          </w:tcPr>
          <w:p w14:paraId="3FA9A59A"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1.72</w:t>
            </w:r>
          </w:p>
        </w:tc>
        <w:tc>
          <w:tcPr>
            <w:tcW w:w="1620" w:type="dxa"/>
            <w:tcBorders>
              <w:top w:val="nil"/>
              <w:left w:val="nil"/>
              <w:bottom w:val="nil"/>
              <w:right w:val="nil"/>
            </w:tcBorders>
            <w:shd w:val="clear" w:color="auto" w:fill="auto"/>
            <w:vAlign w:val="bottom"/>
            <w:hideMark/>
          </w:tcPr>
          <w:p w14:paraId="6A42CBE6"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Significant</w:t>
            </w:r>
          </w:p>
        </w:tc>
      </w:tr>
      <w:tr w:rsidR="0088745B" w:rsidRPr="00A90E7E" w14:paraId="69B30462" w14:textId="77777777" w:rsidTr="000B63E4">
        <w:trPr>
          <w:trHeight w:val="300"/>
        </w:trPr>
        <w:tc>
          <w:tcPr>
            <w:tcW w:w="1080" w:type="dxa"/>
            <w:tcBorders>
              <w:top w:val="nil"/>
              <w:left w:val="nil"/>
              <w:bottom w:val="single" w:sz="4" w:space="0" w:color="auto"/>
              <w:right w:val="nil"/>
            </w:tcBorders>
            <w:shd w:val="clear" w:color="auto" w:fill="auto"/>
            <w:vAlign w:val="bottom"/>
            <w:hideMark/>
          </w:tcPr>
          <w:p w14:paraId="3A76A13E" w14:textId="77777777" w:rsidR="0088745B" w:rsidRPr="00A90E7E" w:rsidRDefault="0088745B" w:rsidP="000B63E4">
            <w:pPr>
              <w:spacing w:after="0" w:line="360" w:lineRule="auto"/>
              <w:rPr>
                <w:rFonts w:ascii="Calibri" w:eastAsia="Times New Roman" w:hAnsi="Calibri" w:cs="Calibri"/>
                <w:color w:val="000000"/>
                <w:sz w:val="20"/>
              </w:rPr>
            </w:pPr>
            <w:r w:rsidRPr="00A90E7E">
              <w:rPr>
                <w:rFonts w:ascii="Calibri" w:eastAsia="Times New Roman" w:hAnsi="Calibri" w:cs="Calibri"/>
                <w:color w:val="000000"/>
                <w:sz w:val="20"/>
              </w:rPr>
              <w:t>Cell 6</w:t>
            </w:r>
          </w:p>
        </w:tc>
        <w:tc>
          <w:tcPr>
            <w:tcW w:w="1620" w:type="dxa"/>
            <w:tcBorders>
              <w:top w:val="nil"/>
              <w:left w:val="nil"/>
              <w:bottom w:val="single" w:sz="4" w:space="0" w:color="auto"/>
              <w:right w:val="nil"/>
            </w:tcBorders>
            <w:shd w:val="clear" w:color="auto" w:fill="auto"/>
            <w:vAlign w:val="bottom"/>
            <w:hideMark/>
          </w:tcPr>
          <w:p w14:paraId="7414AA6D"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0.33±0.27</w:t>
            </w:r>
          </w:p>
        </w:tc>
        <w:tc>
          <w:tcPr>
            <w:tcW w:w="1440" w:type="dxa"/>
            <w:tcBorders>
              <w:top w:val="nil"/>
              <w:left w:val="nil"/>
              <w:bottom w:val="single" w:sz="4" w:space="0" w:color="auto"/>
              <w:right w:val="nil"/>
            </w:tcBorders>
            <w:shd w:val="clear" w:color="auto" w:fill="auto"/>
            <w:vAlign w:val="bottom"/>
            <w:hideMark/>
          </w:tcPr>
          <w:p w14:paraId="57DB0ECF"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0.13±0.08</w:t>
            </w:r>
          </w:p>
        </w:tc>
        <w:tc>
          <w:tcPr>
            <w:tcW w:w="540" w:type="dxa"/>
            <w:tcBorders>
              <w:top w:val="nil"/>
              <w:left w:val="nil"/>
              <w:bottom w:val="single" w:sz="4" w:space="0" w:color="auto"/>
              <w:right w:val="nil"/>
            </w:tcBorders>
            <w:shd w:val="clear" w:color="auto" w:fill="auto"/>
            <w:vAlign w:val="bottom"/>
            <w:hideMark/>
          </w:tcPr>
          <w:p w14:paraId="09D3F4BE"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12</w:t>
            </w:r>
          </w:p>
        </w:tc>
        <w:tc>
          <w:tcPr>
            <w:tcW w:w="900" w:type="dxa"/>
            <w:tcBorders>
              <w:top w:val="nil"/>
              <w:left w:val="nil"/>
              <w:bottom w:val="single" w:sz="4" w:space="0" w:color="auto"/>
              <w:right w:val="nil"/>
            </w:tcBorders>
            <w:shd w:val="clear" w:color="auto" w:fill="auto"/>
            <w:vAlign w:val="bottom"/>
            <w:hideMark/>
          </w:tcPr>
          <w:p w14:paraId="2360D2D3"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2.56</w:t>
            </w:r>
          </w:p>
        </w:tc>
        <w:tc>
          <w:tcPr>
            <w:tcW w:w="1080" w:type="dxa"/>
            <w:tcBorders>
              <w:top w:val="nil"/>
              <w:left w:val="nil"/>
              <w:bottom w:val="single" w:sz="4" w:space="0" w:color="auto"/>
              <w:right w:val="nil"/>
            </w:tcBorders>
            <w:shd w:val="clear" w:color="auto" w:fill="auto"/>
            <w:vAlign w:val="bottom"/>
            <w:hideMark/>
          </w:tcPr>
          <w:p w14:paraId="5484AC29"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1.78</w:t>
            </w:r>
          </w:p>
        </w:tc>
        <w:tc>
          <w:tcPr>
            <w:tcW w:w="1620" w:type="dxa"/>
            <w:tcBorders>
              <w:top w:val="nil"/>
              <w:left w:val="nil"/>
              <w:bottom w:val="single" w:sz="4" w:space="0" w:color="auto"/>
              <w:right w:val="nil"/>
            </w:tcBorders>
            <w:shd w:val="clear" w:color="auto" w:fill="auto"/>
            <w:vAlign w:val="bottom"/>
            <w:hideMark/>
          </w:tcPr>
          <w:p w14:paraId="00CD93FD" w14:textId="77777777" w:rsidR="0088745B" w:rsidRPr="00A90E7E" w:rsidRDefault="0088745B" w:rsidP="000B63E4">
            <w:pPr>
              <w:spacing w:after="0" w:line="360" w:lineRule="auto"/>
              <w:jc w:val="center"/>
              <w:rPr>
                <w:rFonts w:ascii="Calibri" w:eastAsia="Times New Roman" w:hAnsi="Calibri" w:cs="Calibri"/>
                <w:color w:val="000000"/>
                <w:sz w:val="20"/>
              </w:rPr>
            </w:pPr>
            <w:r w:rsidRPr="00A90E7E">
              <w:rPr>
                <w:rFonts w:ascii="Calibri" w:eastAsia="Times New Roman" w:hAnsi="Calibri" w:cs="Calibri"/>
                <w:color w:val="000000"/>
                <w:sz w:val="20"/>
              </w:rPr>
              <w:t>Significant</w:t>
            </w:r>
          </w:p>
        </w:tc>
      </w:tr>
    </w:tbl>
    <w:p w14:paraId="13BC1BA4" w14:textId="77777777" w:rsidR="0088745B" w:rsidRDefault="0088745B" w:rsidP="0088745B">
      <w:pPr>
        <w:keepNext/>
        <w:keepLines/>
        <w:spacing w:before="40" w:after="0"/>
        <w:outlineLvl w:val="1"/>
        <w:rPr>
          <w:rFonts w:asciiTheme="majorHAnsi" w:eastAsiaTheme="majorEastAsia" w:hAnsiTheme="majorHAnsi" w:cstheme="majorBidi"/>
          <w:b/>
          <w:sz w:val="24"/>
          <w:szCs w:val="26"/>
        </w:rPr>
      </w:pPr>
    </w:p>
    <w:p w14:paraId="327D2112" w14:textId="77777777" w:rsidR="0088745B" w:rsidRPr="00A90E7E" w:rsidRDefault="0088745B" w:rsidP="0088745B">
      <w:pPr>
        <w:keepNext/>
        <w:keepLines/>
        <w:spacing w:before="40" w:after="0"/>
        <w:outlineLvl w:val="1"/>
        <w:rPr>
          <w:rFonts w:asciiTheme="majorHAnsi" w:eastAsiaTheme="majorEastAsia" w:hAnsiTheme="majorHAnsi" w:cstheme="majorBidi"/>
          <w:b/>
          <w:sz w:val="24"/>
          <w:szCs w:val="26"/>
        </w:rPr>
      </w:pPr>
    </w:p>
    <w:p w14:paraId="056A75C0" w14:textId="77777777" w:rsidR="0088745B" w:rsidRPr="00A90E7E" w:rsidRDefault="0088745B" w:rsidP="0088745B">
      <w:pPr>
        <w:keepNext/>
        <w:keepLines/>
        <w:spacing w:before="40" w:after="0"/>
        <w:outlineLvl w:val="3"/>
        <w:rPr>
          <w:rFonts w:asciiTheme="majorHAnsi" w:eastAsiaTheme="majorEastAsia" w:hAnsiTheme="majorHAnsi" w:cstheme="majorBidi"/>
          <w:i/>
          <w:iCs/>
        </w:rPr>
      </w:pPr>
      <w:r w:rsidRPr="00A90E7E">
        <w:rPr>
          <w:rFonts w:asciiTheme="majorHAnsi" w:eastAsiaTheme="majorEastAsia" w:hAnsiTheme="majorHAnsi" w:cstheme="majorBidi"/>
          <w:i/>
          <w:iCs/>
        </w:rPr>
        <w:t>Mechanism of Transport</w:t>
      </w:r>
    </w:p>
    <w:p w14:paraId="603401CB" w14:textId="77777777" w:rsidR="0088745B" w:rsidRPr="00A90E7E" w:rsidRDefault="0088745B" w:rsidP="0088745B"/>
    <w:p w14:paraId="4635A7AE" w14:textId="77777777" w:rsidR="0088745B" w:rsidRPr="00A90E7E" w:rsidRDefault="0088745B" w:rsidP="0088745B">
      <w:pPr>
        <w:spacing w:line="480" w:lineRule="auto"/>
        <w:jc w:val="both"/>
        <w:rPr>
          <w:rFonts w:cs="Arial"/>
        </w:rPr>
      </w:pPr>
      <w:r w:rsidRPr="00A90E7E">
        <w:rPr>
          <w:rFonts w:cs="Arial"/>
        </w:rPr>
        <w:t xml:space="preserve">There are two main lines of thought regarding the mechanism of storm-induced total iron transport. Both perspectives focus on the transport of precipitated iron </w:t>
      </w:r>
      <w:proofErr w:type="spellStart"/>
      <w:r w:rsidRPr="00A90E7E">
        <w:rPr>
          <w:rFonts w:cs="Arial"/>
        </w:rPr>
        <w:t>oxyhydroxides</w:t>
      </w:r>
      <w:proofErr w:type="spellEnd"/>
    </w:p>
    <w:p w14:paraId="1AE57D3B" w14:textId="58D85A70" w:rsidR="00A90E7E" w:rsidRPr="00A90E7E" w:rsidRDefault="00A90E7E" w:rsidP="00A90E7E">
      <w:pPr>
        <w:spacing w:line="480" w:lineRule="auto"/>
        <w:jc w:val="both"/>
        <w:rPr>
          <w:rFonts w:cs="Arial"/>
        </w:rPr>
      </w:pPr>
      <w:r w:rsidRPr="00A90E7E">
        <w:rPr>
          <w:rFonts w:cs="Arial"/>
        </w:rPr>
        <w:t xml:space="preserve">between cells with their principle difference centered on the source of the transported solids. Shallow treatment wetlands and oxidative channels are both susceptible to re-suspension of sequestered iron oxides from accumulated solids due to their shallow water columns (wetlands) and infrequent scouring flows (channels). </w:t>
      </w:r>
    </w:p>
    <w:p w14:paraId="7101F8A1" w14:textId="77777777" w:rsidR="00A90E7E" w:rsidRPr="00A90E7E" w:rsidRDefault="00A90E7E" w:rsidP="00A90E7E">
      <w:pPr>
        <w:spacing w:line="480" w:lineRule="auto"/>
        <w:jc w:val="both"/>
        <w:rPr>
          <w:rFonts w:cs="Arial"/>
        </w:rPr>
      </w:pPr>
      <w:r w:rsidRPr="00A90E7E">
        <w:rPr>
          <w:rFonts w:cs="Arial"/>
        </w:rPr>
        <w:lastRenderedPageBreak/>
        <w:t xml:space="preserve">Alternatively, a second mechanism for the transport of iron </w:t>
      </w:r>
      <w:proofErr w:type="spellStart"/>
      <w:r w:rsidRPr="00A90E7E">
        <w:rPr>
          <w:rFonts w:cs="Arial"/>
        </w:rPr>
        <w:t>oxyhydroxides</w:t>
      </w:r>
      <w:proofErr w:type="spellEnd"/>
      <w:r w:rsidRPr="00A90E7E">
        <w:rPr>
          <w:rFonts w:cs="Arial"/>
        </w:rPr>
        <w:t xml:space="preserve"> due to storm events focuses on the disruption of floc formation and settling rates within the water column rather than the resuspension of sequestered materials.  Transport via resuspension in Cell 1 is unlikely due to the design depth of the treatment cell (&gt; 1.5m) being too deep for even the most intense rain event to penetrate through the water column to re-suspend the solids held in storage.  The lack of a correlation between storm intensity and mass transport at all four locations including Cell 1 supports this idea, suggesting that the source of the mobilized iron is finite within the time constraints of the storm. Transport of solids suspended from the accumulated storage layers would mean that a nearly infinite supply of source material was available for resuspension. However, iron transport profiles observed for Cell 1 suggest that intense storm activity agitates the water column near the surface of the treatment cell resulting in (1) mixing of the settling profile over a smaller and more localized depth, and (2) fragmentation of floc structure diminishing the size and drag of particles yielding slower settling rates. Average particle sizes were measured using a LISST laser diffractometer for each section of Cell 1 from the stabilized catwalk structures. Average particle sizes at the surface of the water were 7.34 </w:t>
      </w:r>
      <w:r w:rsidRPr="00A90E7E">
        <w:rPr>
          <w:rFonts w:cstheme="minorHAnsi"/>
        </w:rPr>
        <w:t>µ</w:t>
      </w:r>
      <w:r w:rsidRPr="00A90E7E">
        <w:rPr>
          <w:rFonts w:cs="Arial"/>
        </w:rPr>
        <w:t xml:space="preserve">m (Section 1), 12.53 </w:t>
      </w:r>
      <w:r w:rsidRPr="00A90E7E">
        <w:rPr>
          <w:rFonts w:cstheme="minorHAnsi"/>
        </w:rPr>
        <w:t>µ</w:t>
      </w:r>
      <w:r w:rsidRPr="00A90E7E">
        <w:rPr>
          <w:rFonts w:cs="Arial"/>
        </w:rPr>
        <w:t xml:space="preserve">m (Section 2), 8.66 </w:t>
      </w:r>
      <w:r w:rsidRPr="00A90E7E">
        <w:rPr>
          <w:rFonts w:cstheme="minorHAnsi"/>
        </w:rPr>
        <w:t>µ</w:t>
      </w:r>
      <w:r w:rsidRPr="00A90E7E">
        <w:rPr>
          <w:rFonts w:cs="Arial"/>
        </w:rPr>
        <w:t xml:space="preserve">m (Section 3), and 11.72 </w:t>
      </w:r>
      <w:r w:rsidRPr="00A90E7E">
        <w:rPr>
          <w:rFonts w:cstheme="minorHAnsi"/>
        </w:rPr>
        <w:t>µ</w:t>
      </w:r>
      <w:r w:rsidRPr="00A90E7E">
        <w:rPr>
          <w:rFonts w:cs="Arial"/>
        </w:rPr>
        <w:t xml:space="preserve">m for C1Out (cell export) under standard operating conditions (no storm disturbance; May 2016). Particles from Section 1 coagulate to form larger flocs that favor sedimentation. Larger average particles are observed at C1Out due to a vertical perforated pipe collecting a composite sample from the water column in Cell 1 rather than surface overflow. Stokes’ law settling velocities are second order with respect to floc diameter, so a decrease in floc diameter due to disturbance would decrease settling velocity (v </w:t>
      </w:r>
      <w:r w:rsidRPr="00A90E7E">
        <w:rPr>
          <w:rFonts w:cstheme="minorHAnsi"/>
        </w:rPr>
        <w:t xml:space="preserve">α </w:t>
      </w:r>
      <w:r w:rsidRPr="00A90E7E">
        <w:rPr>
          <w:rFonts w:cs="Arial"/>
        </w:rPr>
        <w:t>d</w:t>
      </w:r>
      <w:r w:rsidRPr="00A90E7E">
        <w:rPr>
          <w:rFonts w:cs="Arial"/>
          <w:vertAlign w:val="superscript"/>
        </w:rPr>
        <w:t>2</w:t>
      </w:r>
      <w:r w:rsidRPr="00A90E7E">
        <w:rPr>
          <w:rFonts w:cs="Arial"/>
        </w:rPr>
        <w:t xml:space="preserve">). Iron oxides that are slow to settle out before leaving the preliminary iron oxidation pond will be transported into the C2N and C2S surface flow wetlands. </w:t>
      </w:r>
    </w:p>
    <w:p w14:paraId="73AC1B2B" w14:textId="77777777" w:rsidR="00A90E7E" w:rsidRPr="00A90E7E" w:rsidRDefault="00A90E7E" w:rsidP="00A90E7E">
      <w:pPr>
        <w:keepNext/>
        <w:keepLines/>
        <w:spacing w:before="40" w:after="0"/>
        <w:outlineLvl w:val="3"/>
        <w:rPr>
          <w:rFonts w:asciiTheme="majorHAnsi" w:eastAsiaTheme="majorEastAsia" w:hAnsiTheme="majorHAnsi" w:cstheme="majorBidi"/>
          <w:i/>
          <w:iCs/>
        </w:rPr>
      </w:pPr>
      <w:r w:rsidRPr="00A90E7E">
        <w:rPr>
          <w:rFonts w:asciiTheme="majorHAnsi" w:eastAsiaTheme="majorEastAsia" w:hAnsiTheme="majorHAnsi" w:cstheme="majorBidi"/>
          <w:i/>
          <w:iCs/>
        </w:rPr>
        <w:lastRenderedPageBreak/>
        <w:t>Systemic Storm Impact</w:t>
      </w:r>
    </w:p>
    <w:p w14:paraId="2C9B2301" w14:textId="77777777" w:rsidR="00A90E7E" w:rsidRPr="00A90E7E" w:rsidRDefault="00A90E7E" w:rsidP="00A90E7E"/>
    <w:p w14:paraId="569AA3DF" w14:textId="7966510F" w:rsidR="00A90E7E" w:rsidRDefault="00A90E7E" w:rsidP="00A90E7E">
      <w:pPr>
        <w:spacing w:line="480" w:lineRule="auto"/>
        <w:jc w:val="both"/>
        <w:rPr>
          <w:rFonts w:cs="Arial"/>
        </w:rPr>
      </w:pPr>
      <w:r w:rsidRPr="00A90E7E">
        <w:rPr>
          <w:rFonts w:cs="Arial"/>
        </w:rPr>
        <w:t>The rain event on 09/22/2011 (moderate storm of 1.02 cm/</w:t>
      </w:r>
      <w:proofErr w:type="spellStart"/>
      <w:r w:rsidRPr="00A90E7E">
        <w:rPr>
          <w:rFonts w:cs="Arial"/>
        </w:rPr>
        <w:t>hr</w:t>
      </w:r>
      <w:proofErr w:type="spellEnd"/>
      <w:r w:rsidRPr="00A90E7E">
        <w:rPr>
          <w:rFonts w:cs="Arial"/>
        </w:rPr>
        <w:t xml:space="preserve"> maximum intensity; 7.25 </w:t>
      </w:r>
      <w:proofErr w:type="spellStart"/>
      <w:r w:rsidRPr="00A90E7E">
        <w:rPr>
          <w:rFonts w:cs="Arial"/>
        </w:rPr>
        <w:t>hr</w:t>
      </w:r>
      <w:proofErr w:type="spellEnd"/>
      <w:r w:rsidRPr="00A90E7E">
        <w:rPr>
          <w:rFonts w:cs="Arial"/>
        </w:rPr>
        <w:t xml:space="preserve"> duration; with 2.31 cm of precipitation yield) was sampled at all four passive treatment system locations simultaneously. The frequency of storms preceding the 9/22/2011 storm event was evaluated to determine if there was a relationship between the number and timing between serial storms preceding the sampled storm event and the total amount of material being mass transferred between units. A series of rainfall events on the 16</w:t>
      </w:r>
      <w:r w:rsidRPr="00A90E7E">
        <w:rPr>
          <w:rFonts w:cs="Arial"/>
          <w:vertAlign w:val="superscript"/>
        </w:rPr>
        <w:t>th</w:t>
      </w:r>
      <w:r w:rsidRPr="00A90E7E">
        <w:rPr>
          <w:rFonts w:cs="Arial"/>
        </w:rPr>
        <w:t>, 17</w:t>
      </w:r>
      <w:r w:rsidRPr="00A90E7E">
        <w:rPr>
          <w:rFonts w:cs="Arial"/>
          <w:vertAlign w:val="superscript"/>
        </w:rPr>
        <w:t>th</w:t>
      </w:r>
      <w:r w:rsidRPr="00A90E7E">
        <w:rPr>
          <w:rFonts w:cs="Arial"/>
        </w:rPr>
        <w:t>, and 18</w:t>
      </w:r>
      <w:r w:rsidRPr="00A90E7E">
        <w:rPr>
          <w:rFonts w:cs="Arial"/>
          <w:vertAlign w:val="superscript"/>
        </w:rPr>
        <w:t>th</w:t>
      </w:r>
      <w:r w:rsidRPr="00A90E7E">
        <w:rPr>
          <w:rFonts w:cs="Arial"/>
        </w:rPr>
        <w:t xml:space="preserve"> of September preceded this moderate intensity storm event, with accumulation of more than 7.6 cm of precipitation. Multiple storms facilitating iron transport three days in advance of the 9/22 storm would have disrupted the settling of iron oxides over a much longer period of time than a single storm event within the oxidative unit. Figure 3.12 depicts the iron transport profiles at all four locations (C1Out, C2Nout, C2Sout, and C6out). </w:t>
      </w:r>
    </w:p>
    <w:p w14:paraId="654097D2" w14:textId="77777777" w:rsidR="00EB4E49" w:rsidRPr="00EB4E49" w:rsidRDefault="00EB4E49" w:rsidP="00A90E7E">
      <w:pPr>
        <w:spacing w:line="480" w:lineRule="auto"/>
        <w:jc w:val="both"/>
        <w:rPr>
          <w:rFonts w:cs="Arial"/>
          <w:sz w:val="2"/>
        </w:rPr>
      </w:pPr>
    </w:p>
    <w:p w14:paraId="058D78EF" w14:textId="2CC1FEE0" w:rsidR="00A90E7E" w:rsidRDefault="00A90E7E" w:rsidP="00A90E7E">
      <w:pPr>
        <w:spacing w:line="480" w:lineRule="auto"/>
        <w:jc w:val="both"/>
        <w:rPr>
          <w:rFonts w:cs="Arial"/>
        </w:rPr>
      </w:pPr>
      <w:r w:rsidRPr="00A90E7E">
        <w:rPr>
          <w:rFonts w:cs="Arial"/>
        </w:rPr>
        <w:t xml:space="preserve">Transport events with storm activity occurring greater than two days before the sampled profile do not show transport to be elevated above the average storm transport at each location. This is consistent with the observation that storm transport profiles return to baseline transport concentrations within 30 hours after the storm event, unless there were serial storm events immediately preceding the profile or that occurred during the profile collection. Extreme storm profiles collected at all four locations consisted of serial storm events, but did not show increasing larger amounts of transported iron. This is likely due to the 30 </w:t>
      </w:r>
      <w:proofErr w:type="spellStart"/>
      <w:r w:rsidRPr="00A90E7E">
        <w:rPr>
          <w:rFonts w:cs="Arial"/>
        </w:rPr>
        <w:t>hr</w:t>
      </w:r>
      <w:proofErr w:type="spellEnd"/>
      <w:r w:rsidRPr="00A90E7E">
        <w:rPr>
          <w:rFonts w:cs="Arial"/>
        </w:rPr>
        <w:t xml:space="preserve">-window of observation not being long enough to catch storm-induced secondary transport of the disturbed flocs before the conclusion of sample collection in the </w:t>
      </w:r>
      <w:proofErr w:type="spellStart"/>
      <w:r w:rsidRPr="00A90E7E">
        <w:rPr>
          <w:rFonts w:cs="Arial"/>
        </w:rPr>
        <w:t>autosampler</w:t>
      </w:r>
      <w:proofErr w:type="spellEnd"/>
      <w:r w:rsidRPr="00A90E7E">
        <w:rPr>
          <w:rFonts w:cs="Arial"/>
        </w:rPr>
        <w:t xml:space="preserve"> program.  </w:t>
      </w:r>
    </w:p>
    <w:p w14:paraId="6B07FB1F" w14:textId="645C2AD5" w:rsidR="006D6139" w:rsidRDefault="006D6139" w:rsidP="006D6139">
      <w:pPr>
        <w:spacing w:line="480" w:lineRule="auto"/>
        <w:jc w:val="both"/>
        <w:rPr>
          <w:rFonts w:cs="Arial"/>
        </w:rPr>
      </w:pPr>
      <w:r w:rsidRPr="00A90E7E">
        <w:rPr>
          <w:rFonts w:cs="Arial"/>
        </w:rPr>
        <w:lastRenderedPageBreak/>
        <w:t xml:space="preserve">In Cell 1, some transport is observed during the rain event (1.5 kg or 14.8% of the total iron transported during this event), with most of the iron is being transported after the conclusion of the seven hour 9/22/2011 storm event. These observations support rainfall disruption of iron floc sedimentation, as the hydraulic retention time of Cell 1 exceeds 14 and 28 hrs. Re-suspended materials from the accumulation of iron oxides in the AMD mixing zone of Cell 1 would not have had time to reach the cell effluent for sample collection if they were mobilized by the 9/22/2011 storm. Also, they would have likely settled out again within the oxidation pond without further disturbance as the design retention time for Cell 1 is nearly 6 days.  Settling disruption from sequential storms would impact the cell as a whole, and settling disruption in the U-bend or effluent bay sections of Cell 1 would not have allowed time for the disturbed flocs to form and re-settle out of solution.  </w:t>
      </w:r>
    </w:p>
    <w:p w14:paraId="3EE41049" w14:textId="77777777" w:rsidR="00EB4E49" w:rsidRPr="00EB4E49" w:rsidRDefault="00EB4E49" w:rsidP="006D6139">
      <w:pPr>
        <w:spacing w:line="480" w:lineRule="auto"/>
        <w:jc w:val="both"/>
        <w:rPr>
          <w:rFonts w:cs="Arial"/>
          <w:sz w:val="2"/>
        </w:rPr>
      </w:pPr>
    </w:p>
    <w:p w14:paraId="2C39D4C4" w14:textId="3B4C5113" w:rsidR="006D6139" w:rsidRPr="00A90E7E" w:rsidRDefault="006D6139" w:rsidP="006D6139">
      <w:pPr>
        <w:spacing w:line="480" w:lineRule="auto"/>
        <w:jc w:val="both"/>
        <w:rPr>
          <w:rFonts w:cs="Arial"/>
        </w:rPr>
      </w:pPr>
      <w:r w:rsidRPr="00A90E7E">
        <w:rPr>
          <w:rFonts w:cs="Arial"/>
        </w:rPr>
        <w:t xml:space="preserve">Two peaks in iron concentration are observed at 14 </w:t>
      </w:r>
      <w:proofErr w:type="spellStart"/>
      <w:r w:rsidRPr="00A90E7E">
        <w:rPr>
          <w:rFonts w:cs="Arial"/>
        </w:rPr>
        <w:t>hrs</w:t>
      </w:r>
      <w:proofErr w:type="spellEnd"/>
      <w:r w:rsidRPr="00A90E7E">
        <w:rPr>
          <w:rFonts w:cs="Arial"/>
        </w:rPr>
        <w:t xml:space="preserve"> and 28 </w:t>
      </w:r>
      <w:proofErr w:type="spellStart"/>
      <w:r w:rsidRPr="00A90E7E">
        <w:rPr>
          <w:rFonts w:cs="Arial"/>
        </w:rPr>
        <w:t>hrs</w:t>
      </w:r>
      <w:proofErr w:type="spellEnd"/>
      <w:r w:rsidRPr="00A90E7E">
        <w:rPr>
          <w:rFonts w:cs="Arial"/>
        </w:rPr>
        <w:t xml:space="preserve"> for not just the C1Out data, but for the C2N and C2S datasets as well. As these samples were collected simultaneously, the peaks observed for each location are not due to mass transfer between the cells in series. Rather, the consistency in the timing of the peaks suggests that this transport was caused by an event that impacted more than one treatment unit at the same time. Cell 2N and Cell 2S transported 2.24 kg and 1.50 kg respectively, and had a noted difference in peak morphology. Neither of the surface flow wetlands showed significant amounts of iron being transported during the storm event, yet Cell2N showed two transport peaks at approximately 14 </w:t>
      </w:r>
      <w:proofErr w:type="spellStart"/>
      <w:r w:rsidRPr="00A90E7E">
        <w:rPr>
          <w:rFonts w:cs="Arial"/>
        </w:rPr>
        <w:t>hrs</w:t>
      </w:r>
      <w:proofErr w:type="spellEnd"/>
      <w:r w:rsidRPr="00A90E7E">
        <w:rPr>
          <w:rFonts w:cs="Arial"/>
        </w:rPr>
        <w:t xml:space="preserve"> and 28 </w:t>
      </w:r>
      <w:proofErr w:type="spellStart"/>
      <w:r w:rsidRPr="00A90E7E">
        <w:rPr>
          <w:rFonts w:cs="Arial"/>
        </w:rPr>
        <w:t>hrs</w:t>
      </w:r>
      <w:proofErr w:type="spellEnd"/>
      <w:r w:rsidRPr="00A90E7E">
        <w:rPr>
          <w:rFonts w:cs="Arial"/>
        </w:rPr>
        <w:t xml:space="preserve"> as were observed for Cell 1.  Cell 2S also showed a transport peak profile for the same time, but the amplitude of the peaks is notably lower (approximately 4 ppm rather than 10 ppm). These differences in peak shape and intensity are due to cell-specific variables like water level and vegetative cover as these are planted cells. Figure 3.</w:t>
      </w:r>
      <w:r w:rsidR="0057135D">
        <w:rPr>
          <w:rFonts w:cs="Arial"/>
        </w:rPr>
        <w:t>20</w:t>
      </w:r>
      <w:r w:rsidRPr="00A90E7E">
        <w:rPr>
          <w:rFonts w:cs="Arial"/>
        </w:rPr>
        <w:t xml:space="preserve"> is an aerial photograph of the </w:t>
      </w:r>
      <w:r w:rsidRPr="00A90E7E">
        <w:rPr>
          <w:rFonts w:cs="Arial"/>
        </w:rPr>
        <w:lastRenderedPageBreak/>
        <w:t xml:space="preserve">oxidative unit collected by Google Earth on 9/29/2011, which is approximately one week after the 9/22/2011 storm event. </w:t>
      </w:r>
    </w:p>
    <w:p w14:paraId="161B4722" w14:textId="77777777" w:rsidR="006D6139" w:rsidRPr="00A90E7E" w:rsidRDefault="006D6139" w:rsidP="006D6139">
      <w:pPr>
        <w:spacing w:line="480" w:lineRule="auto"/>
        <w:jc w:val="both"/>
        <w:rPr>
          <w:rFonts w:cs="Arial"/>
        </w:rPr>
      </w:pPr>
      <w:r w:rsidRPr="00A90E7E">
        <w:rPr>
          <w:noProof/>
        </w:rPr>
        <w:drawing>
          <wp:inline distT="0" distB="0" distL="0" distR="0" wp14:anchorId="3C302AB1" wp14:editId="1EE28DC3">
            <wp:extent cx="4800600" cy="4189059"/>
            <wp:effectExtent l="0" t="0" r="0" b="254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33982" t="28877" r="32035" b="18374"/>
                    <a:stretch/>
                  </pic:blipFill>
                  <pic:spPr bwMode="auto">
                    <a:xfrm>
                      <a:off x="0" y="0"/>
                      <a:ext cx="4820449" cy="4206379"/>
                    </a:xfrm>
                    <a:prstGeom prst="rect">
                      <a:avLst/>
                    </a:prstGeom>
                    <a:ln>
                      <a:noFill/>
                    </a:ln>
                    <a:extLst>
                      <a:ext uri="{53640926-AAD7-44D8-BBD7-CCE9431645EC}">
                        <a14:shadowObscured xmlns:a14="http://schemas.microsoft.com/office/drawing/2010/main"/>
                      </a:ext>
                    </a:extLst>
                  </pic:spPr>
                </pic:pic>
              </a:graphicData>
            </a:graphic>
          </wp:inline>
        </w:drawing>
      </w:r>
    </w:p>
    <w:p w14:paraId="2F849CBF" w14:textId="54A5D622" w:rsidR="006D6139" w:rsidRPr="00A90E7E" w:rsidRDefault="0088745B" w:rsidP="006D6139">
      <w:pPr>
        <w:spacing w:line="240" w:lineRule="auto"/>
        <w:jc w:val="both"/>
        <w:rPr>
          <w:rFonts w:cs="Arial"/>
          <w:sz w:val="20"/>
        </w:rPr>
      </w:pPr>
      <w:r>
        <w:rPr>
          <w:rFonts w:cs="Arial"/>
          <w:sz w:val="20"/>
        </w:rPr>
        <w:t>Figure 3.20</w:t>
      </w:r>
      <w:r w:rsidR="006D6139" w:rsidRPr="00A90E7E">
        <w:rPr>
          <w:rFonts w:cs="Arial"/>
          <w:sz w:val="20"/>
        </w:rPr>
        <w:t xml:space="preserve">: MRPTS Oxidative Unit 9/29/2011. Note the low vegetative coverage due to high water levels in Cell 2S in comparison to vegetated marsh section of Cell 2N. Iron floc mats are visible in all cells. </w:t>
      </w:r>
    </w:p>
    <w:p w14:paraId="0D7E2A79" w14:textId="375AF6E7" w:rsidR="006D6139" w:rsidRPr="00A90E7E" w:rsidRDefault="006D6139" w:rsidP="006D6139">
      <w:pPr>
        <w:spacing w:line="480" w:lineRule="auto"/>
        <w:jc w:val="both"/>
        <w:rPr>
          <w:rFonts w:cs="Arial"/>
        </w:rPr>
      </w:pPr>
      <w:r w:rsidRPr="00A90E7E">
        <w:rPr>
          <w:rFonts w:cs="Arial"/>
        </w:rPr>
        <w:t>Cell 2S lacks mature vegetative cover in the marsh section of its design due partially to muskrat pressure and water level fluctuations not supporting emergent hydrophytes. Storm-induced transport into Cell 2N attenuates the mass transport peak and mass loading into Cell 3N, which is noted qualitatively in Figure 3.</w:t>
      </w:r>
      <w:r w:rsidR="0057135D">
        <w:rPr>
          <w:rFonts w:cs="Arial"/>
        </w:rPr>
        <w:t>20</w:t>
      </w:r>
      <w:r w:rsidRPr="00A90E7E">
        <w:rPr>
          <w:rFonts w:cs="Arial"/>
        </w:rPr>
        <w:t xml:space="preserve"> through distinct color changes from orange in the treatment cell fore bay, and green in the effluent bay. The wetland section is vegetated with a heterogeneous community of emergent and submerged hydrophytes.  </w:t>
      </w:r>
    </w:p>
    <w:p w14:paraId="5C399897" w14:textId="0E50B76B" w:rsidR="00A90E7E" w:rsidRPr="00201E74" w:rsidRDefault="00A90E7E" w:rsidP="00201E74">
      <w:pPr>
        <w:spacing w:line="480" w:lineRule="auto"/>
        <w:jc w:val="both"/>
        <w:rPr>
          <w:rFonts w:cs="Arial"/>
        </w:rPr>
      </w:pPr>
      <w:r w:rsidRPr="00A90E7E">
        <w:rPr>
          <w:noProof/>
        </w:rPr>
        <w:lastRenderedPageBreak/>
        <w:drawing>
          <wp:inline distT="0" distB="0" distL="0" distR="0" wp14:anchorId="682E91FC" wp14:editId="0EC4BB31">
            <wp:extent cx="8105451" cy="5144068"/>
            <wp:effectExtent l="0" t="5080" r="508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23958" t="24392" r="20486" b="8296"/>
                    <a:stretch/>
                  </pic:blipFill>
                  <pic:spPr bwMode="auto">
                    <a:xfrm rot="16200000">
                      <a:off x="0" y="0"/>
                      <a:ext cx="8153144" cy="5174336"/>
                    </a:xfrm>
                    <a:prstGeom prst="rect">
                      <a:avLst/>
                    </a:prstGeom>
                    <a:ln>
                      <a:noFill/>
                    </a:ln>
                    <a:extLst>
                      <a:ext uri="{53640926-AAD7-44D8-BBD7-CCE9431645EC}">
                        <a14:shadowObscured xmlns:a14="http://schemas.microsoft.com/office/drawing/2010/main"/>
                      </a:ext>
                    </a:extLst>
                  </pic:spPr>
                </pic:pic>
              </a:graphicData>
            </a:graphic>
          </wp:inline>
        </w:drawing>
      </w:r>
      <w:r w:rsidRPr="00A90E7E">
        <w:rPr>
          <w:rFonts w:cs="Arial"/>
        </w:rPr>
        <w:t xml:space="preserve"> </w:t>
      </w:r>
    </w:p>
    <w:p w14:paraId="289FBE03" w14:textId="77777777" w:rsidR="00A90E7E" w:rsidRPr="00A90E7E" w:rsidRDefault="00A90E7E" w:rsidP="00A90E7E">
      <w:pPr>
        <w:spacing w:line="480" w:lineRule="auto"/>
        <w:jc w:val="both"/>
        <w:rPr>
          <w:rFonts w:cs="Arial"/>
        </w:rPr>
      </w:pPr>
      <w:r w:rsidRPr="00A90E7E">
        <w:rPr>
          <w:rFonts w:cs="Arial"/>
        </w:rPr>
        <w:lastRenderedPageBreak/>
        <w:t xml:space="preserve">Oxidative treatment cells remove iron from AMD through oxidation and hydrolysis reactions, and are designed to facilitate the sedimentation and storage of the accumulated solids over time. Pairing an oxidation pond with surface flow wetland treatment cells is one approach to mitigating iron transport into vertical flow bioreactors within the serial design motif of most passive treatment systems. Baseline transport of iron occurs between the treatment cells of the system, and in the system effluent; yet the amount of mass transported is dependent on cell loading and removal efficiency. Intense storm events are typically not included in design decisions for passive treatment systems beyond construction of a by-pass channel to divert surface runoff from entering the treatment system and allowance of ample excess storage for the design storm. The role of rainfall intensity in iron transport has not been previously investigated with a quantitative approach.  This three-year study was undertaken to determine if the amount of iron transported due to storm events was significant with respect to the baseline transport observed during times of typical system operation (no precipitation). </w:t>
      </w:r>
    </w:p>
    <w:p w14:paraId="0ED2F63A" w14:textId="1451E6FB" w:rsidR="00201E74" w:rsidRPr="00EB4E49" w:rsidRDefault="00A90E7E" w:rsidP="00EB4E49">
      <w:pPr>
        <w:spacing w:line="480" w:lineRule="auto"/>
        <w:jc w:val="both"/>
        <w:rPr>
          <w:rFonts w:cs="Arial"/>
        </w:rPr>
      </w:pPr>
      <w:r w:rsidRPr="00A90E7E">
        <w:rPr>
          <w:rFonts w:cs="Arial"/>
        </w:rPr>
        <w:t>Storms were classified based on their rainfall intensity in an effort to determine if the intensity of the storm (low, moderate, high, and extreme) correlates to the amount of mass transported between cells. Storm activity in NE Oklahoma is frequent with an average of one storm of each intensity occurring within a month, and most storms having low rainfall intensity. Storm-induced iron transport is observed for intensities greater than 0.25 cm/</w:t>
      </w:r>
      <w:proofErr w:type="spellStart"/>
      <w:r w:rsidRPr="00A90E7E">
        <w:rPr>
          <w:rFonts w:cs="Arial"/>
        </w:rPr>
        <w:t>hr</w:t>
      </w:r>
      <w:proofErr w:type="spellEnd"/>
      <w:r w:rsidRPr="00A90E7E">
        <w:rPr>
          <w:rFonts w:cs="Arial"/>
        </w:rPr>
        <w:t xml:space="preserve"> for the preliminary oxidation cells, surface flow wetlands, and in the polishing wetland at the system outflow. Mass transport of iron for each location was significant over the baseline transport, yet did not correlate to rainfall intensity.  The mechanism for storm induced transport is likely disruption of settling of iron flocs within the water column of the treatment cell rather than a re-suspension of sequestered material.  Vegetative cover in surface flow wetlands also </w:t>
      </w:r>
      <w:r w:rsidRPr="00A90E7E">
        <w:rPr>
          <w:rFonts w:cs="Arial"/>
        </w:rPr>
        <w:lastRenderedPageBreak/>
        <w:t xml:space="preserve">mitigated the amount of iron transported to the vertical flow bioreactors, thus delaying maintenance issues with iron oxide accumulation. </w:t>
      </w:r>
    </w:p>
    <w:p w14:paraId="4E3CC744" w14:textId="77777777" w:rsidR="00201E74" w:rsidRDefault="00201E74" w:rsidP="00201E74">
      <w:pPr>
        <w:pStyle w:val="Heading1"/>
        <w:jc w:val="both"/>
      </w:pPr>
      <w:r>
        <w:t>Conclusions</w:t>
      </w:r>
    </w:p>
    <w:p w14:paraId="0CB55E63" w14:textId="77777777" w:rsidR="00201E74" w:rsidRPr="00396BF7" w:rsidRDefault="00201E74" w:rsidP="00201E74">
      <w:pPr>
        <w:jc w:val="both"/>
      </w:pPr>
    </w:p>
    <w:p w14:paraId="24F2B7E9" w14:textId="2BE461EC" w:rsidR="00201E74" w:rsidRDefault="00201E74" w:rsidP="00201E74">
      <w:pPr>
        <w:spacing w:line="480" w:lineRule="auto"/>
        <w:jc w:val="both"/>
        <w:rPr>
          <w:rFonts w:cs="Arial"/>
        </w:rPr>
      </w:pPr>
      <w:r w:rsidRPr="00BA1C0D">
        <w:rPr>
          <w:rFonts w:cs="Arial"/>
        </w:rPr>
        <w:t>The role of rainfall intensity on iron transport between the cells of the oxidative unit of a full scale passive treatment system had not been previously investigated with a quantitative approach for the determination of iron mass transport.  A three-year study of storm events classified by rainfall intensity (Low = 0.25-0.99 cm/</w:t>
      </w:r>
      <w:proofErr w:type="spellStart"/>
      <w:r w:rsidRPr="00BA1C0D">
        <w:rPr>
          <w:rFonts w:cs="Arial"/>
        </w:rPr>
        <w:t>hr</w:t>
      </w:r>
      <w:proofErr w:type="spellEnd"/>
      <w:r w:rsidRPr="00BA1C0D">
        <w:rPr>
          <w:rFonts w:cs="Arial"/>
        </w:rPr>
        <w:t>; Moderate = 1.00-1.99 cm/</w:t>
      </w:r>
      <w:proofErr w:type="spellStart"/>
      <w:r w:rsidRPr="00BA1C0D">
        <w:rPr>
          <w:rFonts w:cs="Arial"/>
        </w:rPr>
        <w:t>hr</w:t>
      </w:r>
      <w:proofErr w:type="spellEnd"/>
      <w:r w:rsidRPr="00BA1C0D">
        <w:rPr>
          <w:rFonts w:cs="Arial"/>
        </w:rPr>
        <w:t>; High = 2.00-2.99 cm/</w:t>
      </w:r>
      <w:proofErr w:type="spellStart"/>
      <w:r w:rsidRPr="00BA1C0D">
        <w:rPr>
          <w:rFonts w:cs="Arial"/>
        </w:rPr>
        <w:t>hr</w:t>
      </w:r>
      <w:proofErr w:type="spellEnd"/>
      <w:r w:rsidRPr="00BA1C0D">
        <w:rPr>
          <w:rFonts w:cs="Arial"/>
        </w:rPr>
        <w:t>; Extreme = &gt;3.00 cm/</w:t>
      </w:r>
      <w:proofErr w:type="spellStart"/>
      <w:r w:rsidRPr="00BA1C0D">
        <w:rPr>
          <w:rFonts w:cs="Arial"/>
        </w:rPr>
        <w:t>hr</w:t>
      </w:r>
      <w:proofErr w:type="spellEnd"/>
      <w:r w:rsidRPr="00BA1C0D">
        <w:rPr>
          <w:rFonts w:cs="Arial"/>
        </w:rPr>
        <w:t xml:space="preserve">) determined the average mass of iron transported at C1Out, C2N, C2S and C6Out per storm event, season, year, and three-year study period.  </w:t>
      </w:r>
      <w:r>
        <w:rPr>
          <w:rFonts w:cs="Arial"/>
        </w:rPr>
        <w:t>There was no correlation between rainfall intensity and the mass of iron transported at all four locations sampled, as had been expected. Iron is transported for any storm with an intensity greater than 0.25 cm/</w:t>
      </w:r>
      <w:proofErr w:type="spellStart"/>
      <w:r>
        <w:rPr>
          <w:rFonts w:cs="Arial"/>
        </w:rPr>
        <w:t>hr</w:t>
      </w:r>
      <w:proofErr w:type="spellEnd"/>
      <w:r>
        <w:rPr>
          <w:rFonts w:cs="Arial"/>
        </w:rPr>
        <w:t xml:space="preserve">, yet the consistency in the amount transported with increasing rainfall intensity suggests a transport mechanism other than resuspension of sequestered materials (which should scale with increasing intensity due to large volumes of material with the potential for resuspension). However, as this was not observed, the mechanism for storm induced transport is most likely due to disruption of the settling of precipitated </w:t>
      </w:r>
      <w:proofErr w:type="spellStart"/>
      <w:r>
        <w:rPr>
          <w:rFonts w:cs="Arial"/>
        </w:rPr>
        <w:t>FeOOH</w:t>
      </w:r>
      <w:proofErr w:type="spellEnd"/>
      <w:r>
        <w:rPr>
          <w:rFonts w:cs="Arial"/>
        </w:rPr>
        <w:t xml:space="preserve"> flocs within the water column</w:t>
      </w:r>
      <w:r w:rsidR="00EB4E49">
        <w:rPr>
          <w:rFonts w:cs="Arial"/>
        </w:rPr>
        <w:t xml:space="preserve"> for the oxidative unit, and solids accumulation on the sampling apparatus for Cell 6</w:t>
      </w:r>
      <w:r>
        <w:rPr>
          <w:rFonts w:cs="Arial"/>
        </w:rPr>
        <w:t xml:space="preserve">.  </w:t>
      </w:r>
    </w:p>
    <w:p w14:paraId="47A7E869" w14:textId="5C21D01E" w:rsidR="00201E74" w:rsidRPr="00A90E7E" w:rsidRDefault="00201E74" w:rsidP="00A90E7E">
      <w:pPr>
        <w:spacing w:line="480" w:lineRule="auto"/>
        <w:jc w:val="both"/>
        <w:rPr>
          <w:rFonts w:cs="Arial"/>
        </w:rPr>
      </w:pPr>
      <w:r>
        <w:rPr>
          <w:rFonts w:cs="Arial"/>
        </w:rPr>
        <w:t>There is a positive linear correlation between average total iron transport per month and the average frequency of storms per month at all locations. This indicates that the mobilization of iron is strongly influenced by the total number of storms in a region rather than the intensity of the storms. Low intensity storms had the largest influence on the total mass of iron transported as there were over six times as many 0.25-0.99 cm/</w:t>
      </w:r>
      <w:proofErr w:type="spellStart"/>
      <w:r>
        <w:rPr>
          <w:rFonts w:cs="Arial"/>
        </w:rPr>
        <w:t>hr</w:t>
      </w:r>
      <w:proofErr w:type="spellEnd"/>
      <w:r>
        <w:rPr>
          <w:rFonts w:cs="Arial"/>
        </w:rPr>
        <w:t xml:space="preserve"> storms in a year than the </w:t>
      </w:r>
      <w:r>
        <w:rPr>
          <w:rFonts w:cs="Arial"/>
        </w:rPr>
        <w:lastRenderedPageBreak/>
        <w:t xml:space="preserve">other storm intensity classifications.  Storm-induced net iron mass transport for individual storms over the transport baseline was statistically significant for individual storm events at all four locations. Averages of storm-induced iron transport for seasonal and annual events were statistically significant over the baseline transport for all locations due to the high frequency of low intensity storms, and the distribution of low intensity storms throughout seasonal and annual periods. </w:t>
      </w:r>
    </w:p>
    <w:p w14:paraId="13CDF33B" w14:textId="52D880B3" w:rsidR="005A757A" w:rsidRDefault="00444019" w:rsidP="005A757A">
      <w:pPr>
        <w:pStyle w:val="Heading1"/>
        <w:jc w:val="both"/>
      </w:pPr>
      <w:r>
        <w:t>Literature Cited</w:t>
      </w:r>
    </w:p>
    <w:p w14:paraId="56CE3E06" w14:textId="77777777" w:rsidR="00444019" w:rsidRPr="00444019" w:rsidRDefault="00444019" w:rsidP="00444019"/>
    <w:p w14:paraId="4021727C" w14:textId="3C9B2283" w:rsidR="008E11AD" w:rsidRPr="003F6706" w:rsidRDefault="008E11AD" w:rsidP="008E11AD">
      <w:pPr>
        <w:widowControl w:val="0"/>
        <w:autoSpaceDE w:val="0"/>
        <w:autoSpaceDN w:val="0"/>
        <w:adjustRightInd w:val="0"/>
        <w:spacing w:line="240" w:lineRule="auto"/>
        <w:jc w:val="both"/>
        <w:rPr>
          <w:rFonts w:ascii="Calibri" w:hAnsi="Calibri" w:cs="Calibri"/>
          <w:noProof/>
          <w:szCs w:val="24"/>
        </w:rPr>
      </w:pPr>
      <w:r w:rsidRPr="003F6706">
        <w:rPr>
          <w:rFonts w:ascii="Calibri" w:hAnsi="Calibri" w:cs="Calibri"/>
          <w:noProof/>
          <w:szCs w:val="24"/>
        </w:rPr>
        <w:t xml:space="preserve">Chen S, Luo H, Li T, Chen W. 2009. A Soft Computing Approach to Rainfall Intensity Classification Using TRMM / TMI Data. </w:t>
      </w:r>
      <w:r>
        <w:rPr>
          <w:rFonts w:ascii="Calibri" w:hAnsi="Calibri" w:cs="Calibri"/>
          <w:noProof/>
          <w:szCs w:val="24"/>
        </w:rPr>
        <w:t>JAC III. 12:6. p 516-522.</w:t>
      </w:r>
    </w:p>
    <w:p w14:paraId="36E4CA76" w14:textId="4DDE0420" w:rsidR="008E11AD" w:rsidRPr="003F6706" w:rsidRDefault="008E11AD" w:rsidP="008E11AD">
      <w:pPr>
        <w:widowControl w:val="0"/>
        <w:autoSpaceDE w:val="0"/>
        <w:autoSpaceDN w:val="0"/>
        <w:adjustRightInd w:val="0"/>
        <w:spacing w:line="240" w:lineRule="auto"/>
        <w:jc w:val="both"/>
        <w:rPr>
          <w:rFonts w:ascii="Calibri" w:hAnsi="Calibri" w:cs="Calibri"/>
          <w:noProof/>
          <w:szCs w:val="24"/>
        </w:rPr>
      </w:pPr>
      <w:r w:rsidRPr="003F6706">
        <w:rPr>
          <w:rFonts w:ascii="Calibri" w:hAnsi="Calibri" w:cs="Calibri"/>
          <w:noProof/>
          <w:szCs w:val="24"/>
        </w:rPr>
        <w:t>Cohen MJ, Brown MT. 2007. A model examining hierarchical wetland networks for watershed stormwater management. Ecol. Modell. 201:179–193.</w:t>
      </w:r>
    </w:p>
    <w:p w14:paraId="336833A1" w14:textId="62B2E704" w:rsidR="008E11AD" w:rsidRPr="003F6706" w:rsidRDefault="00051A48" w:rsidP="008E11AD">
      <w:pPr>
        <w:widowControl w:val="0"/>
        <w:autoSpaceDE w:val="0"/>
        <w:autoSpaceDN w:val="0"/>
        <w:adjustRightInd w:val="0"/>
        <w:spacing w:line="240" w:lineRule="auto"/>
        <w:jc w:val="both"/>
        <w:rPr>
          <w:rFonts w:ascii="Calibri" w:hAnsi="Calibri" w:cs="Calibri"/>
          <w:noProof/>
          <w:szCs w:val="24"/>
        </w:rPr>
      </w:pPr>
      <w:r>
        <w:t>Eger, P. and Wagner, J., 2002. The Use of Wetlands to Remove Nickel from Mine Drainage - Is Perpetual Treatment Really Possible? Proceedings of American Society of Mining and Reclamation Meeting, Lexington, Kentucky, June 9-13, 2002.</w:t>
      </w:r>
    </w:p>
    <w:p w14:paraId="4A974DA6" w14:textId="6DCDEC4E" w:rsidR="008E11AD" w:rsidRPr="003F6706" w:rsidRDefault="008E11AD" w:rsidP="008E11AD">
      <w:pPr>
        <w:widowControl w:val="0"/>
        <w:autoSpaceDE w:val="0"/>
        <w:autoSpaceDN w:val="0"/>
        <w:adjustRightInd w:val="0"/>
        <w:spacing w:line="240" w:lineRule="auto"/>
        <w:jc w:val="both"/>
        <w:rPr>
          <w:rFonts w:ascii="Calibri" w:hAnsi="Calibri" w:cs="Calibri"/>
          <w:noProof/>
          <w:szCs w:val="24"/>
        </w:rPr>
      </w:pPr>
      <w:r w:rsidRPr="003F6706">
        <w:rPr>
          <w:rFonts w:ascii="Calibri" w:hAnsi="Calibri" w:cs="Calibri"/>
          <w:noProof/>
          <w:szCs w:val="24"/>
        </w:rPr>
        <w:t>Gaál L, Molnar P, Szolgay J. 2014. Selection of intense rainfall events based on intensity thresholds and lightning data in Switzerland. Hydrol. Earth Syst. Sci. 18:1561–1573.</w:t>
      </w:r>
    </w:p>
    <w:p w14:paraId="4A7D134D" w14:textId="693A39B5" w:rsidR="008E11AD" w:rsidRPr="003F6706" w:rsidRDefault="008E11AD" w:rsidP="008E11AD">
      <w:pPr>
        <w:widowControl w:val="0"/>
        <w:autoSpaceDE w:val="0"/>
        <w:autoSpaceDN w:val="0"/>
        <w:adjustRightInd w:val="0"/>
        <w:spacing w:line="240" w:lineRule="auto"/>
        <w:jc w:val="both"/>
        <w:rPr>
          <w:rFonts w:ascii="Calibri" w:hAnsi="Calibri" w:cs="Calibri"/>
          <w:noProof/>
          <w:szCs w:val="24"/>
        </w:rPr>
      </w:pPr>
      <w:r w:rsidRPr="003F6706">
        <w:rPr>
          <w:rFonts w:ascii="Calibri" w:hAnsi="Calibri" w:cs="Calibri"/>
          <w:noProof/>
          <w:szCs w:val="24"/>
        </w:rPr>
        <w:t>Hall GH, Puhlmann T. 2005. Spatial distribution of iron oxidation in the aerobic cells of the Wheal Jane Pilot Passive Treatment Plant. Sci. Total Environ. 338:73–80.</w:t>
      </w:r>
    </w:p>
    <w:p w14:paraId="1A66F419" w14:textId="47D0FBF5" w:rsidR="008E11AD" w:rsidRPr="00051A48" w:rsidRDefault="00051A48" w:rsidP="008E11AD">
      <w:pPr>
        <w:widowControl w:val="0"/>
        <w:autoSpaceDE w:val="0"/>
        <w:autoSpaceDN w:val="0"/>
        <w:adjustRightInd w:val="0"/>
        <w:spacing w:line="240" w:lineRule="auto"/>
        <w:jc w:val="both"/>
        <w:rPr>
          <w:rFonts w:cs="Calibri"/>
          <w:noProof/>
        </w:rPr>
      </w:pPr>
      <w:r w:rsidRPr="00D53E0B">
        <w:rPr>
          <w:rFonts w:cs="Calibri"/>
          <w:noProof/>
        </w:rPr>
        <w:t xml:space="preserve">Hedin RS, Nairn RW. 1992. Designing and Sizing Passive Mine Drainage Treatment Systems. </w:t>
      </w:r>
      <w:r w:rsidRPr="00D53E0B">
        <w:t>U.S. Bureau of Mines, Pittsburgh Research Center</w:t>
      </w:r>
      <w:r>
        <w:rPr>
          <w:rFonts w:cs="Calibri"/>
          <w:noProof/>
        </w:rPr>
        <w:t xml:space="preserve"> </w:t>
      </w:r>
    </w:p>
    <w:p w14:paraId="2D0F1A72" w14:textId="44BB20C3" w:rsidR="008E11AD" w:rsidRPr="003F6706" w:rsidRDefault="008E11AD" w:rsidP="008E11AD">
      <w:pPr>
        <w:widowControl w:val="0"/>
        <w:autoSpaceDE w:val="0"/>
        <w:autoSpaceDN w:val="0"/>
        <w:adjustRightInd w:val="0"/>
        <w:spacing w:line="240" w:lineRule="auto"/>
        <w:jc w:val="both"/>
        <w:rPr>
          <w:rFonts w:ascii="Calibri" w:hAnsi="Calibri" w:cs="Calibri"/>
          <w:noProof/>
          <w:szCs w:val="24"/>
        </w:rPr>
      </w:pPr>
      <w:r w:rsidRPr="003F6706">
        <w:rPr>
          <w:rFonts w:ascii="Calibri" w:hAnsi="Calibri" w:cs="Calibri"/>
          <w:noProof/>
          <w:szCs w:val="24"/>
        </w:rPr>
        <w:t>Jennings SR, Blicker S, Neuman P, Dennis R. 2008. Acid mine drainage and effects on fish health and ecology: a review. , 2008. Reclam. Res. Gr. 1:1–26.</w:t>
      </w:r>
    </w:p>
    <w:p w14:paraId="52305B49" w14:textId="5033A54B" w:rsidR="008E11AD" w:rsidRPr="003F6706" w:rsidRDefault="008E11AD" w:rsidP="008E11AD">
      <w:pPr>
        <w:widowControl w:val="0"/>
        <w:autoSpaceDE w:val="0"/>
        <w:autoSpaceDN w:val="0"/>
        <w:adjustRightInd w:val="0"/>
        <w:spacing w:line="240" w:lineRule="auto"/>
        <w:jc w:val="both"/>
        <w:rPr>
          <w:rFonts w:ascii="Calibri" w:hAnsi="Calibri" w:cs="Calibri"/>
          <w:noProof/>
          <w:szCs w:val="24"/>
        </w:rPr>
      </w:pPr>
      <w:r w:rsidRPr="003F6706">
        <w:rPr>
          <w:rFonts w:ascii="Calibri" w:hAnsi="Calibri" w:cs="Calibri"/>
          <w:noProof/>
          <w:szCs w:val="24"/>
        </w:rPr>
        <w:t>Kruse NAS, Gozzard E, Jarvis  a. P. 2009. Determination of hydraulic residence times in several UK Mine water treatment systems and their relationship to iron removal. Mine Water Environ. 28:115–123.</w:t>
      </w:r>
    </w:p>
    <w:p w14:paraId="1D76925A" w14:textId="3B409744" w:rsidR="008E11AD" w:rsidRPr="003F6706" w:rsidRDefault="008E11AD" w:rsidP="008E11AD">
      <w:pPr>
        <w:widowControl w:val="0"/>
        <w:autoSpaceDE w:val="0"/>
        <w:autoSpaceDN w:val="0"/>
        <w:adjustRightInd w:val="0"/>
        <w:spacing w:line="240" w:lineRule="auto"/>
        <w:jc w:val="both"/>
        <w:rPr>
          <w:rFonts w:ascii="Calibri" w:hAnsi="Calibri" w:cs="Calibri"/>
          <w:noProof/>
          <w:szCs w:val="24"/>
        </w:rPr>
      </w:pPr>
      <w:r w:rsidRPr="003F6706">
        <w:rPr>
          <w:rFonts w:ascii="Calibri" w:hAnsi="Calibri" w:cs="Calibri"/>
          <w:noProof/>
          <w:szCs w:val="24"/>
        </w:rPr>
        <w:t>Van der Lee WTB. 2000. Temporal variation of floc size and settling velocity in the Dollard estuary. Cont. Shelf Res. 20:1495–</w:t>
      </w:r>
      <w:r w:rsidR="00051A48">
        <w:rPr>
          <w:rFonts w:ascii="Calibri" w:hAnsi="Calibri" w:cs="Calibri"/>
          <w:noProof/>
          <w:szCs w:val="24"/>
        </w:rPr>
        <w:t>1511.</w:t>
      </w:r>
    </w:p>
    <w:p w14:paraId="72376908" w14:textId="495E3ABC" w:rsidR="008E11AD" w:rsidRDefault="008E11AD" w:rsidP="008E11AD">
      <w:pPr>
        <w:widowControl w:val="0"/>
        <w:autoSpaceDE w:val="0"/>
        <w:autoSpaceDN w:val="0"/>
        <w:adjustRightInd w:val="0"/>
        <w:spacing w:line="240" w:lineRule="auto"/>
        <w:jc w:val="both"/>
        <w:rPr>
          <w:rFonts w:ascii="Calibri" w:hAnsi="Calibri" w:cs="Calibri"/>
          <w:noProof/>
          <w:szCs w:val="24"/>
        </w:rPr>
      </w:pPr>
      <w:r w:rsidRPr="003F6706">
        <w:rPr>
          <w:rFonts w:ascii="Calibri" w:hAnsi="Calibri" w:cs="Calibri"/>
          <w:noProof/>
          <w:szCs w:val="24"/>
        </w:rPr>
        <w:t xml:space="preserve">Nordstrom DK. 2009. Acid rock drainage and climate change. J. </w:t>
      </w:r>
      <w:r w:rsidR="00051A48">
        <w:rPr>
          <w:rFonts w:ascii="Calibri" w:hAnsi="Calibri" w:cs="Calibri"/>
          <w:noProof/>
          <w:szCs w:val="24"/>
        </w:rPr>
        <w:t>Geochemical Explor. 100:97–104.</w:t>
      </w:r>
    </w:p>
    <w:p w14:paraId="52C545AD" w14:textId="77777777" w:rsidR="008E11AD" w:rsidRDefault="008E11AD" w:rsidP="008E11AD">
      <w:pPr>
        <w:widowControl w:val="0"/>
        <w:autoSpaceDE w:val="0"/>
        <w:autoSpaceDN w:val="0"/>
        <w:adjustRightInd w:val="0"/>
        <w:spacing w:line="240" w:lineRule="auto"/>
        <w:jc w:val="both"/>
        <w:rPr>
          <w:rFonts w:ascii="Calibri" w:hAnsi="Calibri" w:cs="Calibri"/>
          <w:noProof/>
          <w:szCs w:val="24"/>
        </w:rPr>
      </w:pPr>
      <w:r w:rsidRPr="003F6706">
        <w:rPr>
          <w:rFonts w:ascii="Calibri" w:hAnsi="Calibri" w:cs="Calibri"/>
          <w:noProof/>
          <w:szCs w:val="24"/>
        </w:rPr>
        <w:t>Petrus J M Visser. 2001. The Storm-Structure-Severity method for the identification of convective storm characteristics with conventional weather radar. Meteorol. Appl. 8:1–10.</w:t>
      </w:r>
    </w:p>
    <w:p w14:paraId="750EDBBB" w14:textId="77777777" w:rsidR="008E11AD" w:rsidRPr="003F6706" w:rsidRDefault="008E11AD" w:rsidP="008E11AD">
      <w:pPr>
        <w:widowControl w:val="0"/>
        <w:autoSpaceDE w:val="0"/>
        <w:autoSpaceDN w:val="0"/>
        <w:adjustRightInd w:val="0"/>
        <w:spacing w:line="240" w:lineRule="auto"/>
        <w:jc w:val="both"/>
        <w:rPr>
          <w:rFonts w:ascii="Calibri" w:hAnsi="Calibri" w:cs="Calibri"/>
          <w:noProof/>
          <w:szCs w:val="24"/>
        </w:rPr>
      </w:pPr>
    </w:p>
    <w:p w14:paraId="561085A0" w14:textId="77777777" w:rsidR="008E11AD" w:rsidRPr="003F6706" w:rsidRDefault="008E11AD" w:rsidP="008E11AD">
      <w:pPr>
        <w:widowControl w:val="0"/>
        <w:autoSpaceDE w:val="0"/>
        <w:autoSpaceDN w:val="0"/>
        <w:adjustRightInd w:val="0"/>
        <w:spacing w:line="240" w:lineRule="auto"/>
        <w:jc w:val="both"/>
        <w:rPr>
          <w:rFonts w:ascii="Calibri" w:hAnsi="Calibri" w:cs="Calibri"/>
          <w:noProof/>
          <w:szCs w:val="24"/>
        </w:rPr>
      </w:pPr>
      <w:r w:rsidRPr="003F6706">
        <w:rPr>
          <w:rFonts w:ascii="Calibri" w:hAnsi="Calibri" w:cs="Calibri"/>
          <w:noProof/>
          <w:szCs w:val="24"/>
        </w:rPr>
        <w:lastRenderedPageBreak/>
        <w:t>Pratt DR, Pilditch CA, Lohrer AM, Thrush SF. 2014. The effects of short-term increases in turbidity on sandflat microphytobenthic productivity and nutrient fluxes. J. Sea Res. 92:170–177.</w:t>
      </w:r>
    </w:p>
    <w:p w14:paraId="7021DCFC" w14:textId="23D89A5B" w:rsidR="008E11AD" w:rsidRPr="003F6706" w:rsidRDefault="008E11AD" w:rsidP="008E11AD">
      <w:pPr>
        <w:widowControl w:val="0"/>
        <w:autoSpaceDE w:val="0"/>
        <w:autoSpaceDN w:val="0"/>
        <w:adjustRightInd w:val="0"/>
        <w:spacing w:line="240" w:lineRule="auto"/>
        <w:jc w:val="both"/>
        <w:rPr>
          <w:rFonts w:ascii="Calibri" w:hAnsi="Calibri" w:cs="Calibri"/>
          <w:noProof/>
          <w:szCs w:val="24"/>
        </w:rPr>
      </w:pPr>
      <w:r w:rsidRPr="003F6706">
        <w:rPr>
          <w:rFonts w:ascii="Calibri" w:hAnsi="Calibri" w:cs="Calibri"/>
          <w:noProof/>
          <w:szCs w:val="24"/>
        </w:rPr>
        <w:t>Sandén P, Karlsson S, Düker A, Ledin A, Lundman L. 1997. Variations in hydrochemistry, trace metal concentration and transport during a rain storm event in a small catchment. J. Geochemical Explor. 58:145–155.</w:t>
      </w:r>
    </w:p>
    <w:p w14:paraId="31B0FFF7" w14:textId="265E5223" w:rsidR="008E11AD" w:rsidRPr="003F6706" w:rsidRDefault="008E11AD" w:rsidP="008E11AD">
      <w:pPr>
        <w:widowControl w:val="0"/>
        <w:autoSpaceDE w:val="0"/>
        <w:autoSpaceDN w:val="0"/>
        <w:adjustRightInd w:val="0"/>
        <w:spacing w:line="240" w:lineRule="auto"/>
        <w:jc w:val="both"/>
        <w:rPr>
          <w:rFonts w:ascii="Calibri" w:hAnsi="Calibri" w:cs="Calibri"/>
          <w:noProof/>
          <w:szCs w:val="24"/>
        </w:rPr>
      </w:pPr>
      <w:r w:rsidRPr="003F6706">
        <w:rPr>
          <w:rFonts w:ascii="Calibri" w:hAnsi="Calibri" w:cs="Calibri"/>
          <w:noProof/>
          <w:szCs w:val="24"/>
        </w:rPr>
        <w:t>Skousen, J. G., A. Sexstone PFZ. 2000. Acid Mine Drainage Control and Treatment. In: R. I. Barnhisel, R. G. Darmody WLD, editor. Reclaimation of Drastically Disturbed Lands. 1st ed. Madison, WI: Agron. Monogr. p. 131–168.</w:t>
      </w:r>
    </w:p>
    <w:p w14:paraId="544C1295" w14:textId="794331EF" w:rsidR="008E11AD" w:rsidRPr="003F6706" w:rsidRDefault="008E11AD" w:rsidP="008E11AD">
      <w:pPr>
        <w:widowControl w:val="0"/>
        <w:autoSpaceDE w:val="0"/>
        <w:autoSpaceDN w:val="0"/>
        <w:adjustRightInd w:val="0"/>
        <w:spacing w:line="240" w:lineRule="auto"/>
        <w:jc w:val="both"/>
        <w:rPr>
          <w:rFonts w:ascii="Calibri" w:hAnsi="Calibri" w:cs="Calibri"/>
          <w:noProof/>
          <w:szCs w:val="24"/>
        </w:rPr>
      </w:pPr>
      <w:r w:rsidRPr="003F6706">
        <w:rPr>
          <w:rFonts w:ascii="Calibri" w:hAnsi="Calibri" w:cs="Calibri"/>
          <w:noProof/>
          <w:szCs w:val="24"/>
        </w:rPr>
        <w:t>Vymazal J. 2011. Constructed wetlands for wastewater treatment: Five decades of experience. Environ. Sci. Technol. 45:61–69.</w:t>
      </w:r>
    </w:p>
    <w:p w14:paraId="75FEFE86" w14:textId="72E49C72" w:rsidR="008E11AD" w:rsidRDefault="008E11AD" w:rsidP="008E11AD">
      <w:pPr>
        <w:widowControl w:val="0"/>
        <w:autoSpaceDE w:val="0"/>
        <w:autoSpaceDN w:val="0"/>
        <w:adjustRightInd w:val="0"/>
        <w:spacing w:line="240" w:lineRule="auto"/>
        <w:jc w:val="both"/>
        <w:rPr>
          <w:rFonts w:ascii="Calibri" w:hAnsi="Calibri" w:cs="Calibri"/>
          <w:noProof/>
          <w:szCs w:val="24"/>
        </w:rPr>
      </w:pPr>
      <w:r w:rsidRPr="003F6706">
        <w:rPr>
          <w:rFonts w:ascii="Calibri" w:hAnsi="Calibri" w:cs="Calibri"/>
          <w:noProof/>
          <w:szCs w:val="24"/>
        </w:rPr>
        <w:t xml:space="preserve">Walling, D. E., and I. D. L. Foster. 1975. Variations in natural chemical concentration of river water during flood flows, and the lag effect: Some further </w:t>
      </w:r>
      <w:r w:rsidR="00051A48">
        <w:rPr>
          <w:rFonts w:ascii="Calibri" w:hAnsi="Calibri" w:cs="Calibri"/>
          <w:noProof/>
          <w:szCs w:val="24"/>
        </w:rPr>
        <w:t>comments. J. Hydrol 26:237–244.</w:t>
      </w:r>
    </w:p>
    <w:p w14:paraId="44A4C75A" w14:textId="43766101" w:rsidR="008E11AD" w:rsidRPr="00051A48" w:rsidRDefault="00051A48" w:rsidP="00051A48">
      <w:pPr>
        <w:widowControl w:val="0"/>
        <w:autoSpaceDE w:val="0"/>
        <w:autoSpaceDN w:val="0"/>
        <w:adjustRightInd w:val="0"/>
        <w:spacing w:before="100" w:after="100" w:line="240" w:lineRule="auto"/>
        <w:jc w:val="both"/>
        <w:rPr>
          <w:rFonts w:cs="Calibri"/>
          <w:noProof/>
        </w:rPr>
      </w:pPr>
      <w:r w:rsidRPr="00D53E0B">
        <w:rPr>
          <w:rFonts w:cs="Calibri"/>
          <w:noProof/>
        </w:rPr>
        <w:t>Watzlaf GR, Schroeder KT, Kleinmann RLP, Kairies CL, Nairn RW, Street WB. 2004. The Passive Treatment of Coal Mine Drainage. :1–72.</w:t>
      </w:r>
      <w:r>
        <w:rPr>
          <w:rFonts w:cs="Calibri"/>
          <w:noProof/>
        </w:rPr>
        <w:t xml:space="preserve"> </w:t>
      </w:r>
      <w:r>
        <w:t>DOE/NETL-2004/1202</w:t>
      </w:r>
    </w:p>
    <w:p w14:paraId="639C211A" w14:textId="6EE8EDE0" w:rsidR="008E11AD" w:rsidRDefault="008E11AD" w:rsidP="008E11AD">
      <w:pPr>
        <w:widowControl w:val="0"/>
        <w:autoSpaceDE w:val="0"/>
        <w:autoSpaceDN w:val="0"/>
        <w:adjustRightInd w:val="0"/>
        <w:spacing w:line="240" w:lineRule="auto"/>
        <w:jc w:val="both"/>
        <w:rPr>
          <w:rFonts w:ascii="Calibri" w:hAnsi="Calibri" w:cs="Calibri"/>
          <w:noProof/>
          <w:szCs w:val="24"/>
        </w:rPr>
      </w:pPr>
      <w:r w:rsidRPr="003F6706">
        <w:rPr>
          <w:rFonts w:ascii="Calibri" w:hAnsi="Calibri" w:cs="Calibri"/>
          <w:noProof/>
          <w:szCs w:val="24"/>
        </w:rPr>
        <w:t>Wiseman, IM; Edwards P. 2004. Constructed Wetlands for Minewater Treatment: Performance and Sustainability. Journal 18:127–132.</w:t>
      </w:r>
    </w:p>
    <w:p w14:paraId="77B662D4" w14:textId="6451A69F" w:rsidR="00051A48" w:rsidRDefault="00051A48" w:rsidP="00051A48">
      <w:pPr>
        <w:widowControl w:val="0"/>
        <w:autoSpaceDE w:val="0"/>
        <w:autoSpaceDN w:val="0"/>
        <w:adjustRightInd w:val="0"/>
        <w:spacing w:before="100" w:after="100" w:line="240" w:lineRule="auto"/>
        <w:jc w:val="both"/>
        <w:rPr>
          <w:rFonts w:cs="Arial"/>
          <w:shd w:val="clear" w:color="auto" w:fill="FFFFFF"/>
        </w:rPr>
      </w:pPr>
      <w:r w:rsidRPr="00D53E0B">
        <w:rPr>
          <w:rFonts w:cs="Calibri"/>
          <w:noProof/>
        </w:rPr>
        <w:t xml:space="preserve">Younger P. Banwart, S. Hedin R. 2002. Mine Water: Hydrology, Pollution, Remediation. Volume 5. </w:t>
      </w:r>
      <w:r w:rsidRPr="00D53E0B">
        <w:rPr>
          <w:rFonts w:cs="Arial"/>
          <w:shd w:val="clear" w:color="auto" w:fill="FFFFFF"/>
        </w:rPr>
        <w:t xml:space="preserve">Springer </w:t>
      </w:r>
      <w:proofErr w:type="spellStart"/>
      <w:r w:rsidRPr="00D53E0B">
        <w:rPr>
          <w:rFonts w:cs="Arial"/>
          <w:shd w:val="clear" w:color="auto" w:fill="FFFFFF"/>
        </w:rPr>
        <w:t>Sci</w:t>
      </w:r>
      <w:r>
        <w:rPr>
          <w:rFonts w:cs="Arial"/>
          <w:shd w:val="clear" w:color="auto" w:fill="FFFFFF"/>
        </w:rPr>
        <w:t>ence+Business</w:t>
      </w:r>
      <w:proofErr w:type="spellEnd"/>
      <w:r>
        <w:rPr>
          <w:rFonts w:cs="Arial"/>
          <w:shd w:val="clear" w:color="auto" w:fill="FFFFFF"/>
        </w:rPr>
        <w:t xml:space="preserve"> Media Dordrecht. p</w:t>
      </w:r>
      <w:r w:rsidRPr="00D53E0B">
        <w:rPr>
          <w:rFonts w:cs="Arial"/>
          <w:shd w:val="clear" w:color="auto" w:fill="FFFFFF"/>
        </w:rPr>
        <w:t xml:space="preserve"> </w:t>
      </w:r>
      <w:r>
        <w:rPr>
          <w:rFonts w:cs="Arial"/>
          <w:shd w:val="clear" w:color="auto" w:fill="FFFFFF"/>
        </w:rPr>
        <w:t>127-148</w:t>
      </w:r>
    </w:p>
    <w:p w14:paraId="0C174E5E" w14:textId="77777777" w:rsidR="00051A48" w:rsidRPr="00D53E0B" w:rsidRDefault="00051A48" w:rsidP="00051A48">
      <w:pPr>
        <w:widowControl w:val="0"/>
        <w:autoSpaceDE w:val="0"/>
        <w:autoSpaceDN w:val="0"/>
        <w:adjustRightInd w:val="0"/>
        <w:spacing w:before="100" w:after="100" w:line="240" w:lineRule="auto"/>
        <w:jc w:val="both"/>
        <w:rPr>
          <w:rFonts w:cs="Arial"/>
          <w:shd w:val="clear" w:color="auto" w:fill="FFFFFF"/>
        </w:rPr>
      </w:pPr>
    </w:p>
    <w:p w14:paraId="78FAA4E1" w14:textId="77777777" w:rsidR="00051A48" w:rsidRPr="003F6706" w:rsidRDefault="00051A48" w:rsidP="008E11AD">
      <w:pPr>
        <w:widowControl w:val="0"/>
        <w:autoSpaceDE w:val="0"/>
        <w:autoSpaceDN w:val="0"/>
        <w:adjustRightInd w:val="0"/>
        <w:spacing w:line="240" w:lineRule="auto"/>
        <w:jc w:val="both"/>
        <w:rPr>
          <w:rFonts w:ascii="Calibri" w:hAnsi="Calibri" w:cs="Calibri"/>
          <w:noProof/>
          <w:szCs w:val="24"/>
        </w:rPr>
      </w:pPr>
    </w:p>
    <w:p w14:paraId="06FE2833" w14:textId="77777777" w:rsidR="008E11AD" w:rsidRDefault="008E11AD" w:rsidP="008E11AD">
      <w:pPr>
        <w:widowControl w:val="0"/>
        <w:autoSpaceDE w:val="0"/>
        <w:autoSpaceDN w:val="0"/>
        <w:adjustRightInd w:val="0"/>
        <w:spacing w:line="240" w:lineRule="auto"/>
        <w:jc w:val="both"/>
        <w:rPr>
          <w:rFonts w:ascii="Calibri" w:hAnsi="Calibri" w:cs="Calibri"/>
          <w:noProof/>
          <w:szCs w:val="24"/>
        </w:rPr>
      </w:pPr>
    </w:p>
    <w:p w14:paraId="5F58EACB" w14:textId="77777777" w:rsidR="008E11AD" w:rsidRDefault="008E11AD" w:rsidP="008E11AD">
      <w:pPr>
        <w:jc w:val="both"/>
        <w:rPr>
          <w:rFonts w:ascii="Calibri" w:hAnsi="Calibri" w:cs="Calibri"/>
          <w:noProof/>
          <w:szCs w:val="24"/>
        </w:rPr>
      </w:pPr>
      <w:r>
        <w:rPr>
          <w:rFonts w:ascii="Calibri" w:hAnsi="Calibri" w:cs="Calibri"/>
          <w:noProof/>
          <w:szCs w:val="24"/>
        </w:rPr>
        <w:br w:type="page"/>
      </w:r>
    </w:p>
    <w:p w14:paraId="4AC14A73" w14:textId="725315FF" w:rsidR="000B63E4" w:rsidRDefault="000B63E4" w:rsidP="000B63E4">
      <w:pPr>
        <w:pStyle w:val="Heading1"/>
        <w:jc w:val="both"/>
      </w:pPr>
      <w:r w:rsidRPr="008C1627">
        <w:lastRenderedPageBreak/>
        <w:t xml:space="preserve">Chapter </w:t>
      </w:r>
      <w:r w:rsidR="00871563">
        <w:t>4</w:t>
      </w:r>
      <w:r w:rsidRPr="008C1627">
        <w:t xml:space="preserve"> – Characterization of the Spatial Iron Accumulation in the Preliminary Oxidative Cells of a Passive Treatment System</w:t>
      </w:r>
    </w:p>
    <w:p w14:paraId="7451F5D1" w14:textId="4CBE6452" w:rsidR="000B63E4" w:rsidRDefault="000B63E4" w:rsidP="000B63E4">
      <w:pPr>
        <w:jc w:val="both"/>
      </w:pPr>
    </w:p>
    <w:p w14:paraId="3F1B78AD" w14:textId="7AD60BE7" w:rsidR="00B101E4" w:rsidRPr="00B101E4" w:rsidRDefault="00B101E4" w:rsidP="000B63E4">
      <w:pPr>
        <w:jc w:val="both"/>
        <w:rPr>
          <w:i/>
        </w:rPr>
      </w:pPr>
      <w:r>
        <w:t xml:space="preserve">Contents of this chapter have been formatted for submission to </w:t>
      </w:r>
      <w:r w:rsidRPr="00B101E4">
        <w:rPr>
          <w:i/>
        </w:rPr>
        <w:t>Environmental Science and Technology.</w:t>
      </w:r>
    </w:p>
    <w:p w14:paraId="07503D2E" w14:textId="77777777" w:rsidR="000B63E4" w:rsidRPr="00961EE9" w:rsidRDefault="000B63E4" w:rsidP="000B63E4">
      <w:pPr>
        <w:pStyle w:val="Heading1"/>
        <w:jc w:val="both"/>
      </w:pPr>
      <w:r w:rsidRPr="00961EE9">
        <w:t>Abstract</w:t>
      </w:r>
    </w:p>
    <w:p w14:paraId="2C47B0B4" w14:textId="2632F5A7" w:rsidR="000B63E4" w:rsidRPr="005E73E7" w:rsidRDefault="000B63E4" w:rsidP="000B63E4">
      <w:pPr>
        <w:pStyle w:val="NormalWeb"/>
        <w:spacing w:line="480" w:lineRule="auto"/>
        <w:ind w:right="36"/>
        <w:jc w:val="both"/>
        <w:rPr>
          <w:rFonts w:asciiTheme="minorHAnsi" w:hAnsiTheme="minorHAnsi" w:cstheme="minorHAnsi"/>
          <w:sz w:val="22"/>
          <w:szCs w:val="22"/>
        </w:rPr>
      </w:pPr>
      <w:r w:rsidRPr="005E73E7">
        <w:rPr>
          <w:rFonts w:asciiTheme="minorHAnsi" w:hAnsiTheme="minorHAnsi" w:cstheme="minorHAnsi"/>
          <w:sz w:val="22"/>
          <w:szCs w:val="22"/>
        </w:rPr>
        <w:t xml:space="preserve"> Iron oxidation, hydrolysis, and settling are key processes promoted in passive treatment systems to remove iron from influent acid mine drainage (AMD). </w:t>
      </w:r>
      <w:r w:rsidR="00B101E4">
        <w:rPr>
          <w:rFonts w:asciiTheme="minorHAnsi" w:hAnsiTheme="minorHAnsi" w:cstheme="minorHAnsi"/>
          <w:sz w:val="22"/>
          <w:szCs w:val="22"/>
        </w:rPr>
        <w:t xml:space="preserve">A solids accumulation profile is a spatially-derived sample collection with the goal of mapping the localized accumulation of materials within a passive treatment cell, rather than just assuming a uniform distribution. </w:t>
      </w:r>
      <w:r w:rsidRPr="005E73E7">
        <w:rPr>
          <w:rFonts w:asciiTheme="minorHAnsi" w:hAnsiTheme="minorHAnsi" w:cstheme="minorHAnsi"/>
          <w:sz w:val="22"/>
          <w:szCs w:val="22"/>
        </w:rPr>
        <w:t>Development of a solids accumulation profile for the oxidative unit of a passive treatment system provides insight into system performance and recovery/reuse applications. This study delineates the deposition profile of accumulated iron oxide precipitates over the first full seven years (2009-2015) of operation for the Mayer Ranch Passive Treatment System receiving ferruginous lead-zinc mine drainage at the Tar Creek Superfund Site. Depth</w:t>
      </w:r>
      <w:r>
        <w:rPr>
          <w:rFonts w:asciiTheme="minorHAnsi" w:hAnsiTheme="minorHAnsi" w:cstheme="minorHAnsi"/>
          <w:sz w:val="22"/>
          <w:szCs w:val="22"/>
        </w:rPr>
        <w:t>-integrated</w:t>
      </w:r>
      <w:r w:rsidRPr="005E73E7">
        <w:rPr>
          <w:rFonts w:asciiTheme="minorHAnsi" w:hAnsiTheme="minorHAnsi" w:cstheme="minorHAnsi"/>
          <w:sz w:val="22"/>
          <w:szCs w:val="22"/>
        </w:rPr>
        <w:t xml:space="preserve"> measurements of discrete core samples within the initial oxidation pond and secondary surface flow wetlands were used to map the accumulation of solid</w:t>
      </w:r>
      <w:r>
        <w:rPr>
          <w:rFonts w:asciiTheme="minorHAnsi" w:hAnsiTheme="minorHAnsi" w:cstheme="minorHAnsi"/>
          <w:sz w:val="22"/>
          <w:szCs w:val="22"/>
        </w:rPr>
        <w:t>s</w:t>
      </w:r>
      <w:r w:rsidRPr="005E73E7">
        <w:rPr>
          <w:rFonts w:asciiTheme="minorHAnsi" w:hAnsiTheme="minorHAnsi" w:cstheme="minorHAnsi"/>
          <w:sz w:val="22"/>
          <w:szCs w:val="22"/>
        </w:rPr>
        <w:t xml:space="preserve">.  </w:t>
      </w:r>
      <w:r w:rsidRPr="005E73E7">
        <w:rPr>
          <w:rFonts w:asciiTheme="minorHAnsi" w:hAnsiTheme="minorHAnsi" w:cstheme="minorHAnsi"/>
          <w:i/>
          <w:sz w:val="22"/>
          <w:szCs w:val="22"/>
        </w:rPr>
        <w:t>In-situ</w:t>
      </w:r>
      <w:r w:rsidRPr="005E73E7">
        <w:rPr>
          <w:rFonts w:asciiTheme="minorHAnsi" w:hAnsiTheme="minorHAnsi" w:cstheme="minorHAnsi"/>
          <w:sz w:val="22"/>
          <w:szCs w:val="22"/>
        </w:rPr>
        <w:t xml:space="preserve"> water measurements included pH, temperature, specific conductance, dissolved oxygen, and oxidation-reduction potential; turbidity and total alkalinity were measured </w:t>
      </w:r>
      <w:r>
        <w:rPr>
          <w:rFonts w:asciiTheme="minorHAnsi" w:hAnsiTheme="minorHAnsi" w:cstheme="minorHAnsi"/>
          <w:sz w:val="22"/>
          <w:szCs w:val="22"/>
        </w:rPr>
        <w:t xml:space="preserve">on site </w:t>
      </w:r>
      <w:r w:rsidRPr="005E73E7">
        <w:rPr>
          <w:rFonts w:asciiTheme="minorHAnsi" w:hAnsiTheme="minorHAnsi" w:cstheme="minorHAnsi"/>
          <w:sz w:val="22"/>
          <w:szCs w:val="22"/>
        </w:rPr>
        <w:t xml:space="preserve">and water samples were collected for laboratory determination of total and dissolved metals (and sulfate concentrations.  Core samples were characterized for color, density, surface area, % crystallinity, % residual moisture content, % organic content, </w:t>
      </w:r>
      <w:r>
        <w:rPr>
          <w:rFonts w:asciiTheme="minorHAnsi" w:hAnsiTheme="minorHAnsi" w:cstheme="minorHAnsi"/>
          <w:sz w:val="22"/>
          <w:szCs w:val="22"/>
        </w:rPr>
        <w:t xml:space="preserve">and </w:t>
      </w:r>
      <w:r w:rsidRPr="005E73E7">
        <w:rPr>
          <w:rFonts w:asciiTheme="minorHAnsi" w:hAnsiTheme="minorHAnsi" w:cstheme="minorHAnsi"/>
          <w:sz w:val="22"/>
          <w:szCs w:val="22"/>
        </w:rPr>
        <w:t>mineral phase</w:t>
      </w:r>
      <w:r>
        <w:rPr>
          <w:rFonts w:asciiTheme="minorHAnsi" w:hAnsiTheme="minorHAnsi" w:cstheme="minorHAnsi"/>
          <w:sz w:val="22"/>
          <w:szCs w:val="22"/>
        </w:rPr>
        <w:t>s</w:t>
      </w:r>
      <w:r w:rsidRPr="005E73E7">
        <w:rPr>
          <w:rFonts w:asciiTheme="minorHAnsi" w:hAnsiTheme="minorHAnsi" w:cstheme="minorHAnsi"/>
          <w:sz w:val="22"/>
          <w:szCs w:val="22"/>
        </w:rPr>
        <w:t xml:space="preserve"> via Raman microscopy and SEM microscopy. A </w:t>
      </w:r>
      <w:proofErr w:type="spellStart"/>
      <w:r w:rsidRPr="005E73E7">
        <w:rPr>
          <w:rFonts w:asciiTheme="minorHAnsi" w:hAnsiTheme="minorHAnsi" w:cstheme="minorHAnsi"/>
          <w:sz w:val="22"/>
          <w:szCs w:val="22"/>
        </w:rPr>
        <w:t>rhodamine</w:t>
      </w:r>
      <w:proofErr w:type="spellEnd"/>
      <w:r w:rsidRPr="005E73E7">
        <w:rPr>
          <w:rFonts w:asciiTheme="minorHAnsi" w:hAnsiTheme="minorHAnsi" w:cstheme="minorHAnsi"/>
          <w:sz w:val="22"/>
          <w:szCs w:val="22"/>
        </w:rPr>
        <w:t xml:space="preserve"> tracer study was conducted to determine the hydraulic retention time for Cell 1 and Cells 2N/2S after seven years of operation. </w:t>
      </w:r>
      <w:proofErr w:type="spellStart"/>
      <w:r w:rsidRPr="005E73E7">
        <w:rPr>
          <w:rFonts w:asciiTheme="minorHAnsi" w:hAnsiTheme="minorHAnsi" w:cstheme="minorHAnsi"/>
          <w:sz w:val="22"/>
          <w:szCs w:val="22"/>
        </w:rPr>
        <w:t>Rhodamine</w:t>
      </w:r>
      <w:proofErr w:type="spellEnd"/>
      <w:r w:rsidRPr="005E73E7">
        <w:rPr>
          <w:rFonts w:asciiTheme="minorHAnsi" w:hAnsiTheme="minorHAnsi" w:cstheme="minorHAnsi"/>
          <w:sz w:val="22"/>
          <w:szCs w:val="22"/>
        </w:rPr>
        <w:t xml:space="preserve">-WT (3.8 L) was introduced to the three influent seeps simultaneously (volume proportionate </w:t>
      </w:r>
      <w:r w:rsidRPr="005E73E7">
        <w:rPr>
          <w:rFonts w:asciiTheme="minorHAnsi" w:hAnsiTheme="minorHAnsi" w:cstheme="minorHAnsi"/>
          <w:sz w:val="22"/>
          <w:szCs w:val="22"/>
        </w:rPr>
        <w:lastRenderedPageBreak/>
        <w:t xml:space="preserve">to individual seep flows, </w:t>
      </w:r>
      <w:proofErr w:type="spellStart"/>
      <w:r w:rsidRPr="005E73E7">
        <w:rPr>
          <w:rFonts w:asciiTheme="minorHAnsi" w:hAnsiTheme="minorHAnsi" w:cstheme="minorHAnsi"/>
          <w:sz w:val="22"/>
          <w:szCs w:val="22"/>
        </w:rPr>
        <w:t>Q</w:t>
      </w:r>
      <w:r w:rsidRPr="005E73E7">
        <w:rPr>
          <w:rFonts w:asciiTheme="minorHAnsi" w:hAnsiTheme="minorHAnsi" w:cstheme="minorHAnsi"/>
          <w:sz w:val="22"/>
          <w:szCs w:val="22"/>
          <w:vertAlign w:val="subscript"/>
        </w:rPr>
        <w:t>total</w:t>
      </w:r>
      <w:proofErr w:type="spellEnd"/>
      <w:r w:rsidRPr="005E73E7">
        <w:rPr>
          <w:rFonts w:asciiTheme="minorHAnsi" w:hAnsiTheme="minorHAnsi" w:cstheme="minorHAnsi"/>
          <w:sz w:val="22"/>
          <w:szCs w:val="22"/>
        </w:rPr>
        <w:t xml:space="preserve"> = 7.42 L/sec), and concentrations were measured with YSI-</w:t>
      </w:r>
      <w:proofErr w:type="spellStart"/>
      <w:r w:rsidRPr="005E73E7">
        <w:rPr>
          <w:rFonts w:asciiTheme="minorHAnsi" w:hAnsiTheme="minorHAnsi" w:cstheme="minorHAnsi"/>
          <w:sz w:val="22"/>
          <w:szCs w:val="22"/>
        </w:rPr>
        <w:t>rhodamine</w:t>
      </w:r>
      <w:proofErr w:type="spellEnd"/>
      <w:r w:rsidRPr="005E73E7">
        <w:rPr>
          <w:rFonts w:asciiTheme="minorHAnsi" w:hAnsiTheme="minorHAnsi" w:cstheme="minorHAnsi"/>
          <w:sz w:val="22"/>
          <w:szCs w:val="22"/>
        </w:rPr>
        <w:t xml:space="preserve"> sensors (#6130) continuously (15</w:t>
      </w:r>
      <w:r>
        <w:rPr>
          <w:rFonts w:asciiTheme="minorHAnsi" w:hAnsiTheme="minorHAnsi" w:cstheme="minorHAnsi"/>
          <w:sz w:val="22"/>
          <w:szCs w:val="22"/>
        </w:rPr>
        <w:t>-</w:t>
      </w:r>
      <w:r w:rsidRPr="005E73E7">
        <w:rPr>
          <w:rFonts w:asciiTheme="minorHAnsi" w:hAnsiTheme="minorHAnsi" w:cstheme="minorHAnsi"/>
          <w:sz w:val="22"/>
          <w:szCs w:val="22"/>
        </w:rPr>
        <w:t xml:space="preserve">minute logging interval) and discretely (1 sample every hour via programmable </w:t>
      </w:r>
      <w:proofErr w:type="spellStart"/>
      <w:r w:rsidRPr="005E73E7">
        <w:rPr>
          <w:rFonts w:asciiTheme="minorHAnsi" w:hAnsiTheme="minorHAnsi" w:cstheme="minorHAnsi"/>
          <w:sz w:val="22"/>
          <w:szCs w:val="22"/>
        </w:rPr>
        <w:t>autosampler</w:t>
      </w:r>
      <w:proofErr w:type="spellEnd"/>
      <w:r w:rsidRPr="005E73E7">
        <w:rPr>
          <w:rFonts w:asciiTheme="minorHAnsi" w:hAnsiTheme="minorHAnsi" w:cstheme="minorHAnsi"/>
          <w:sz w:val="22"/>
          <w:szCs w:val="22"/>
        </w:rPr>
        <w:t xml:space="preserve">) over 14 days. Cell 1 has a HRT of 5.5 days which is less than the design of 7.7 days. Cells 2N/2S have a design HRT of 3.5 days yet when tested with </w:t>
      </w:r>
      <w:proofErr w:type="spellStart"/>
      <w:r w:rsidRPr="005E73E7">
        <w:rPr>
          <w:rFonts w:asciiTheme="minorHAnsi" w:hAnsiTheme="minorHAnsi" w:cstheme="minorHAnsi"/>
          <w:sz w:val="22"/>
          <w:szCs w:val="22"/>
        </w:rPr>
        <w:t>rhodamine</w:t>
      </w:r>
      <w:proofErr w:type="spellEnd"/>
      <w:r w:rsidRPr="005E73E7">
        <w:rPr>
          <w:rFonts w:asciiTheme="minorHAnsi" w:hAnsiTheme="minorHAnsi" w:cstheme="minorHAnsi"/>
          <w:sz w:val="22"/>
          <w:szCs w:val="22"/>
        </w:rPr>
        <w:t xml:space="preserve"> tracer dye in 2009, they indicated 2.5 days for their average HRT. This suggests that the shorter than expected HRT for Cell 1 may be due to flow short circuiting rather than solely due to solids accumulation.  Extended HRTs were observed for Cells 2N/2S (averaging 9.0 days) due to restricted hydraulic conductivity through the </w:t>
      </w:r>
      <w:r>
        <w:rPr>
          <w:rFonts w:asciiTheme="minorHAnsi" w:hAnsiTheme="minorHAnsi" w:cstheme="minorHAnsi"/>
          <w:sz w:val="22"/>
          <w:szCs w:val="22"/>
        </w:rPr>
        <w:t xml:space="preserve">down gradient </w:t>
      </w:r>
      <w:r w:rsidRPr="005E73E7">
        <w:rPr>
          <w:rFonts w:asciiTheme="minorHAnsi" w:hAnsiTheme="minorHAnsi" w:cstheme="minorHAnsi"/>
          <w:sz w:val="22"/>
          <w:szCs w:val="22"/>
        </w:rPr>
        <w:t xml:space="preserve">vertical flow bioreactors (VFBRs). High system water levels for both Cell 2N and 2S were due the frequency of rainfall events. </w:t>
      </w:r>
    </w:p>
    <w:p w14:paraId="5552BC8F" w14:textId="77777777" w:rsidR="000B63E4" w:rsidRPr="00961EE9" w:rsidRDefault="000B63E4" w:rsidP="000B63E4">
      <w:pPr>
        <w:pStyle w:val="Heading1"/>
        <w:jc w:val="both"/>
      </w:pPr>
      <w:r>
        <w:t>Introduction</w:t>
      </w:r>
    </w:p>
    <w:p w14:paraId="6218AB9D" w14:textId="77777777" w:rsidR="000B63E4" w:rsidRPr="008C1627" w:rsidRDefault="000B63E4" w:rsidP="000B63E4">
      <w:pPr>
        <w:jc w:val="both"/>
        <w:rPr>
          <w:rFonts w:cstheme="minorHAnsi"/>
        </w:rPr>
      </w:pPr>
    </w:p>
    <w:p w14:paraId="677C94ED" w14:textId="3284BFE0" w:rsidR="000B63E4" w:rsidRPr="008C1627" w:rsidRDefault="000B63E4" w:rsidP="000B63E4">
      <w:pPr>
        <w:spacing w:line="480" w:lineRule="auto"/>
        <w:jc w:val="both"/>
        <w:rPr>
          <w:rFonts w:cstheme="minorHAnsi"/>
        </w:rPr>
      </w:pPr>
      <w:r w:rsidRPr="008C1627">
        <w:rPr>
          <w:rFonts w:cstheme="minorHAnsi"/>
        </w:rPr>
        <w:t xml:space="preserve">Passive treatment oxidation cells are designed to retain precipitated iron </w:t>
      </w:r>
      <w:proofErr w:type="spellStart"/>
      <w:r w:rsidRPr="008C1627">
        <w:rPr>
          <w:rFonts w:cstheme="minorHAnsi"/>
        </w:rPr>
        <w:t>oxyhydroxides</w:t>
      </w:r>
      <w:proofErr w:type="spellEnd"/>
      <w:r w:rsidRPr="008C1627">
        <w:rPr>
          <w:rFonts w:cstheme="minorHAnsi"/>
        </w:rPr>
        <w:t xml:space="preserve"> for the design life of the system with regular intervals of extraction to maintain function (</w:t>
      </w:r>
      <w:r w:rsidR="00317F91" w:rsidRPr="008C1627">
        <w:rPr>
          <w:rFonts w:cstheme="minorHAnsi"/>
        </w:rPr>
        <w:t>H</w:t>
      </w:r>
      <w:r w:rsidR="00317F91">
        <w:rPr>
          <w:rFonts w:cstheme="minorHAnsi"/>
        </w:rPr>
        <w:t xml:space="preserve">edin </w:t>
      </w:r>
      <w:r w:rsidR="00317F91" w:rsidRPr="008C1627">
        <w:rPr>
          <w:rFonts w:cstheme="minorHAnsi"/>
        </w:rPr>
        <w:t>2008</w:t>
      </w:r>
      <w:r w:rsidRPr="008C1627">
        <w:rPr>
          <w:rFonts w:cstheme="minorHAnsi"/>
        </w:rPr>
        <w:t>).  Removal rates calculated from empirical sources have a wide range of reported values (20 ±10 g/m</w:t>
      </w:r>
      <w:r w:rsidRPr="008C1627">
        <w:rPr>
          <w:rFonts w:cstheme="minorHAnsi"/>
          <w:vertAlign w:val="superscript"/>
        </w:rPr>
        <w:t>2</w:t>
      </w:r>
      <w:r w:rsidRPr="008C1627">
        <w:rPr>
          <w:rFonts w:cstheme="minorHAnsi"/>
        </w:rPr>
        <w:t>/day) based on the area</w:t>
      </w:r>
      <w:r>
        <w:rPr>
          <w:rFonts w:cstheme="minorHAnsi"/>
        </w:rPr>
        <w:t>-</w:t>
      </w:r>
      <w:r w:rsidRPr="008C1627">
        <w:rPr>
          <w:rFonts w:cstheme="minorHAnsi"/>
        </w:rPr>
        <w:t xml:space="preserve">adjusted mass removal concept </w:t>
      </w:r>
      <w:r w:rsidRPr="008C1627">
        <w:rPr>
          <w:rFonts w:cstheme="minorHAnsi"/>
        </w:rPr>
        <w:fldChar w:fldCharType="begin" w:fldLock="1"/>
      </w:r>
      <w:r w:rsidRPr="008C1627">
        <w:rPr>
          <w:rFonts w:cstheme="minorHAnsi"/>
        </w:rPr>
        <w:instrText>ADDIN CSL_CITATION { "citationItems" : [ { "id" : "ITEM-1", "itemData" : { "DOI" : "10.1007/s10230-009-0068-6", "ISBN" : "1025-9112", "ISSN" : "10259112", "abstract" : "In the UK, the Coal Authority has more than 40 mine water treatment\\nsystems, most of which are wetland systems with settlement lagoon\\npretreatment. The purpose of treatment in wetlands is the oxidation of\\nferrous to ferric iron and the subsequent hydrolysis and precipitation\\nof ferric hydroxide within the wetland. It is generally accepted (Hedin\\net al., Passive treatment of coal mine drainage, 1994, p 35; Skousen and\\nZiemkiewicz, Acid mine drainage control and treatment, 1996, p 362;\\nYounger et al., Mine water: hydrology, pollution, remediation, 2002, p\\n442) that this process proceeds by a first-order rate law, although most\\nsystems are designed based on an areal removal rate (10 g/m(2)/day)\\ndeveloped by the U.S. Bureau of Mines (Hedin et al., Passive treatment\\nof coal mine drainage, 1994, p 35); this design guideline inherently\\nassumes a constant removal rate. Given the actual kinetics of iron\\nremoval in wetlands, it follows that residence time will control iron\\nremoval; given the wide range of system geometries and aspects, it is\\nlogical to ascertain the actual hydraulic residence time of wetlands and\\nsettlement lagoons and determine the effect this has on iron removal. To\\nmake a preliminary assessment of this link, hydraulic residence time of\\ntwo Coal Authority wetlands (Lambley and Whittle) and two Coal Authority\\nsettlement lagoons (Acomb East, Acomb West and Whittle) were measured\\nusing bromide tracer tests. Water samples for iron analysis and flow\\nmeasurements were taken during each tracer test. The Lambley wetland\\nperforms well in terms of residence time, and, as reeds become\\nestablished and adsorptive processes increase, its iron removal\\nperformance (currently 58% removal) may improve, but the low influent\\niron concentration appears to be a significant impediment to meeting the\\noriginal performance target. In contrast, the hydraulic performance of\\nthe Whittle wetland system is poor, which appears to be due to\\naccumulation of dead plant material coupled with a high length to width\\nratio. However, performance in terms of iron removal is good (92%\\nremoval), which appears to be due to the higher influent iron\\nconcentration, and especially the fact that the iron enters the wetland\\nlargely in particulate form. The longer residence time of water within\\nthe Acomb lagoons (approximate to 12 h) resulted in far more effective\\niron removal (72% in the east lagoon and 85% in the west lagoon) than\\nthe shorter residence time \u2026", "author" : [ { "dropping-particle" : "", "family" : "Kruse", "given" : "N. A S", "non-dropping-particle" : "", "parse-names" : false, "suffix" : "" }, { "dropping-particle" : "", "family" : "Gozzard", "given" : "E.", "non-dropping-particle" : "", "parse-names" : false, "suffix" : "" }, { "dropping-particle" : "", "family" : "Jarvis", "given" : "a. P.", "non-dropping-particle" : "", "parse-names" : false, "suffix" : "" } ], "container-title" : "Mine Water and the Environment", "id" : "ITEM-1", "issue" : "2", "issued" : { "date-parts" : [ [ "2009" ] ] }, "page" : "115-123", "title" : "Determination of hydraulic residence times in several UK Mine water treatment systems and their relationship to iron removal", "type" : "article-journal", "volume" : "28" }, "uris" : [ "http://www.mendeley.com/documents/?uuid=fa552063-1e43-4297-9c4e-7c463c3b2207" ] }, { "id" : "ITEM-2", "itemData" : { "DOI" : "10.1016/j.ecoleng.2010.12.010", "ISSN" : "09258574", "abstract" : "The aim of this paper is the development of a methodology for assessing the iron removal efficiency of passive mine water treatment settling lagoons and reed beds. Previous work in the design and sizing of coal mine drainage lagoons and wetlands has focussed on the use of standard hydraulic residence times or using the 10gm\u22122d\u22121 metric, these criteria have been applied without regard to the fundamental physical and chemical processes controlling iron removal in the system, namely the pH dependent rates of Fe(II) oxidation and physical settling of the particulate Fe(III). In this study field water quality data have been collected from lagoons and reed beds. These data are examined alongside data from the UK Coal Authority database and combined with simple mathematical formulations to provide a framework through which to understand passive treatment schemes from a process-orientated perspective. It is demonstrated that for the sites studied reed beds are more efficient for iron removal. This paper recommends that judgements of iron removal performance should be based on a derived treatment efficiency index (\u025b) and that the modelling approach espoused in this paper should be used when designing passive mine water treatment schemes.", "author" : [ { "dropping-particle" : "", "family" : "Sapsford", "given" : "D.J.", "non-dropping-particle" : "", "parse-names" : false, "suffix" : "" }, { "dropping-particle" : "", "family" : "Watson", "given" : "I.", "non-dropping-particle" : "", "parse-names" : false, "suffix" : "" } ], "container-title" : "Ecological Engineering", "id" : "ITEM-2", "issue" : "6", "issued" : { "date-parts" : [ [ "2011", "6" ] ] }, "page" : "970-975", "title" : "A process-orientated design and performance assessment methodology for passive mine water treatment systems", "type" : "article-journal", "volume" : "37" }, "uris" : [ "http://www.mendeley.com/documents/?uuid=da842d01-0c47-40b3-aa74-f71be724e858" ] }, { "id" : "ITEM-3", "itemData" : { "DOI" : "10.1016/j.ecoleng.2012.08.008", "ISBN" : "0925-8574", "ISSN" : "09258574", "abstract" : "Hydraulic performance assessment of passive treatment systems has been conducted for UK's Coal Authority mine water treatment systems. The study aims to improve the understanding of the hydraulic factors that govern contaminant behaviour, such that future design of treatment systems is able to optimise treatment efficiency and make performance more predictable, and improve performance over the long-term. Assessment of the hydraulic behaviour (i.e. residence time and flow pattern) of the treatment systems was accomplished by means of tracer tests. The tracer tests were undertaken at eight UK Coal Authority mine water treatment systems (lagoons and wetlands) within Northern England (main study areas) and part of southern Scotland. A modelling approach using a tanks-in-series (TIS) model was adopted to precisely analyse and characterise the residence time distributions (RTDs), in an effort to account for the different flow patterns across the treatment systems. Generally, lagoon RTDs are characterised by a greater flow dispersion compared to wetlands (i.e. higher dispersion number, D and lower number of TIS, n). Consequently, the hydraulic efficiency, e \n                        ?? for lagoons is much lower than wetlands (mean of 0.20 for lagoons compared to 0.66 for wetlands). Implications for design and maintenance of mine water treatment systems are discussed. ?? 2012 Elsevier B.V.", "author" : [ { "dropping-particle" : "", "family" : "Kusin", "given" : "F. M.", "non-dropping-particle" : "", "parse-names" : false, "suffix" : "" }, { "dropping-particle" : "", "family" : "Jarvis", "given" : "A. P.", "non-dropping-particle" : "", "parse-names" : false, "suffix" : "" }, { "dropping-particle" : "", "family" : "Gandy", "given" : "C. J.", "non-dropping-particle" : "", "parse-names" : false, "suffix" : "" } ], "container-title" : "Ecological Engineering", "id" : "ITEM-3", "issued" : { "date-parts" : [ [ "2012" ] ] }, "page" : "233-243", "publisher" : "Elsevier B.V.", "title" : "Hydraulic performance assessment of passive coal mine water treatment systems in the UK", "type" : "article-journal", "volume" : "49" }, "uris" : [ "http://www.mendeley.com/documents/?uuid=6edcd38d-88d0-41ba-b634-f7e3faf2f587" ] } ], "mendeley" : { "formattedCitation" : "(Kruse et al. 2009; Sapsford and Watson 2011; Kusin et al. 2012)", "plainTextFormattedCitation" : "(Kruse et al. 2009; Sapsford and Watson 2011; Kusin et al. 2012)", "previouslyFormattedCitation" : "(Kruse et al. 2009; Sapsford and Watson 2011; Kusin et al. 2012)" }, "properties" : { "noteIndex" : 0 }, "schema" : "https://github.com/citation-style-language/schema/raw/master/csl-citation.json" }</w:instrText>
      </w:r>
      <w:r w:rsidRPr="008C1627">
        <w:rPr>
          <w:rFonts w:cstheme="minorHAnsi"/>
        </w:rPr>
        <w:fldChar w:fldCharType="separate"/>
      </w:r>
      <w:r w:rsidRPr="008C1627">
        <w:rPr>
          <w:rFonts w:cstheme="minorHAnsi"/>
          <w:noProof/>
        </w:rPr>
        <w:t>(Kruse et al. 2009; Sapsford and Watson 2011; Kusin et al. 2012)</w:t>
      </w:r>
      <w:r w:rsidRPr="008C1627">
        <w:rPr>
          <w:rFonts w:cstheme="minorHAnsi"/>
        </w:rPr>
        <w:fldChar w:fldCharType="end"/>
      </w:r>
      <w:r w:rsidRPr="008C1627">
        <w:rPr>
          <w:rFonts w:cstheme="minorHAnsi"/>
        </w:rPr>
        <w:t>. Relative removal efficiencies of iron oxidation cells have been reported to range from 24% to 99% with no clear trend emerging based on oxidation cell type (pond/wetland</w:t>
      </w:r>
      <w:r>
        <w:rPr>
          <w:rFonts w:cstheme="minorHAnsi"/>
        </w:rPr>
        <w:t xml:space="preserve">; </w:t>
      </w:r>
      <w:r w:rsidRPr="008C1627">
        <w:rPr>
          <w:rFonts w:cstheme="minorHAnsi"/>
        </w:rPr>
        <w:fldChar w:fldCharType="begin" w:fldLock="1"/>
      </w:r>
      <w:r w:rsidRPr="008C1627">
        <w:rPr>
          <w:rFonts w:cstheme="minorHAnsi"/>
        </w:rPr>
        <w:instrText>ADDIN CSL_CITATION { "citationItems" : [ { "id" : "ITEM-1", "itemData" : { "DOI" : "10.5829/idosi.wasj.2013.26.10.412", "author" : [ { "dropping-particle" : "", "family" : "Kusin", "given" : "F M", "non-dropping-particle" : "", "parse-names" : false, "suffix" : "" } ], "id" : "ITEM-1", "issue" : "10", "issued" : { "date-parts" : [ [ "2013" ] ] }, "page" : "1316-1322", "title" : "A Review of the Importance of Hydraulic Residence Time on Improved Design of Mine Water Treatment Systems", "type" : "article-journal", "volume" : "26" }, "uris" : [ "http://www.mendeley.com/documents/?uuid=2a4eba6d-51a0-411f-bb0a-df6640c77df4" ] } ], "mendeley" : { "formattedCitation" : "(Kusin 2013)", "plainTextFormattedCitation" : "(Kusin 2013)", "previouslyFormattedCitation" : "(Kusin 2013)" }, "properties" : { "noteIndex" : 0 }, "schema" : "https://github.com/citation-style-language/schema/raw/master/csl-citation.json" }</w:instrText>
      </w:r>
      <w:r w:rsidRPr="008C1627">
        <w:rPr>
          <w:rFonts w:cstheme="minorHAnsi"/>
        </w:rPr>
        <w:fldChar w:fldCharType="separate"/>
      </w:r>
      <w:r w:rsidRPr="008C1627">
        <w:rPr>
          <w:rFonts w:cstheme="minorHAnsi"/>
          <w:noProof/>
        </w:rPr>
        <w:t>Kusin 2013)</w:t>
      </w:r>
      <w:r w:rsidRPr="008C1627">
        <w:rPr>
          <w:rFonts w:cstheme="minorHAnsi"/>
        </w:rPr>
        <w:fldChar w:fldCharType="end"/>
      </w:r>
      <w:r w:rsidRPr="008C1627">
        <w:rPr>
          <w:rFonts w:cstheme="minorHAnsi"/>
        </w:rPr>
        <w:t xml:space="preserve">. Lessons learned from how iron removal rates and accumulation of precipitated solids impact function of mature systems </w:t>
      </w:r>
      <w:r>
        <w:rPr>
          <w:rFonts w:cstheme="minorHAnsi"/>
        </w:rPr>
        <w:t xml:space="preserve">have </w:t>
      </w:r>
      <w:r w:rsidRPr="008C1627">
        <w:rPr>
          <w:rFonts w:cstheme="minorHAnsi"/>
        </w:rPr>
        <w:t>inspire</w:t>
      </w:r>
      <w:r>
        <w:rPr>
          <w:rFonts w:cstheme="minorHAnsi"/>
        </w:rPr>
        <w:t>d</w:t>
      </w:r>
      <w:r w:rsidRPr="008C1627">
        <w:rPr>
          <w:rFonts w:cstheme="minorHAnsi"/>
        </w:rPr>
        <w:t xml:space="preserve"> refinement in second and third generation passive treatment systems design. System performance metrics, design-phase iron removal predictions, and federal iron discharge standards already define project success indicator</w:t>
      </w:r>
      <w:r w:rsidR="004358A1">
        <w:rPr>
          <w:rFonts w:cstheme="minorHAnsi"/>
        </w:rPr>
        <w:t>s (</w:t>
      </w:r>
      <w:proofErr w:type="spellStart"/>
      <w:r w:rsidR="004358A1">
        <w:rPr>
          <w:rFonts w:cstheme="minorHAnsi"/>
        </w:rPr>
        <w:t>Skousen</w:t>
      </w:r>
      <w:proofErr w:type="spellEnd"/>
      <w:r w:rsidR="004358A1">
        <w:rPr>
          <w:rFonts w:cstheme="minorHAnsi"/>
        </w:rPr>
        <w:t xml:space="preserve"> et al 2005)</w:t>
      </w:r>
      <w:r w:rsidRPr="008C1627">
        <w:rPr>
          <w:rFonts w:cstheme="minorHAnsi"/>
        </w:rPr>
        <w:t>. Long</w:t>
      </w:r>
      <w:r>
        <w:rPr>
          <w:rFonts w:cstheme="minorHAnsi"/>
        </w:rPr>
        <w:t>-</w:t>
      </w:r>
      <w:r w:rsidRPr="008C1627">
        <w:rPr>
          <w:rFonts w:cstheme="minorHAnsi"/>
        </w:rPr>
        <w:t xml:space="preserve"> term operation and maintenance decisions are impacted by the spatial distribution of accumulated solids, </w:t>
      </w:r>
      <w:r w:rsidRPr="008C1627">
        <w:rPr>
          <w:rFonts w:cstheme="minorHAnsi"/>
        </w:rPr>
        <w:lastRenderedPageBreak/>
        <w:t>change in treatment system hydraulics, and the loss of available treatment volume over time and have not been fully resolved</w:t>
      </w:r>
      <w:r>
        <w:rPr>
          <w:rFonts w:cstheme="minorHAnsi"/>
        </w:rPr>
        <w:t xml:space="preserve"> </w:t>
      </w:r>
      <w:r w:rsidR="004358A1">
        <w:rPr>
          <w:rFonts w:cstheme="minorHAnsi"/>
        </w:rPr>
        <w:t>(</w:t>
      </w:r>
      <w:proofErr w:type="spellStart"/>
      <w:r w:rsidR="004358A1">
        <w:rPr>
          <w:rFonts w:cstheme="minorHAnsi"/>
        </w:rPr>
        <w:t>Coghlan</w:t>
      </w:r>
      <w:proofErr w:type="spellEnd"/>
      <w:r w:rsidR="004358A1">
        <w:rPr>
          <w:rFonts w:cstheme="minorHAnsi"/>
        </w:rPr>
        <w:t xml:space="preserve"> and V Raj, 2000).</w:t>
      </w:r>
      <w:r w:rsidRPr="008C1627">
        <w:rPr>
          <w:rFonts w:cstheme="minorHAnsi"/>
        </w:rPr>
        <w:t xml:space="preserve">  Therefore, it is essential to understand how the accumulation profile of iron oxides within sedimentation ponds and surface flow wetlands impacts physical and chemical performance for a mature system (&gt; 5 years of operation) </w:t>
      </w:r>
      <w:r w:rsidRPr="008C1627">
        <w:rPr>
          <w:rFonts w:cstheme="minorHAnsi"/>
        </w:rPr>
        <w:fldChar w:fldCharType="begin" w:fldLock="1"/>
      </w:r>
      <w:r w:rsidRPr="008C1627">
        <w:rPr>
          <w:rFonts w:cstheme="minorHAnsi"/>
        </w:rPr>
        <w:instrText>ADDIN CSL_CITATION { "citationItems" : [ { "id" : "ITEM-1", "itemData" : { "DOI" : "10.1007/s10230-010-0117-1", "ISSN" : "10259112", "abstract" : "The Anna S coal mine complex in Tioga County, PA, produces drainage with\\na pH of 2.8-3.6 containing 3-36 mg/L Al, 1-36 mg/L Fe, and 6-9 mg/L Mn.\\nIn 2003, the Babb Creek Watershed Association installed two systems that\\npassively treat three discharges from the mine complex. Both systems\\ncontain four parallel vertical flow ponds followed by aerobic wetlands.\\nThe vertical flow ponds contain a total of 35,483 t of limestone and\\n4,913 m(3) of organic substrate. During the last 6 years, the systems\\nhave treated an average of 1,971 L/min of flow to neutral pH with\\n135-146 mg/L of alkalinity (as CaCO(3)), with less than 1 mg/L of Al and\\nFe, and 2-4 mg/L of Mn. The vertical flow ponds have generated\\nalkalinity at rates of 32-53 g/m(2)/day as CaCO(3). No seasonal\\nvariation in treatment effectiveness has been observed, despite\\nrelatively harsh winter seasons. The total cost of the passive systems\\nwas $2.5 million (US). The 20 year projected unit treatment cost,\\nincluding periodic replacement of the organic substrate, is $403-618\\nper t (as CaCO(3)) of net alkalinity generated.", "author" : [ { "dropping-particle" : "", "family" : "Hedin", "given" : "Robert", "non-dropping-particle" : "", "parse-names" : false, "suffix" : "" }, { "dropping-particle" : "", "family" : "Weaver", "given" : "Ted", "non-dropping-particle" : "", "parse-names" : false, "suffix" : "" }, { "dropping-particle" : "", "family" : "Wolfe", "given" : "Neil", "non-dropping-particle" : "", "parse-names" : false, "suffix" : "" }, { "dropping-particle" : "", "family" : "Weaver", "given" : "Kimberly", "non-dropping-particle" : "", "parse-names" : false, "suffix" : "" } ], "container-title" : "Mine Water and the Environment", "id" : "ITEM-1", "issued" : { "date-parts" : [ [ "2010" ] ] }, "page" : "165-175", "title" : "Passive Treatment of Acidic Coal Mine Drainage: The Anna S Mine Passive Treatment Complex", "type" : "article-journal", "volume" : "29" }, "uris" : [ "http://www.mendeley.com/documents/?uuid=c2ea92ca-8965-4e4a-8ee5-126da9241054" ] } ], "mendeley" : { "formattedCitation" : "(Hedin et al. 2010)", "plainTextFormattedCitation" : "(Hedin et al. 2010)", "previouslyFormattedCitation" : "(Hedin et al. 2010)" }, "properties" : { "noteIndex" : 0 }, "schema" : "https://github.com/citation-style-language/schema/raw/master/csl-citation.json" }</w:instrText>
      </w:r>
      <w:r w:rsidRPr="008C1627">
        <w:rPr>
          <w:rFonts w:cstheme="minorHAnsi"/>
        </w:rPr>
        <w:fldChar w:fldCharType="separate"/>
      </w:r>
      <w:r w:rsidRPr="008C1627">
        <w:rPr>
          <w:rFonts w:cstheme="minorHAnsi"/>
          <w:noProof/>
        </w:rPr>
        <w:t>(Hedin et al. 2010)</w:t>
      </w:r>
      <w:r w:rsidRPr="008C1627">
        <w:rPr>
          <w:rFonts w:cstheme="minorHAnsi"/>
        </w:rPr>
        <w:fldChar w:fldCharType="end"/>
      </w:r>
      <w:r w:rsidRPr="008C1627">
        <w:rPr>
          <w:rFonts w:cstheme="minorHAnsi"/>
        </w:rPr>
        <w:t>.</w:t>
      </w:r>
    </w:p>
    <w:p w14:paraId="316A41B5" w14:textId="4844EE75" w:rsidR="000B63E4" w:rsidRPr="008C1627" w:rsidRDefault="000B63E4" w:rsidP="000B63E4">
      <w:pPr>
        <w:spacing w:line="480" w:lineRule="auto"/>
        <w:jc w:val="both"/>
        <w:rPr>
          <w:rFonts w:cstheme="minorHAnsi"/>
        </w:rPr>
      </w:pPr>
      <w:r w:rsidRPr="008C1627">
        <w:rPr>
          <w:rFonts w:cstheme="minorHAnsi"/>
        </w:rPr>
        <w:t>Although</w:t>
      </w:r>
      <w:r w:rsidR="004358A1">
        <w:rPr>
          <w:rFonts w:cstheme="minorHAnsi"/>
        </w:rPr>
        <w:t xml:space="preserve"> </w:t>
      </w:r>
      <w:r w:rsidRPr="008C1627">
        <w:rPr>
          <w:rFonts w:cstheme="minorHAnsi"/>
        </w:rPr>
        <w:t>cell design incorporates storage of solids into the long</w:t>
      </w:r>
      <w:r>
        <w:rPr>
          <w:rFonts w:cstheme="minorHAnsi"/>
        </w:rPr>
        <w:t>-</w:t>
      </w:r>
      <w:r w:rsidRPr="008C1627">
        <w:rPr>
          <w:rFonts w:cstheme="minorHAnsi"/>
        </w:rPr>
        <w:t xml:space="preserve"> term operation and maintenance plan for a system, physical extraction is the ultimate mechanism for sustainable operation.  Extracted materials may be landfilled offsite, stored on site, or marketed as a commodity within the pigmentation and sorbent industries </w:t>
      </w:r>
      <w:r w:rsidRPr="008C1627">
        <w:rPr>
          <w:rFonts w:cstheme="minorHAnsi"/>
        </w:rPr>
        <w:fldChar w:fldCharType="begin" w:fldLock="1"/>
      </w:r>
      <w:r w:rsidRPr="008C1627">
        <w:rPr>
          <w:rFonts w:cstheme="minorHAnsi"/>
        </w:rPr>
        <w:instrText>ADDIN CSL_CITATION { "citationItems" : [ { "id" : "ITEM-1", "itemData" : { "DOI" : "10.21000/JASMR02010517", "ISSN" : "23288744", "author" : [ { "dropping-particle" : "", "family" : "Hedin", "given" : "Robert S", "non-dropping-particle" : "", "parse-names" : false, "suffix" : "" } ], "container-title" : "Journal American Society of Mining and Reclamation", "id" : "ITEM-1", "issue" : "1", "issued" : { "date-parts" : [ [ "2002" ] ] }, "page" : "517-526", "title" : "Recovery of Marketable Iron Oxide From Mine Drainage", "type" : "article-journal", "volume" : "2002" }, "uris" : [ "http://www.mendeley.com/documents/?uuid=8a85c3ff-f35e-4e05-a3e0-b098391dacd8" ] }, { "id" : "ITEM-2", "itemData" : { "DOI" : "10.1016/j.jenvman.2007.07.005", "ISBN" : "0301-4797", "ISSN" : "03014797", "PMID" : "17703872", "abstract" : "Continuous industrial development increases energy consumption and, consequently, the consumption of fossil fuels. Coal mineral has been used in Brazil as a solid fuel for thermoelectric generators for several years. However, coal exploitation affects the environment intensely, mainly because Brazilian coal contains excess ash and pyrite (iron disulfide). According to the local coal industry syndicate, the average annual coal run per mine is 6 million ton/year; 3.5 million ton/year are rejected and disposed of in landfills. Besides pyrite, Brazilian coal contains Mn, Fe, Cu, Pb, Zn, Ge, Se, and Co. Additionally, the water used for coal beneficiation causes pyrite oxidation, forming an acid mine drainage (AMD). This drainage solubilizes the metals, transporting them into the environment, making treatment a requirement. This work deals with the use of sedimented residue from treated coal mine drainage sludge to obtain inorganic pigments that could be used in the ceramic industry. The residue was dried, ground and calcined (???1250 ??C). The calcined pigment was then micronized (D50???2 ??m). Chemical (XRF), thermal (DTA/TG), particle size (laser), and mineralogical (XRD) analyses were carried out on the residue. After calcination and micronization, mineralogical analyses (XRD) were used to determine the pigment structure at 1250 ??C. Finally, the pigments were mixed with transparent glaze and fired in a laboratory roller kiln (1130 ??C, 5 min). The results were promising, showing that brown colors can be obtained with pigments made by residues. ?? 2007 Elsevier Ltd. All rights reserved.", "author" : [ { "dropping-particle" : "", "family" : "Marcello", "given" : "R. R.", "non-dropping-particle" : "", "parse-names" : false, "suffix" : "" }, { "dropping-particle" : "", "family" : "Galato", "given" : "S.", "non-dropping-particle" : "", "parse-names" : false, "suffix" : "" }, { "dropping-particle" : "", "family" : "Peterson", "given" : "M.", "non-dropping-particle" : "", "parse-names" : false, "suffix" : "" }, { "dropping-particle" : "", "family" : "Riella", "given" : "H. G.", "non-dropping-particle" : "", "parse-names" : false, "suffix" : "" }, { "dropping-particle" : "", "family" : "Bernardin", "given" : "a. M.", "non-dropping-particle" : "", "parse-names" : false, "suffix" : "" } ], "container-title" : "Journal of Environmental Management", "id" : "ITEM-2", "issued" : { "date-parts" : [ [ "2008" ] ] }, "page" : "1280-1284", "title" : "Inorganic pigments made from the recycling of coal mine drainage treatment sludge", "type" : "article-journal", "volume" : "88" }, "uris" : [ "http://www.mendeley.com/documents/?uuid=d411b9d7-e6d9-4780-89cd-df45dc06364f" ] } ], "mendeley" : { "formattedCitation" : "(Hedin 2002; Marcello et al. 2008)", "plainTextFormattedCitation" : "(Hedin 2002; Marcello et al. 2008)", "previouslyFormattedCitation" : "(Hedin 2002; Marcello et al. 2008)" }, "properties" : { "noteIndex" : 0 }, "schema" : "https://github.com/citation-style-language/schema/raw/master/csl-citation.json" }</w:instrText>
      </w:r>
      <w:r w:rsidRPr="008C1627">
        <w:rPr>
          <w:rFonts w:cstheme="minorHAnsi"/>
        </w:rPr>
        <w:fldChar w:fldCharType="separate"/>
      </w:r>
      <w:r w:rsidRPr="008C1627">
        <w:rPr>
          <w:rFonts w:cstheme="minorHAnsi"/>
          <w:noProof/>
        </w:rPr>
        <w:t>(Hedin 2002; Marcello et al. 2008</w:t>
      </w:r>
      <w:r w:rsidR="004358A1">
        <w:rPr>
          <w:rFonts w:cstheme="minorHAnsi"/>
          <w:noProof/>
        </w:rPr>
        <w:t xml:space="preserve">; </w:t>
      </w:r>
      <w:r w:rsidRPr="008C1627">
        <w:rPr>
          <w:rFonts w:cstheme="minorHAnsi"/>
          <w:noProof/>
        </w:rPr>
        <w:t>)</w:t>
      </w:r>
      <w:r w:rsidRPr="008C1627">
        <w:rPr>
          <w:rFonts w:cstheme="minorHAnsi"/>
        </w:rPr>
        <w:fldChar w:fldCharType="end"/>
      </w:r>
      <w:r w:rsidRPr="008C1627">
        <w:rPr>
          <w:rFonts w:cstheme="minorHAnsi"/>
        </w:rPr>
        <w:t xml:space="preserve">.  Characterization of the physical and chemical properties of accumulated iron </w:t>
      </w:r>
      <w:proofErr w:type="spellStart"/>
      <w:r w:rsidRPr="008C1627">
        <w:rPr>
          <w:rFonts w:cstheme="minorHAnsi"/>
        </w:rPr>
        <w:t>oxyhydroxides</w:t>
      </w:r>
      <w:proofErr w:type="spellEnd"/>
      <w:r w:rsidRPr="008C1627">
        <w:rPr>
          <w:rFonts w:cstheme="minorHAnsi"/>
        </w:rPr>
        <w:t xml:space="preserve"> is essential to determine their suitability for reuse or disposal options </w:t>
      </w:r>
      <w:r w:rsidRPr="008C1627">
        <w:rPr>
          <w:rFonts w:cstheme="minorHAnsi"/>
        </w:rPr>
        <w:fldChar w:fldCharType="begin" w:fldLock="1"/>
      </w:r>
      <w:r w:rsidRPr="008C1627">
        <w:rPr>
          <w:rFonts w:cstheme="minorHAnsi"/>
        </w:rPr>
        <w:instrText>ADDIN CSL_CITATION { "citationItems" : [ { "id" : "ITEM-1", "itemData" : { "ISBN" : "3527302743", "author" : [ { "dropping-particle" : "", "family" : "Schwertmann", "given" : "U", "non-dropping-particle" : "", "parse-names" : false, "suffix" : "" } ], "id" : "ITEM-1", "issued" : { "date-parts" : [ [ "2003" ] ] }, "title" : "Characterization", "type" : "book" }, "uris" : [ "http://www.mendeley.com/documents/?uuid=19bf6d8d-3f12-46eb-9a32-aacb7322f8c3" ] }, { "id" : "ITEM-2", "itemData" : { "DOI" : "10.1016/j.apgeochem.2005.04.009", "ISBN" : "08832927", "ISSN" : "08832927", "abstract" : "Changes in precipitate mineralogy, morphology, and major and trace element concentrations and associations throughout 5 coal mine drainage (CMD) remediation systems treating discharges of varying chemistries were investigated in order to determine the factors that influence the characteristics of precipitates formed in passive systems. The 5 passive treatment systems sampled in this study are located in the bituminous coal fields of western Pennsylvania and northern Maryland, and treat discharges from Pennsylvanian age coals. The precipitates are dominantly (&gt;70%) goethite. Crystallinity varies throughout an individual system, and lower crystallinity is associated with enhanced sorption of trace metals. Degree of crystallinity (and subsequently morphology and trace metal associations) is a function of the treatment system and how rapidly Fe(II) is oxidized, forms precipitates, aggregates and settles. Precipitates formed earlier in the passive treatment systems tend to have the highest crystallinity and the lowest concentrations of trace metal cations. High surface area and cation vacancies within the goethite structure enable sorption and incorporation of metals from coal mine drainage-polluted waters. Sorption affinities follow the order of Zn &gt; Co \u2248 Ni &gt; Mn. Cobalt and Ni are preferentially sorbed to Mn oxide phases when these phases are present. As pH increases in the individual CMD treatment systems toward the pHpzc of goethite, As sorption decreases and transition metal (Co, Mn, Ni and Zn) sorption increases. Sulfate, Na and Fe(II) concentrations may all influence the sorption of trace metals to the Fe hydroxide surface. Results of this study have implications not only for solids disposal and resource recovery but also for the optimization of passive CMD treatment systems. \u00a9 2005 Elsevier Ltd. All rights reserved.", "author" : [ { "dropping-particle" : "", "family" : "Kairies", "given" : "Candace L.", "non-dropping-particle" : "", "parse-names" : false, "suffix" : "" }, { "dropping-particle" : "", "family" : "Capo", "given" : "Rosemary C.", "non-dropping-particle" : "", "parse-names" : false, "suffix" : "" }, { "dropping-particle" : "", "family" : "Watzlaf", "given" : "George R.", "non-dropping-particle" : "", "parse-names" : false, "suffix" : "" } ], "container-title" : "Applied Geochemistry", "id" : "ITEM-2", "issue" : "8", "issued" : { "date-parts" : [ [ "2005" ] ] }, "page" : "1445-1460", "title" : "Chemical and physical properties of iron hydroxide precipitates associated with passively treated coal mine drainage in the Bituminous Region of Pennsylvania and Maryland", "type" : "article-journal", "volume" : "20" }, "uris" : [ "http://www.mendeley.com/documents/?uuid=ed355fd2-539a-4899-9349-bb08fab8c0e1" ] } ], "mendeley" : { "formattedCitation" : "(Schwertmann 2003; Kairies et al. 2005)", "plainTextFormattedCitation" : "(Schwertmann 2003; Kairies et al. 2005)", "previouslyFormattedCitation" : "(Schwertmann 2003; Kairies et al. 2005)" }, "properties" : { "noteIndex" : 0 }, "schema" : "https://github.com/citation-style-language/schema/raw/master/csl-citation.json" }</w:instrText>
      </w:r>
      <w:r w:rsidRPr="008C1627">
        <w:rPr>
          <w:rFonts w:cstheme="minorHAnsi"/>
        </w:rPr>
        <w:fldChar w:fldCharType="separate"/>
      </w:r>
      <w:r w:rsidRPr="008C1627">
        <w:rPr>
          <w:rFonts w:cstheme="minorHAnsi"/>
          <w:noProof/>
        </w:rPr>
        <w:t>(Schwertmann 2003; Kairies et al. 2005)</w:t>
      </w:r>
      <w:r w:rsidRPr="008C1627">
        <w:rPr>
          <w:rFonts w:cstheme="minorHAnsi"/>
        </w:rPr>
        <w:fldChar w:fldCharType="end"/>
      </w:r>
      <w:r w:rsidRPr="008C1627">
        <w:rPr>
          <w:rFonts w:cstheme="minorHAnsi"/>
        </w:rPr>
        <w:t xml:space="preserve">. Physical and chemical characteristics have been documented to vary spatially based on formation and storage conditions over time </w:t>
      </w:r>
      <w:r w:rsidRPr="008C1627">
        <w:rPr>
          <w:rFonts w:cstheme="minorHAnsi"/>
        </w:rPr>
        <w:fldChar w:fldCharType="begin" w:fldLock="1"/>
      </w:r>
      <w:r w:rsidRPr="008C1627">
        <w:rPr>
          <w:rFonts w:cstheme="minorHAnsi"/>
        </w:rPr>
        <w:instrText>ADDIN CSL_CITATION { "citationItems" : [ { "id" : "ITEM-1", "itemData" : { "DOI" : "10.1016/j.apgeochem.2011.06.002", "ISBN" : "0883-2927", "ISSN" : "08832927", "abstract" : "The formation of acid mine drainage from metals extraction or natural acid rock drainage and its mixing with surface waters is a complex process that depends on petrology and mineralogy, structural geology, geomorphology, surface-water hydrology, hydrogeology, climatology, microbiology, chemistry, and mining and mineral processing history. The concentrations of metals, metalloids, acidity, alkalinity, Cl-, F- and SO42- found in receiving streams, rivers, and lakes are affected by all of these factors and their interactions. Remediation of mine sites is an engineering concern but to design a remediation plan without understanding the hydrogeochemical processes of contaminant mobilization can lead to ineffective and excessively costly remediation. Furthermore, remediation needs a goal commensurate with natural background conditions rather than water-quality standards that might bear little relation to conditions of a highly mineralized terrain. This paper reviews hydrogeochemical generalizations, primarily from US Geological Survey research, that enhance our understanding of the origin, transport, and fate of contaminants released from mined and mineralized areas.Mobility of potential or actual contaminants from mining and mineral processing activities depends on (1) occurrence: is the mineral source of the contaminant actually present? (2) abundance: is the mineral present in sufficient quantity to make a difference? (3) reactivity: what are the energetics, rates, and mechanisms of sorption and mineral dissolution and precipitation relative to the flow rate of the water? and (4) hydrology: what are the main flow paths for contaminated water? Estimates of relative proportions of minerals dissolved and precipitated can be made with mass-balance calculations if minerals and water compositions along a flow path are known. Combined with discharge, these mass-balance estimates quantify the actual weathering rate of pyrite mineralization in the environment and compare reasonably well with laboratory rates of pyrite oxidation except when large quantities of soluble salts and evaporated mine waters have accumulated underground. Quantitative mineralogy with trace-element compositions can substantially improve the identification of source minerals for specific trace elements through mass balances. Post-dissolution sorption and precipitation (attenuation) reactions depend on the chemical behavior of each element, solution composition and pH, aqueous speciation, temp\u2026", "author" : [ { "dropping-particle" : "", "family" : "Nordstrom", "given" : "D. Kirk", "non-dropping-particle" : "", "parse-names" : false, "suffix" : "" } ], "container-title" : "Applied Geochemistry", "id" : "ITEM-1", "issue" : "11", "issued" : { "date-parts" : [ [ "2011" ] ] }, "page" : "1777-1791", "publisher" : "Elsevier Ltd", "title" : "Hydrogeochemical processes governing the origin, transport and fate of major and trace elements from mine wastes and mineralized rock to surface waters", "type" : "article-journal", "volume" : "26" }, "uris" : [ "http://www.mendeley.com/documents/?uuid=6d30e350-d34b-465d-af06-0e588137a356" ] } ], "mendeley" : { "formattedCitation" : "(Nordstrom 2011)", "plainTextFormattedCitation" : "(Nordstrom 2011)", "previouslyFormattedCitation" : "(Nordstrom 2011)" }, "properties" : { "noteIndex" : 0 }, "schema" : "https://github.com/citation-style-language/schema/raw/master/csl-citation.json" }</w:instrText>
      </w:r>
      <w:r w:rsidRPr="008C1627">
        <w:rPr>
          <w:rFonts w:cstheme="minorHAnsi"/>
        </w:rPr>
        <w:fldChar w:fldCharType="separate"/>
      </w:r>
      <w:r w:rsidRPr="008C1627">
        <w:rPr>
          <w:rFonts w:cstheme="minorHAnsi"/>
          <w:noProof/>
        </w:rPr>
        <w:t>(Nordstrom 2011)</w:t>
      </w:r>
      <w:r w:rsidRPr="008C1627">
        <w:rPr>
          <w:rFonts w:cstheme="minorHAnsi"/>
        </w:rPr>
        <w:fldChar w:fldCharType="end"/>
      </w:r>
      <w:r w:rsidRPr="008C1627">
        <w:rPr>
          <w:rFonts w:cstheme="minorHAnsi"/>
        </w:rPr>
        <w:t xml:space="preserve">, yet reuse characterization practices focus principally on the bulk phase properties of the material after extraction is complete. Dried and sieved solid composites are typically characterized for their particle size, shape, surface area, structure, and sorption/desorption properties </w:t>
      </w:r>
      <w:r w:rsidRPr="008C1627">
        <w:rPr>
          <w:rFonts w:cstheme="minorHAnsi"/>
        </w:rPr>
        <w:fldChar w:fldCharType="begin" w:fldLock="1"/>
      </w:r>
      <w:r w:rsidRPr="008C1627">
        <w:rPr>
          <w:rFonts w:cstheme="minorHAnsi"/>
        </w:rPr>
        <w:instrText>ADDIN CSL_CITATION { "citationItems" : [ { "id" : "ITEM-1", "itemData" : { "DOI" : "10.1002/3527602097.ch4", "ISBN" : "9783527602094", "ISSN" : "2151-8378", "PMID" : "22453751", "abstract" : "This chapter contains sections titled:\\n\\n* General\\nCrystal growthCrystal morphologyCrystal size\\n* The iron oxides\\nGoethite\\nGeneralDomainic characterTwinningEffect of additivesLepidocrociteAkagan\u00e9ite and schwertmanniteFerrihydriteHematiteMagnetiteMaghemiteOther Iron Oxides", "author" : [ { "dropping-particle" : "", "family" : "Cornell", "given" : "R M", "non-dropping-particle" : "", "parse-names" : false, "suffix" : "" }, { "dropping-particle" : "", "family" : "Schwertmann", "given" : "U", "non-dropping-particle" : "", "parse-names" : false, "suffix" : "" } ], "container-title" : "The Iron Oxides", "id" : "ITEM-1", "issue" : "3", "issued" : { "date-parts" : [ [ "2003" ] ] }, "number-of-pages" : "59-94", "title" : "4 Crystal Morphology and Size", "type" : "book" }, "uris" : [ "http://www.mendeley.com/documents/?uuid=1fffd37d-e90b-42e9-8306-ec556792f20a" ] }, { "id" : "ITEM-2", "itemData" : { "author" : [ { "dropping-particle" : "", "family" : "Cody Neely", "given" : "Robert Nairn", "non-dropping-particle" : "", "parse-names" : false, "suffix" : "" } ], "id" : "ITEM-2", "issued" : { "date-parts" : [ [ "2010" ] ] }, "publisher" : "University of Oklahoma", "title" : "Characterization and possible sustainable sorbent use of iron oxides produced by acid mine drainage discharges", "type" : "thesis" }, "uris" : [ "http://www.mendeley.com/documents/?uuid=0c80fcaf-8a7d-4cba-8e91-32d9bef60619" ] } ], "mendeley" : { "formattedCitation" : "(Cornell and Schwertmann 2003; Cody Neely 2010)", "manualFormatting" : "(Cornell and Schwertmann 2003; Neely 2010)", "plainTextFormattedCitation" : "(Cornell and Schwertmann 2003; Cody Neely 2010)", "previouslyFormattedCitation" : "(Cornell and Schwertmann 2003; Cody Neely 2010)" }, "properties" : { "noteIndex" : 0 }, "schema" : "https://github.com/citation-style-language/schema/raw/master/csl-citation.json" }</w:instrText>
      </w:r>
      <w:r w:rsidRPr="008C1627">
        <w:rPr>
          <w:rFonts w:cstheme="minorHAnsi"/>
        </w:rPr>
        <w:fldChar w:fldCharType="separate"/>
      </w:r>
      <w:r w:rsidRPr="008C1627">
        <w:rPr>
          <w:rFonts w:cstheme="minorHAnsi"/>
          <w:noProof/>
        </w:rPr>
        <w:t>(Cornell and Schwertmann 2003; Neely 2010)</w:t>
      </w:r>
      <w:r w:rsidRPr="008C1627">
        <w:rPr>
          <w:rFonts w:cstheme="minorHAnsi"/>
        </w:rPr>
        <w:fldChar w:fldCharType="end"/>
      </w:r>
      <w:r w:rsidRPr="008C1627">
        <w:rPr>
          <w:rFonts w:cstheme="minorHAnsi"/>
        </w:rPr>
        <w:t xml:space="preserve">. Variables that define the characteristics of the precipitates and their saturation indices include the following: relative concentration and diversity of </w:t>
      </w:r>
      <w:proofErr w:type="spellStart"/>
      <w:r w:rsidRPr="008C1627">
        <w:rPr>
          <w:rFonts w:cstheme="minorHAnsi"/>
        </w:rPr>
        <w:t>analytes</w:t>
      </w:r>
      <w:proofErr w:type="spellEnd"/>
      <w:r w:rsidRPr="008C1627">
        <w:rPr>
          <w:rFonts w:cstheme="minorHAnsi"/>
        </w:rPr>
        <w:t xml:space="preserve"> within the matrix, pH, dissolved oxygen, oxidation reduction potential (ORP), and flow conditions (channel verses pond) </w:t>
      </w:r>
      <w:r w:rsidRPr="008C1627">
        <w:rPr>
          <w:rFonts w:cstheme="minorHAnsi"/>
        </w:rPr>
        <w:fldChar w:fldCharType="begin" w:fldLock="1"/>
      </w:r>
      <w:r w:rsidRPr="008C1627">
        <w:rPr>
          <w:rFonts w:cstheme="minorHAnsi"/>
        </w:rPr>
        <w:instrText>ADDIN CSL_CITATION { "citationItems" : [ { "id" : "ITEM-1", "itemData" : { "DOI" : "10.1016/j.apgeochem.2007.10.003", "ISBN" : "0883-2927", "ISSN" : "08832927", "abstract" : "Water-quality data for discharges from 140 abandoned mines in the Anthracite and Bituminous Coalfields of Pennsylvania reveal complex relations among the pH and dissolved solute concentrations that can be explained with geochemical equilibrium models. Observed values of pH ranged from 2.7 to 7.3 in the coal-mine discharges (CMD). Generally, flow rates were smaller and solute concentrations were greater for low-pH CMD samples; pH typically increased with flow rate. Although the frequency distribution of pH was similar for the anthracite and bituminous discharges, the bituminous discharges had smaller median flow rates; greater concentrations of SO4, Fe, Al, As, Cd, Cu, Ni and Sr; comparable concentrations of Mn, Cd, Zn and Se; and smaller concentrations of Ba and Pb than anthracite discharges with the same pH values. The observed relations between the pH and constituent concentrations can be attributed to (1) dilution of acidic water by near-neutral or alkaline ground water; (2) solubility control of Al, Fe, Mn, Ba and Sr by hydroxide, sulfate, and/or carbonate minerals; and (3) aqueous SO4-complexation and surface-complexation (adsorption) reactions. The formation of AlSO4\n+ and AlHSO4\n2 + complexes adds to the total dissolved Al concentration at equilibrium with Al(OH)3 and/or Al hydroxysulfate phases and can account for 10-20 times greater concentrations of dissolved Al in SO4-laden bituminous discharges compared to anthracite discharges at pH of 5. Sulfate complexation can also account for 10-30 times greater concentrations of dissolved FeIII concentrations at equilibrium with Fe(OH)3 and/or schwertmannite (Fe8O8(OH)4.5(SO4)1.75) at pH of 3-5. In contrast, lower Ba concentrations in bituminous discharges indicate that elevated SO4 concentrations in these CMD sources could limit Ba concentrations by the precipitation of barite (BaSO4). Coprecipitation of Sr with barite could limit concentrations of this element. However, concentrations of dissolved Pb, Cu, Cd, Zn, and most other trace cations in CMD samples were orders of magnitude less than equilibrium with sulfate, carbonate, and/or hydroxide minerals. Surface complexation (adsorption) by hydrous ferric oxides (HFO) could account for the decreased concentrations of these divalent cations with increased pH. In contrast, increased concentrations of As and, to a lesser extent, Se with increased pH could result from the adsorption of these oxyanions by HFO at low pH and desorption at near-neutral pH. He\u2026", "author" : [ { "dropping-particle" : "", "family" : "Cravotta", "given" : "Charles A.", "non-dropping-particle" : "", "parse-names" : false, "suffix" : "" } ], "container-title" : "Applied Geochemistry", "id" : "ITEM-1", "issue" : "2", "issued" : { "date-parts" : [ [ "2008" ] ] }, "page" : "203-226", "publisher" : "Elsevier Ltd", "title" : "Dissolved metals and associated constituents in abandoned coal-mine discharges, Pennsylvania, USA. Part 2: Geochemical controls on constituent concentrations", "type" : "article-journal", "volume" : "23" }, "uris" : [ "http://www.mendeley.com/documents/?uuid=95cb6b94-2dfc-4c0d-86b7-3000daceb03f" ] } ], "mendeley" : { "formattedCitation" : "(Cravotta 2008)", "plainTextFormattedCitation" : "(Cravotta 2008)", "previouslyFormattedCitation" : "(Cravotta 2008)" }, "properties" : { "noteIndex" : 0 }, "schema" : "https://github.com/citation-style-language/schema/raw/master/csl-citation.json" }</w:instrText>
      </w:r>
      <w:r w:rsidRPr="008C1627">
        <w:rPr>
          <w:rFonts w:cstheme="minorHAnsi"/>
        </w:rPr>
        <w:fldChar w:fldCharType="separate"/>
      </w:r>
      <w:r w:rsidRPr="008C1627">
        <w:rPr>
          <w:rFonts w:cstheme="minorHAnsi"/>
          <w:noProof/>
        </w:rPr>
        <w:t>(Cravotta 2008)</w:t>
      </w:r>
      <w:r w:rsidRPr="008C1627">
        <w:rPr>
          <w:rFonts w:cstheme="minorHAnsi"/>
        </w:rPr>
        <w:fldChar w:fldCharType="end"/>
      </w:r>
      <w:r w:rsidRPr="008C1627">
        <w:rPr>
          <w:rFonts w:cstheme="minorHAnsi"/>
        </w:rPr>
        <w:t>.  Core samples of the accumulated iron oxides can be used to not only quantify the volume of solids accumulated for each cell of the oxidative unit</w:t>
      </w:r>
      <w:r>
        <w:rPr>
          <w:rFonts w:cstheme="minorHAnsi"/>
        </w:rPr>
        <w:t>s</w:t>
      </w:r>
      <w:r w:rsidRPr="008C1627">
        <w:rPr>
          <w:rFonts w:cstheme="minorHAnsi"/>
        </w:rPr>
        <w:t xml:space="preserve">, but also the distribution of the accumulation. As most </w:t>
      </w:r>
      <w:r>
        <w:rPr>
          <w:rFonts w:cstheme="minorHAnsi"/>
        </w:rPr>
        <w:t xml:space="preserve">water quality </w:t>
      </w:r>
      <w:r w:rsidRPr="008C1627">
        <w:rPr>
          <w:rFonts w:cstheme="minorHAnsi"/>
        </w:rPr>
        <w:t xml:space="preserve">evaluation methods focus only on the influent and effluent metals loadings to define treatment success, this is a novel approach centering on the production and accumulation of a resource. </w:t>
      </w:r>
      <w:r w:rsidRPr="008C1627">
        <w:rPr>
          <w:rFonts w:cstheme="minorHAnsi"/>
        </w:rPr>
        <w:lastRenderedPageBreak/>
        <w:t>Collecting a spatial profile within each cell of the oxidative unit</w:t>
      </w:r>
      <w:r>
        <w:rPr>
          <w:rFonts w:cstheme="minorHAnsi"/>
        </w:rPr>
        <w:t>s</w:t>
      </w:r>
      <w:r w:rsidRPr="008C1627">
        <w:rPr>
          <w:rFonts w:cstheme="minorHAnsi"/>
        </w:rPr>
        <w:t xml:space="preserve"> will yield higher resolution intracellular accumulation data to guide efficient iron recovery methodologies.</w:t>
      </w:r>
    </w:p>
    <w:p w14:paraId="54678F06" w14:textId="77777777" w:rsidR="000B63E4" w:rsidRPr="00B424E4" w:rsidRDefault="000B63E4" w:rsidP="000B63E4">
      <w:pPr>
        <w:spacing w:line="480" w:lineRule="auto"/>
        <w:jc w:val="both"/>
        <w:rPr>
          <w:rFonts w:cstheme="minorHAnsi"/>
        </w:rPr>
      </w:pPr>
      <w:r w:rsidRPr="008C1627">
        <w:rPr>
          <w:rFonts w:cstheme="minorHAnsi"/>
        </w:rPr>
        <w:t xml:space="preserve">The overall goal of this research chapter </w:t>
      </w:r>
      <w:r>
        <w:rPr>
          <w:rFonts w:cstheme="minorHAnsi"/>
        </w:rPr>
        <w:t>wa</w:t>
      </w:r>
      <w:r w:rsidRPr="008C1627">
        <w:rPr>
          <w:rFonts w:cstheme="minorHAnsi"/>
        </w:rPr>
        <w:t>s to demonstrate how the development of empirically derived solids accumulation profiles</w:t>
      </w:r>
      <w:r>
        <w:rPr>
          <w:rFonts w:cstheme="minorHAnsi"/>
        </w:rPr>
        <w:t>,</w:t>
      </w:r>
      <w:r w:rsidRPr="008C1627">
        <w:rPr>
          <w:rFonts w:cstheme="minorHAnsi"/>
        </w:rPr>
        <w:t xml:space="preserve"> in conjunction with the supporting materials characterization data, can be used to delineate mechanisms impacting cell performance.  Comparisons between design-based predictions and observed performance will support a growing body of literature on passive treatment system assessment methodologies </w:t>
      </w:r>
      <w:r w:rsidRPr="008C1627">
        <w:rPr>
          <w:rFonts w:cstheme="minorHAnsi"/>
        </w:rPr>
        <w:fldChar w:fldCharType="begin" w:fldLock="1"/>
      </w:r>
      <w:r w:rsidRPr="008C1627">
        <w:rPr>
          <w:rFonts w:cstheme="minorHAnsi"/>
        </w:rPr>
        <w:instrText>ADDIN CSL_CITATION { "citationItems" : [ { "id" : "ITEM-1", "itemData" : { "DOI" : "10.1016/j.ecoleng.2010.12.010", "ISSN" : "09258574", "abstract" : "The aim of this paper is the development of a methodology for assessing the iron removal efficiency of passive mine water treatment settling lagoons and reed beds. Previous work in the design and sizing of coal mine drainage lagoons and wetlands has focussed on the use of standard hydraulic residence times or using the 10gm\u22122d\u22121 metric, these criteria have been applied without regard to the fundamental physical and chemical processes controlling iron removal in the system, namely the pH dependent rates of Fe(II) oxidation and physical settling of the particulate Fe(III). In this study field water quality data have been collected from lagoons and reed beds. These data are examined alongside data from the UK Coal Authority database and combined with simple mathematical formulations to provide a framework through which to understand passive treatment schemes from a process-orientated perspective. It is demonstrated that for the sites studied reed beds are more efficient for iron removal. This paper recommends that judgements of iron removal performance should be based on a derived treatment efficiency index (\u025b) and that the modelling approach espoused in this paper should be used when designing passive mine water treatment schemes.", "author" : [ { "dropping-particle" : "", "family" : "Sapsford", "given" : "D.J.", "non-dropping-particle" : "", "parse-names" : false, "suffix" : "" }, { "dropping-particle" : "", "family" : "Watson", "given" : "I.", "non-dropping-particle" : "", "parse-names" : false, "suffix" : "" } ], "container-title" : "Ecological Engineering", "id" : "ITEM-1", "issue" : "6", "issued" : { "date-parts" : [ [ "2011", "6" ] ] }, "page" : "970-975", "title" : "A process-orientated design and performance assessment methodology for passive mine water treatment systems", "type" : "article-journal", "volume" : "37" }, "uris" : [ "http://www.mendeley.com/documents/?uuid=da842d01-0c47-40b3-aa74-f71be724e858" ] }, { "id" : "ITEM-2", "itemData" : { "DOI" : "10.1016/j.watres.2008.10.043", "ISSN" : "00431354", "PMID" : "19022469", "abstract" : "The objective of this paper is to present data from a novel vertical flow mine water treatment system, demonstrate how these data can be used to generate sizing formulae for this technology, and present a comparison between the size of system based on these formulae and those of conventionally designed passive systems. The paper focuses on passive treatment of circum-neutral ferruginous mine waters bearing up to 50 mg l\n                        -1 of iron in either ferrous or ferric form. The Vertical Flow Reactor (VFR) operates by passing mine water down through an accreting bed of ochre, the ochre bed being responsible for the intensification of iron removal by self-filtration and/or autocatalytic iron oxidation and precipitation. Key to the design and operation of the VFR system is the decrease in permeability in this ochre bed over time. The paper demonstrates that the VFR system can remove iron at many times the 10 g/m\n                        2/day removal rate - an often employed figure for the sizing of aerobic settling ponds and wetlands. The paper demonstrates that VFRs are viable and novel passive treatment system for mine waters with a smaller footprint than conventional systems. ?? 2008 Elsevier Ltd. All rights reserved.", "author" : [ { "dropping-particle" : "", "family" : "Sapsford", "given" : "D. J.", "non-dropping-particle" : "", "parse-names" : false, "suffix" : "" }, { "dropping-particle" : "", "family" : "Williams", "given" : "K. P.", "non-dropping-particle" : "", "parse-names" : false, "suffix" : "" } ], "container-title" : "Water Research", "id" : "ITEM-2", "issue" : "2", "issued" : { "date-parts" : [ [ "2009" ] ] }, "page" : "423-432", "publisher" : "Elsevier Ltd", "title" : "Sizing criteria for a low footprint passive mine water treatment system", "type" : "article-journal", "volume" : "43" }, "uris" : [ "http://www.mendeley.com/documents/?uuid=f40deb9f-5d7b-417d-9fe3-05cfd7d4d394" ] }, { "id" : "ITEM-3", "itemData" : { "ISBN" : "9781622760862", "abstract" : "State and federal reclamation programs, mining operators, and citizen-based watershed organizations have constructed hundreds of passive systems in the eastern United States over the past 20 years to provide reliable, low cost, low maintenance mine water treatment in remote locations. In 2000, we evaluated 116 systems comprised of eight system types in eight states. We revisited 14 of these sites in 2004 to confirm results from the earlier study. Each system was monitored for influent and effluent flow, pH, net acidity, and metal concentrations. Performance was normalized among types by calculating acid load removed, and also by converting construction cost, projected service life, and metric tonnes of acid load treated into cost per tonne of acid treated. Of the 116 systems, 105 reduced acid load (90%). Average acid load reductions were 0.8 t/yr for Ponds; about 9 t/yr for open limestone channels (OLC), anaerobic wetlands (AnW), aerobic wetlands (AeW), and vertical flow wetlands (VFW); 76 t/yr for slag leach beds (SLB), and about 15 t/yr for limestone leach beds (LSB) and anoxic limestone drains (ALD). Average removal rates ranged from 18 to 2,334 g/day/t for the limestone systems, and 1.7 to 87 g/m2/day for the Ponds and wetlands. Average costs for acid removal varied from $36/t/yr for SLB to $1,468/t/yr for Ponds. The 2004 data showed slightly greater removal efficiencies for two Ponds, two VFWs, and one LSB. Large declines in removal were found for one AnW, two VFWs, one ALD, and one OLC. Two OLCs greatly increased efficiency. Most passive systems were effective for &gt;5 yrs, yet there was wide variation in performance within each system type.", "author" : [ { "dropping-particle" : "", "family" : "Skousen", "given" : "Jeff", "non-dropping-particle" : "", "parse-names" : false, "suffix" : "" }, { "dropping-particle" : "", "family" : "Ziemkiewicz", "given" : "Paul", "non-dropping-particle" : "", "parse-names" : false, "suffix" : "" } ], "container-title" : "Proceedings, American Society of Mining and Reclamation, Breckenridge, CO", "id" : "ITEM-3", "issued" : { "date-parts" : [ [ "2005" ] ] }, "page" : "1100\u20131133", "title" : "Performance of 116 passive treatment systems for acid mine drainage", "type" : "article-journal" }, "uris" : [ "http://www.mendeley.com/documents/?uuid=a9e5f83d-f4ba-409b-91da-3790651a3c18" ] } ], "mendeley" : { "formattedCitation" : "(Skousen and Ziemkiewicz 2005; Sapsford and Williams 2009; Sapsford and Watson 2011)", "plainTextFormattedCitation" : "(Skousen and Ziemkiewicz 2005; Sapsford and Williams 2009; Sapsford and Watson 2011)", "previouslyFormattedCitation" : "(Skousen and Ziemkiewicz 2005; Sapsford and Williams 2009; Sapsford and Watson 2011)" }, "properties" : { "noteIndex" : 0 }, "schema" : "https://github.com/citation-style-language/schema/raw/master/csl-citation.json" }</w:instrText>
      </w:r>
      <w:r w:rsidRPr="008C1627">
        <w:rPr>
          <w:rFonts w:cstheme="minorHAnsi"/>
        </w:rPr>
        <w:fldChar w:fldCharType="separate"/>
      </w:r>
      <w:r w:rsidRPr="008C1627">
        <w:rPr>
          <w:rFonts w:cstheme="minorHAnsi"/>
          <w:noProof/>
        </w:rPr>
        <w:t>(Skousen and Ziemkiewicz 2005; Sapsford and Williams 2009; Sapsford and Watson 2011)</w:t>
      </w:r>
      <w:r w:rsidRPr="008C1627">
        <w:rPr>
          <w:rFonts w:cstheme="minorHAnsi"/>
        </w:rPr>
        <w:fldChar w:fldCharType="end"/>
      </w:r>
      <w:r w:rsidRPr="008C1627">
        <w:rPr>
          <w:rFonts w:cstheme="minorHAnsi"/>
        </w:rPr>
        <w:t>. Additionally, understanding the localized differences in physical and chemical properties of iron oxides based on their spatial distribution will increase our understanding of how formation and storage conditions influence resource properties over time. Applications of this information could lead to the development of a selective resource harvesting approach to target materials of specific composition for specialty markets unlike bulk p</w:t>
      </w:r>
      <w:r>
        <w:rPr>
          <w:rFonts w:cstheme="minorHAnsi"/>
        </w:rPr>
        <w:t>hase extractions methodologies.</w:t>
      </w:r>
    </w:p>
    <w:p w14:paraId="5F6A884D" w14:textId="77777777" w:rsidR="004358A1" w:rsidRDefault="004358A1" w:rsidP="000B63E4">
      <w:pPr>
        <w:pStyle w:val="Heading1"/>
        <w:jc w:val="both"/>
      </w:pPr>
      <w:r>
        <w:t>Methods</w:t>
      </w:r>
    </w:p>
    <w:p w14:paraId="23E6C3F4" w14:textId="7428E1C7" w:rsidR="000B63E4" w:rsidRPr="004358A1" w:rsidRDefault="000B63E4" w:rsidP="000B63E4">
      <w:pPr>
        <w:pStyle w:val="Heading1"/>
        <w:jc w:val="both"/>
        <w:rPr>
          <w:b w:val="0"/>
          <w:i/>
          <w:sz w:val="22"/>
          <w:szCs w:val="22"/>
        </w:rPr>
      </w:pPr>
      <w:r w:rsidRPr="004358A1">
        <w:rPr>
          <w:b w:val="0"/>
          <w:i/>
          <w:sz w:val="22"/>
          <w:szCs w:val="22"/>
        </w:rPr>
        <w:t>Iron Accumulation Profiling</w:t>
      </w:r>
    </w:p>
    <w:p w14:paraId="66F83B42" w14:textId="77777777" w:rsidR="000B63E4" w:rsidRPr="005E73E7" w:rsidRDefault="000B63E4" w:rsidP="000B63E4">
      <w:pPr>
        <w:jc w:val="both"/>
      </w:pPr>
    </w:p>
    <w:p w14:paraId="78087085" w14:textId="12CD18AE" w:rsidR="000B63E4" w:rsidRPr="008C1627" w:rsidRDefault="000B63E4" w:rsidP="004358A1">
      <w:pPr>
        <w:spacing w:line="480" w:lineRule="auto"/>
        <w:jc w:val="both"/>
        <w:rPr>
          <w:rFonts w:cstheme="minorHAnsi"/>
        </w:rPr>
      </w:pPr>
      <w:r w:rsidRPr="008C1627">
        <w:rPr>
          <w:rFonts w:cstheme="minorHAnsi"/>
        </w:rPr>
        <w:t xml:space="preserve">An accumulation profile was constructed through the collection and measurement of iron oxide core samples. The accumulated solids within the oxidative unit of the MRPTS (Cell 1, Cell 2N, Cell 2S) were systematically sampled via discrete coring from a stabilized catamaran to minimize disturbance (Figure </w:t>
      </w:r>
      <w:r w:rsidR="00317F91">
        <w:rPr>
          <w:rFonts w:cstheme="minorHAnsi"/>
        </w:rPr>
        <w:t>4</w:t>
      </w:r>
      <w:r w:rsidRPr="008C1627">
        <w:rPr>
          <w:rFonts w:cstheme="minorHAnsi"/>
        </w:rPr>
        <w:t>.1). The catamaran consists of two aluminum canoes lashed together with three boards and clamps to endure stability. A tow rope was used to maneuver the catamaran rather than paddles as to mitigate disturbance of the water column.  Tension between bow and stern tow lines was used to maintain position within the cell as each of the core samples w</w:t>
      </w:r>
      <w:r>
        <w:rPr>
          <w:rFonts w:cstheme="minorHAnsi"/>
        </w:rPr>
        <w:t>as</w:t>
      </w:r>
      <w:r w:rsidRPr="008C1627">
        <w:rPr>
          <w:rFonts w:cstheme="minorHAnsi"/>
        </w:rPr>
        <w:t xml:space="preserve"> collected. Sample collection was conducted for the entire treatment cell on </w:t>
      </w:r>
      <w:r w:rsidRPr="008C1627">
        <w:rPr>
          <w:rFonts w:cstheme="minorHAnsi"/>
        </w:rPr>
        <w:lastRenderedPageBreak/>
        <w:t>the same day, and sample collections days were selected based on low wind conditions to further aid in stability of the catamaran and the safety of the crew. Catwalk samples were collected using a series of aluminum scaffolding walk boards on pre-existing structural supports to form a type of stabilized dock for replicate and feldspar QAQC sample collection.</w:t>
      </w:r>
      <w:r w:rsidR="004358A1">
        <w:rPr>
          <w:rFonts w:cstheme="minorHAnsi"/>
        </w:rPr>
        <w:t xml:space="preserve"> Cores depth measurements made from samples featuring a Feldspar marker were used for verification of core depth measurements based on the clay boundary.  </w:t>
      </w:r>
    </w:p>
    <w:p w14:paraId="76D19A2B" w14:textId="77777777" w:rsidR="000B63E4" w:rsidRDefault="000B63E4" w:rsidP="000B63E4">
      <w:pPr>
        <w:jc w:val="both"/>
        <w:rPr>
          <w:rFonts w:cstheme="minorHAnsi"/>
        </w:rPr>
      </w:pPr>
      <w:r>
        <w:rPr>
          <w:noProof/>
        </w:rPr>
        <w:drawing>
          <wp:inline distT="0" distB="0" distL="0" distR="0" wp14:anchorId="644CF524" wp14:editId="7765495B">
            <wp:extent cx="5158212" cy="2457450"/>
            <wp:effectExtent l="0" t="0" r="4445"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48484" t="26567" r="5629" b="34546"/>
                    <a:stretch/>
                  </pic:blipFill>
                  <pic:spPr bwMode="auto">
                    <a:xfrm>
                      <a:off x="0" y="0"/>
                      <a:ext cx="5168467" cy="2462336"/>
                    </a:xfrm>
                    <a:prstGeom prst="rect">
                      <a:avLst/>
                    </a:prstGeom>
                    <a:ln>
                      <a:noFill/>
                    </a:ln>
                    <a:extLst>
                      <a:ext uri="{53640926-AAD7-44D8-BBD7-CCE9431645EC}">
                        <a14:shadowObscured xmlns:a14="http://schemas.microsoft.com/office/drawing/2010/main"/>
                      </a:ext>
                    </a:extLst>
                  </pic:spPr>
                </pic:pic>
              </a:graphicData>
            </a:graphic>
          </wp:inline>
        </w:drawing>
      </w:r>
    </w:p>
    <w:p w14:paraId="62146D90" w14:textId="1BCE0216" w:rsidR="000B63E4" w:rsidRPr="00317F91" w:rsidRDefault="00317F91" w:rsidP="000B63E4">
      <w:pPr>
        <w:jc w:val="both"/>
        <w:rPr>
          <w:rFonts w:cstheme="minorHAnsi"/>
          <w:sz w:val="20"/>
        </w:rPr>
      </w:pPr>
      <w:r w:rsidRPr="00317F91">
        <w:rPr>
          <w:rFonts w:cstheme="minorHAnsi"/>
          <w:sz w:val="20"/>
        </w:rPr>
        <w:t>Figure 4</w:t>
      </w:r>
      <w:r w:rsidR="000B63E4" w:rsidRPr="00317F91">
        <w:rPr>
          <w:rFonts w:cstheme="minorHAnsi"/>
          <w:sz w:val="20"/>
        </w:rPr>
        <w:t xml:space="preserve">.1: Sampling catamaran assembled with C-clamps to stabilize two canoes for core sampling of accumulated iron </w:t>
      </w:r>
      <w:proofErr w:type="spellStart"/>
      <w:r w:rsidR="000B63E4" w:rsidRPr="00317F91">
        <w:rPr>
          <w:rFonts w:cstheme="minorHAnsi"/>
          <w:sz w:val="20"/>
        </w:rPr>
        <w:t>oxyhydroxides</w:t>
      </w:r>
      <w:proofErr w:type="spellEnd"/>
      <w:r w:rsidR="000B63E4" w:rsidRPr="00317F91">
        <w:rPr>
          <w:rFonts w:cstheme="minorHAnsi"/>
          <w:sz w:val="20"/>
        </w:rPr>
        <w:t xml:space="preserve"> while minimizing disturbance of solids.</w:t>
      </w:r>
    </w:p>
    <w:p w14:paraId="44BC1696" w14:textId="77777777" w:rsidR="000B63E4" w:rsidRPr="008C1627" w:rsidRDefault="000B63E4" w:rsidP="000B63E4">
      <w:pPr>
        <w:jc w:val="both"/>
        <w:rPr>
          <w:rFonts w:cstheme="minorHAnsi"/>
        </w:rPr>
      </w:pPr>
    </w:p>
    <w:p w14:paraId="7EBB5A32" w14:textId="700C9A41" w:rsidR="000B63E4" w:rsidRPr="008C1627" w:rsidRDefault="000B63E4" w:rsidP="000B63E4">
      <w:pPr>
        <w:spacing w:line="480" w:lineRule="auto"/>
        <w:jc w:val="both"/>
        <w:rPr>
          <w:rFonts w:cstheme="minorHAnsi"/>
        </w:rPr>
      </w:pPr>
      <w:r w:rsidRPr="008C1627">
        <w:rPr>
          <w:rFonts w:cstheme="minorHAnsi"/>
        </w:rPr>
        <w:t>Site selection was based on spatial distribution to describe accumulation throughout each cell</w:t>
      </w:r>
      <w:r>
        <w:rPr>
          <w:rFonts w:cstheme="minorHAnsi"/>
        </w:rPr>
        <w:t>,</w:t>
      </w:r>
      <w:r w:rsidRPr="008C1627">
        <w:rPr>
          <w:rFonts w:cstheme="minorHAnsi"/>
        </w:rPr>
        <w:t xml:space="preserve"> rather than just focusing on the influent or effluent locations. Fourteen locations within Cell 1 were cored, with additional replicate cores collected from the catwalk sampling structures located in sections 1,</w:t>
      </w:r>
      <w:r>
        <w:rPr>
          <w:rFonts w:cstheme="minorHAnsi"/>
        </w:rPr>
        <w:t xml:space="preserve"> </w:t>
      </w:r>
      <w:r w:rsidRPr="008C1627">
        <w:rPr>
          <w:rFonts w:cstheme="minorHAnsi"/>
        </w:rPr>
        <w:t>2, and 3 of the treatment cell. Nine core samples were collected from each of the surface flow wetland cells on a grid pattern so that three cores from each pond (3)-marsh(3)-</w:t>
      </w:r>
      <w:proofErr w:type="gramStart"/>
      <w:r w:rsidRPr="008C1627">
        <w:rPr>
          <w:rFonts w:cstheme="minorHAnsi"/>
        </w:rPr>
        <w:t>pond(</w:t>
      </w:r>
      <w:proofErr w:type="gramEnd"/>
      <w:r w:rsidRPr="008C1627">
        <w:rPr>
          <w:rFonts w:cstheme="minorHAnsi"/>
        </w:rPr>
        <w:t xml:space="preserve">3) section of the cell were </w:t>
      </w:r>
      <w:r w:rsidR="004358A1">
        <w:rPr>
          <w:rFonts w:cstheme="minorHAnsi"/>
        </w:rPr>
        <w:t>represented. Feldspar markers (46x46 cm</w:t>
      </w:r>
      <w:r w:rsidRPr="008C1627">
        <w:rPr>
          <w:rFonts w:cstheme="minorHAnsi"/>
        </w:rPr>
        <w:t xml:space="preserve"> </w:t>
      </w:r>
      <w:r>
        <w:rPr>
          <w:rFonts w:cstheme="minorHAnsi"/>
        </w:rPr>
        <w:t xml:space="preserve">brilliant </w:t>
      </w:r>
      <w:r w:rsidRPr="008C1627">
        <w:rPr>
          <w:rFonts w:cstheme="minorHAnsi"/>
        </w:rPr>
        <w:t xml:space="preserve">white solids) installed during the construction of Cell 1 were used to validate core collection and accumulation measurement methodologies via visual boundary delineation </w:t>
      </w:r>
      <w:r w:rsidRPr="008C1627">
        <w:rPr>
          <w:rFonts w:cstheme="minorHAnsi"/>
        </w:rPr>
        <w:lastRenderedPageBreak/>
        <w:t>between the accumulated iron oxides and the clay liner.  Positive measurement bias was avoided by delineating the boundary between the clay liner and the iron oxides based on color and texture of material. Negative measurement bias due to poor sampling technique (partial core only) was avoided as only cores collected with a clay plug were measured and characterized. Comparison of core depths at these locations to samples collected just outside of the feldspar marker area (</w:t>
      </w:r>
      <w:r w:rsidR="00073BFD">
        <w:rPr>
          <w:rFonts w:cstheme="minorHAnsi"/>
        </w:rPr>
        <w:t>46 X 46 cm</w:t>
      </w:r>
      <w:r w:rsidRPr="008C1627">
        <w:rPr>
          <w:rFonts w:cstheme="minorHAnsi"/>
        </w:rPr>
        <w:t xml:space="preserve">) provides confidence that measured core depths accurately reflect the depth of stored iron </w:t>
      </w:r>
      <w:proofErr w:type="spellStart"/>
      <w:r w:rsidRPr="008C1627">
        <w:rPr>
          <w:rFonts w:cstheme="minorHAnsi"/>
        </w:rPr>
        <w:t>oxyhydroxides</w:t>
      </w:r>
      <w:proofErr w:type="spellEnd"/>
      <w:r w:rsidRPr="008C1627">
        <w:rPr>
          <w:rFonts w:cstheme="minorHAnsi"/>
        </w:rPr>
        <w:t>. Core sample locations for Cell 1, Cell 2N, and Cel</w:t>
      </w:r>
      <w:r w:rsidR="00317F91">
        <w:rPr>
          <w:rFonts w:cstheme="minorHAnsi"/>
        </w:rPr>
        <w:t>l 2S are illustrated in Figure 4</w:t>
      </w:r>
      <w:r w:rsidRPr="008C1627">
        <w:rPr>
          <w:rFonts w:cstheme="minorHAnsi"/>
        </w:rPr>
        <w:t xml:space="preserve">.2. </w:t>
      </w:r>
    </w:p>
    <w:p w14:paraId="74802AF8" w14:textId="27F303AD" w:rsidR="000B63E4" w:rsidRDefault="000B63E4" w:rsidP="000B63E4">
      <w:pPr>
        <w:spacing w:line="480" w:lineRule="auto"/>
        <w:jc w:val="both"/>
        <w:rPr>
          <w:rFonts w:cstheme="minorHAnsi"/>
        </w:rPr>
      </w:pPr>
      <w:r w:rsidRPr="008C1627">
        <w:rPr>
          <w:rFonts w:cstheme="minorHAnsi"/>
        </w:rPr>
        <w:t>Core samples were collected by embedding a clear, acrylic pipe (0.98</w:t>
      </w:r>
      <w:r>
        <w:rPr>
          <w:rFonts w:cstheme="minorHAnsi"/>
        </w:rPr>
        <w:t>-</w:t>
      </w:r>
      <w:r w:rsidR="00073BFD">
        <w:rPr>
          <w:rFonts w:cstheme="minorHAnsi"/>
        </w:rPr>
        <w:t>cm</w:t>
      </w:r>
      <w:r w:rsidRPr="008C1627">
        <w:rPr>
          <w:rFonts w:cstheme="minorHAnsi"/>
        </w:rPr>
        <w:t xml:space="preserve"> internal diameter, </w:t>
      </w:r>
      <w:r w:rsidR="00073BFD">
        <w:rPr>
          <w:rFonts w:cstheme="minorHAnsi"/>
        </w:rPr>
        <w:t xml:space="preserve">1.86 meters </w:t>
      </w:r>
      <w:r w:rsidRPr="008C1627">
        <w:rPr>
          <w:rFonts w:cstheme="minorHAnsi"/>
        </w:rPr>
        <w:t xml:space="preserve">long) perpendicular to the bottom of the cell until the clay liner securely plugged the pipe ensuring an intact and continuous sample of solids as the core was retrieved.  The tube </w:t>
      </w:r>
      <w:r>
        <w:rPr>
          <w:rFonts w:cstheme="minorHAnsi"/>
        </w:rPr>
        <w:t>was</w:t>
      </w:r>
      <w:r w:rsidRPr="008C1627">
        <w:rPr>
          <w:rFonts w:cstheme="minorHAnsi"/>
        </w:rPr>
        <w:t xml:space="preserve"> capped at the top and bottom with rubber stoppers, </w:t>
      </w:r>
      <w:proofErr w:type="spellStart"/>
      <w:r w:rsidRPr="008C1627">
        <w:rPr>
          <w:rFonts w:cstheme="minorHAnsi"/>
        </w:rPr>
        <w:t>Parafilm</w:t>
      </w:r>
      <w:proofErr w:type="spellEnd"/>
      <w:r w:rsidRPr="008C1627">
        <w:rPr>
          <w:rFonts w:cstheme="minorHAnsi"/>
        </w:rPr>
        <w:t>® and Duct tape® when extracted vertically from the water column to preserve the quality (spatial distribution of material) and quantity (total depth of material) for immediate measurement of accumulation. The depth of material in the tube from the solids / liquid interface to the clay line</w:t>
      </w:r>
      <w:r w:rsidR="00317F91">
        <w:rPr>
          <w:rFonts w:cstheme="minorHAnsi"/>
        </w:rPr>
        <w:t>r was measured on site (Figure 4</w:t>
      </w:r>
      <w:r w:rsidRPr="008C1627">
        <w:rPr>
          <w:rFonts w:cstheme="minorHAnsi"/>
        </w:rPr>
        <w:t>.3) and recorded along with photos of the cores to document appearance (color and texture)</w:t>
      </w:r>
      <w:r>
        <w:rPr>
          <w:rFonts w:cstheme="minorHAnsi"/>
        </w:rPr>
        <w:t>,</w:t>
      </w:r>
      <w:r w:rsidRPr="008C1627">
        <w:rPr>
          <w:rFonts w:cstheme="minorHAnsi"/>
        </w:rPr>
        <w:t xml:space="preserve"> as some compaction was expected during transport to laboratory facilities. </w:t>
      </w:r>
    </w:p>
    <w:p w14:paraId="73FD6134" w14:textId="77777777" w:rsidR="000B63E4" w:rsidRPr="008C1627" w:rsidRDefault="000B63E4" w:rsidP="000B63E4">
      <w:pPr>
        <w:spacing w:after="0" w:line="240" w:lineRule="auto"/>
        <w:jc w:val="both"/>
        <w:rPr>
          <w:rFonts w:cstheme="minorHAnsi"/>
        </w:rPr>
      </w:pPr>
      <w:r>
        <w:rPr>
          <w:noProof/>
        </w:rPr>
        <w:lastRenderedPageBreak/>
        <w:drawing>
          <wp:inline distT="0" distB="0" distL="0" distR="0" wp14:anchorId="03BC1BC0" wp14:editId="0771B2A2">
            <wp:extent cx="5273924" cy="2743200"/>
            <wp:effectExtent l="0" t="0" r="317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19914" t="25797" r="21862" b="7978"/>
                    <a:stretch/>
                  </pic:blipFill>
                  <pic:spPr bwMode="auto">
                    <a:xfrm>
                      <a:off x="0" y="0"/>
                      <a:ext cx="5333046" cy="2773952"/>
                    </a:xfrm>
                    <a:prstGeom prst="rect">
                      <a:avLst/>
                    </a:prstGeom>
                    <a:ln>
                      <a:noFill/>
                    </a:ln>
                    <a:extLst>
                      <a:ext uri="{53640926-AAD7-44D8-BBD7-CCE9431645EC}">
                        <a14:shadowObscured xmlns:a14="http://schemas.microsoft.com/office/drawing/2010/main"/>
                      </a:ext>
                    </a:extLst>
                  </pic:spPr>
                </pic:pic>
              </a:graphicData>
            </a:graphic>
          </wp:inline>
        </w:drawing>
      </w:r>
    </w:p>
    <w:p w14:paraId="5A87047F" w14:textId="2451F4D8" w:rsidR="000B63E4" w:rsidRDefault="00317F91" w:rsidP="000B63E4">
      <w:pPr>
        <w:spacing w:after="0" w:line="240" w:lineRule="auto"/>
        <w:jc w:val="both"/>
        <w:rPr>
          <w:rFonts w:cstheme="minorHAnsi"/>
          <w:sz w:val="20"/>
        </w:rPr>
      </w:pPr>
      <w:r>
        <w:rPr>
          <w:rFonts w:cstheme="minorHAnsi"/>
          <w:sz w:val="20"/>
        </w:rPr>
        <w:t>Figure 4</w:t>
      </w:r>
      <w:r w:rsidR="000B63E4" w:rsidRPr="00B424E4">
        <w:rPr>
          <w:rFonts w:cstheme="minorHAnsi"/>
          <w:sz w:val="20"/>
        </w:rPr>
        <w:t>.2: MRPTS oxidative unit core sample locations. White arrows indicated direction of influent and effluent flows. Core samples lined up to show relative amounts of accumulated iron oxides transported for solids characterization back at the CREW laboratories.</w:t>
      </w:r>
    </w:p>
    <w:p w14:paraId="778D6A0B" w14:textId="77777777" w:rsidR="00073BFD" w:rsidRPr="00B424E4" w:rsidRDefault="00073BFD" w:rsidP="000B63E4">
      <w:pPr>
        <w:spacing w:after="0" w:line="240" w:lineRule="auto"/>
        <w:jc w:val="both"/>
        <w:rPr>
          <w:rFonts w:cstheme="minorHAnsi"/>
          <w:sz w:val="20"/>
        </w:rPr>
      </w:pPr>
    </w:p>
    <w:p w14:paraId="08C458AD" w14:textId="77777777" w:rsidR="000B63E4" w:rsidRPr="00DB505A" w:rsidRDefault="000B63E4" w:rsidP="000B63E4">
      <w:pPr>
        <w:jc w:val="both"/>
        <w:rPr>
          <w:rFonts w:cstheme="minorHAnsi"/>
          <w:sz w:val="20"/>
        </w:rPr>
      </w:pPr>
      <w:r w:rsidRPr="00DB505A">
        <w:rPr>
          <w:noProof/>
          <w:sz w:val="20"/>
        </w:rPr>
        <w:drawing>
          <wp:inline distT="0" distB="0" distL="0" distR="0" wp14:anchorId="17578CBE" wp14:editId="14BF0B0D">
            <wp:extent cx="5257800" cy="3266209"/>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19480" t="27723" r="23376" b="9133"/>
                    <a:stretch/>
                  </pic:blipFill>
                  <pic:spPr bwMode="auto">
                    <a:xfrm>
                      <a:off x="0" y="0"/>
                      <a:ext cx="5269028" cy="3273184"/>
                    </a:xfrm>
                    <a:prstGeom prst="rect">
                      <a:avLst/>
                    </a:prstGeom>
                    <a:ln>
                      <a:noFill/>
                    </a:ln>
                    <a:extLst>
                      <a:ext uri="{53640926-AAD7-44D8-BBD7-CCE9431645EC}">
                        <a14:shadowObscured xmlns:a14="http://schemas.microsoft.com/office/drawing/2010/main"/>
                      </a:ext>
                    </a:extLst>
                  </pic:spPr>
                </pic:pic>
              </a:graphicData>
            </a:graphic>
          </wp:inline>
        </w:drawing>
      </w:r>
      <w:r w:rsidRPr="00DB505A">
        <w:rPr>
          <w:noProof/>
          <w:sz w:val="20"/>
        </w:rPr>
        <w:t xml:space="preserve"> </w:t>
      </w:r>
    </w:p>
    <w:p w14:paraId="6F8AA4D5" w14:textId="51B8B2BC" w:rsidR="000B63E4" w:rsidRPr="00DB505A" w:rsidRDefault="00317F91" w:rsidP="000B63E4">
      <w:pPr>
        <w:jc w:val="both"/>
        <w:rPr>
          <w:rFonts w:cstheme="minorHAnsi"/>
          <w:sz w:val="20"/>
        </w:rPr>
      </w:pPr>
      <w:r>
        <w:rPr>
          <w:rFonts w:cstheme="minorHAnsi"/>
          <w:sz w:val="20"/>
        </w:rPr>
        <w:t>Figure 4</w:t>
      </w:r>
      <w:r w:rsidR="000B63E4" w:rsidRPr="00DB505A">
        <w:rPr>
          <w:rFonts w:cstheme="minorHAnsi"/>
          <w:sz w:val="20"/>
        </w:rPr>
        <w:t>.3: MRPTS oxidative unit core depths in centimeters from the bottom of the cell (clay liner). White arrows indicated direction of influent and effluent flows.</w:t>
      </w:r>
    </w:p>
    <w:p w14:paraId="34E2843A" w14:textId="69148136" w:rsidR="000B63E4" w:rsidRDefault="000B63E4" w:rsidP="000B63E4">
      <w:pPr>
        <w:jc w:val="both"/>
        <w:rPr>
          <w:rFonts w:cstheme="minorHAnsi"/>
        </w:rPr>
      </w:pPr>
    </w:p>
    <w:p w14:paraId="52ADE442" w14:textId="3BB39AE9" w:rsidR="00073BFD" w:rsidRDefault="00073BFD" w:rsidP="000B63E4">
      <w:pPr>
        <w:jc w:val="both"/>
        <w:rPr>
          <w:rFonts w:cstheme="minorHAnsi"/>
        </w:rPr>
      </w:pPr>
    </w:p>
    <w:p w14:paraId="744A9E94" w14:textId="77777777" w:rsidR="00073BFD" w:rsidRPr="008C1627" w:rsidRDefault="00073BFD" w:rsidP="000B63E4">
      <w:pPr>
        <w:jc w:val="both"/>
        <w:rPr>
          <w:rFonts w:cstheme="minorHAnsi"/>
        </w:rPr>
      </w:pPr>
    </w:p>
    <w:p w14:paraId="6C30E97F" w14:textId="77777777" w:rsidR="00073BFD" w:rsidRDefault="00073BFD" w:rsidP="000B63E4">
      <w:pPr>
        <w:spacing w:line="480" w:lineRule="auto"/>
        <w:jc w:val="both"/>
        <w:rPr>
          <w:rFonts w:cstheme="minorHAnsi"/>
        </w:rPr>
      </w:pPr>
    </w:p>
    <w:p w14:paraId="30B585CE" w14:textId="1D308C85" w:rsidR="00073BFD" w:rsidRPr="00073BFD" w:rsidRDefault="00073BFD" w:rsidP="000B63E4">
      <w:pPr>
        <w:spacing w:line="480" w:lineRule="auto"/>
        <w:jc w:val="both"/>
        <w:rPr>
          <w:rFonts w:cstheme="minorHAnsi"/>
          <w:b/>
          <w:sz w:val="24"/>
        </w:rPr>
      </w:pPr>
      <w:r w:rsidRPr="00073BFD">
        <w:rPr>
          <w:rFonts w:cstheme="minorHAnsi"/>
          <w:b/>
          <w:sz w:val="24"/>
        </w:rPr>
        <w:lastRenderedPageBreak/>
        <w:t>Results</w:t>
      </w:r>
      <w:r>
        <w:rPr>
          <w:rFonts w:cstheme="minorHAnsi"/>
          <w:b/>
          <w:sz w:val="24"/>
        </w:rPr>
        <w:t xml:space="preserve"> and Discussion</w:t>
      </w:r>
    </w:p>
    <w:p w14:paraId="70F780DB" w14:textId="18AF86E5" w:rsidR="000B63E4" w:rsidRPr="008C1627" w:rsidRDefault="000B63E4" w:rsidP="000B63E4">
      <w:pPr>
        <w:spacing w:line="480" w:lineRule="auto"/>
        <w:jc w:val="both"/>
        <w:rPr>
          <w:rFonts w:cstheme="minorHAnsi"/>
        </w:rPr>
      </w:pPr>
      <w:r w:rsidRPr="008C1627">
        <w:rPr>
          <w:rFonts w:cstheme="minorHAnsi"/>
        </w:rPr>
        <w:t xml:space="preserve">The accumulation of iron </w:t>
      </w:r>
      <w:proofErr w:type="spellStart"/>
      <w:r w:rsidRPr="008C1627">
        <w:rPr>
          <w:rFonts w:cstheme="minorHAnsi"/>
        </w:rPr>
        <w:t>oxyhydroxides</w:t>
      </w:r>
      <w:proofErr w:type="spellEnd"/>
      <w:r w:rsidRPr="008C1627">
        <w:rPr>
          <w:rFonts w:cstheme="minorHAnsi"/>
        </w:rPr>
        <w:t xml:space="preserve"> precipitates was not uniformly distributed for any of the cells within the oxidative unit. Accumulation depths were at their deepest for all three cells within section 1 (closest to the influent discharge) with a general trend of decreasing accumulation depths along the flow path prior to reaching the cell outlet. A preliminary core sampling from only the catwalk structures within Cell 1 suggested an average linear trend (y = -2.75x+298.5; </w:t>
      </w:r>
      <w:r>
        <w:rPr>
          <w:rFonts w:cstheme="minorHAnsi"/>
        </w:rPr>
        <w:t>r</w:t>
      </w:r>
      <w:r w:rsidRPr="008C1627">
        <w:rPr>
          <w:rFonts w:cstheme="minorHAnsi"/>
          <w:vertAlign w:val="superscript"/>
        </w:rPr>
        <w:t>2</w:t>
      </w:r>
      <w:r w:rsidRPr="008C1627">
        <w:rPr>
          <w:rFonts w:cstheme="minorHAnsi"/>
        </w:rPr>
        <w:t xml:space="preserve"> = 0.9938) when decreasing accumulated solids were plotted versus increasing distance from the cell </w:t>
      </w:r>
      <w:r w:rsidR="00317F91">
        <w:rPr>
          <w:rFonts w:cstheme="minorHAnsi"/>
        </w:rPr>
        <w:t>influent AMD discharge. Figure 4</w:t>
      </w:r>
      <w:r w:rsidRPr="008C1627">
        <w:rPr>
          <w:rFonts w:cstheme="minorHAnsi"/>
        </w:rPr>
        <w:t xml:space="preserve">.4 is a summary of average accumulated depth for each section of Cell 1. </w:t>
      </w:r>
      <w:r>
        <w:rPr>
          <w:rFonts w:cstheme="minorHAnsi"/>
        </w:rPr>
        <w:t xml:space="preserve"> </w:t>
      </w:r>
      <w:r w:rsidRPr="008C1627">
        <w:rPr>
          <w:rFonts w:cstheme="minorHAnsi"/>
        </w:rPr>
        <w:t>Cell</w:t>
      </w:r>
      <w:r>
        <w:rPr>
          <w:rFonts w:cstheme="minorHAnsi"/>
        </w:rPr>
        <w:t xml:space="preserve"> </w:t>
      </w:r>
      <w:r w:rsidRPr="008C1627">
        <w:rPr>
          <w:rFonts w:cstheme="minorHAnsi"/>
        </w:rPr>
        <w:t>1 had the deepest accumulation of material out of the three oxidative cells (≤</w:t>
      </w:r>
      <w:r>
        <w:rPr>
          <w:rFonts w:cstheme="minorHAnsi"/>
        </w:rPr>
        <w:t xml:space="preserve"> </w:t>
      </w:r>
      <w:r w:rsidRPr="008C1627">
        <w:rPr>
          <w:rFonts w:cstheme="minorHAnsi"/>
        </w:rPr>
        <w:t xml:space="preserve">116 cm), yet that accumulation was </w:t>
      </w:r>
      <w:r>
        <w:rPr>
          <w:rFonts w:cstheme="minorHAnsi"/>
        </w:rPr>
        <w:t xml:space="preserve">not </w:t>
      </w:r>
      <w:r w:rsidRPr="008C1627">
        <w:rPr>
          <w:rFonts w:cstheme="minorHAnsi"/>
        </w:rPr>
        <w:t xml:space="preserve">uniformly distributed throughout the cell nor within section 1 of Cell 1. Figure 5.5 reflects the relationship between accumulated solids depths versus their distance from the influent AMD discharges. </w:t>
      </w:r>
    </w:p>
    <w:p w14:paraId="62173EF4" w14:textId="77777777" w:rsidR="000B63E4" w:rsidRPr="00DB505A" w:rsidRDefault="000B63E4" w:rsidP="000B63E4">
      <w:pPr>
        <w:jc w:val="both"/>
        <w:rPr>
          <w:rFonts w:cstheme="minorHAnsi"/>
          <w:sz w:val="20"/>
        </w:rPr>
      </w:pPr>
      <w:r w:rsidRPr="00DB505A">
        <w:rPr>
          <w:rFonts w:cstheme="minorHAnsi"/>
          <w:noProof/>
          <w:sz w:val="20"/>
        </w:rPr>
        <w:drawing>
          <wp:inline distT="0" distB="0" distL="0" distR="0" wp14:anchorId="0017A3C7" wp14:editId="25F2C9A9">
            <wp:extent cx="5029200" cy="2514600"/>
            <wp:effectExtent l="0" t="0" r="0" b="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0D6F7F9" w14:textId="70CABC2C" w:rsidR="000B63E4" w:rsidRPr="00DB505A" w:rsidRDefault="00317F91" w:rsidP="000B63E4">
      <w:pPr>
        <w:jc w:val="both"/>
        <w:rPr>
          <w:rFonts w:cstheme="minorHAnsi"/>
          <w:sz w:val="20"/>
        </w:rPr>
      </w:pPr>
      <w:r>
        <w:rPr>
          <w:rFonts w:cstheme="minorHAnsi"/>
          <w:sz w:val="20"/>
        </w:rPr>
        <w:t>Figure 4</w:t>
      </w:r>
      <w:r w:rsidR="000B63E4" w:rsidRPr="00DB505A">
        <w:rPr>
          <w:rFonts w:cstheme="minorHAnsi"/>
          <w:sz w:val="20"/>
        </w:rPr>
        <w:t>.4: Preliminary iron oxide accumulation in Cell 1 of the MRPTS in 2014 measured by replicate core samples collected from the stabilized catwalk sampling platforms (n</w:t>
      </w:r>
      <w:r w:rsidR="00073BFD">
        <w:rPr>
          <w:rFonts w:cstheme="minorHAnsi"/>
          <w:sz w:val="20"/>
        </w:rPr>
        <w:t>=6</w:t>
      </w:r>
      <w:r w:rsidR="000B63E4" w:rsidRPr="00DB505A">
        <w:rPr>
          <w:rFonts w:cstheme="minorHAnsi"/>
          <w:sz w:val="20"/>
        </w:rPr>
        <w:t xml:space="preserve">). Error bars indicate standard deviation. </w:t>
      </w:r>
    </w:p>
    <w:p w14:paraId="41F3E36C" w14:textId="77777777" w:rsidR="000B63E4" w:rsidRPr="00DB505A" w:rsidRDefault="000B63E4" w:rsidP="000B63E4">
      <w:pPr>
        <w:jc w:val="both"/>
        <w:rPr>
          <w:rFonts w:cstheme="minorHAnsi"/>
          <w:sz w:val="20"/>
        </w:rPr>
      </w:pPr>
      <w:r w:rsidRPr="00DB505A">
        <w:rPr>
          <w:rFonts w:cstheme="minorHAnsi"/>
          <w:noProof/>
          <w:sz w:val="20"/>
        </w:rPr>
        <w:lastRenderedPageBreak/>
        <w:drawing>
          <wp:inline distT="0" distB="0" distL="0" distR="0" wp14:anchorId="6E2F0CFE" wp14:editId="3693B241">
            <wp:extent cx="5143500" cy="2543175"/>
            <wp:effectExtent l="0" t="0" r="0" b="9525"/>
            <wp:docPr id="250" name="Chart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4688984" w14:textId="13E55C24" w:rsidR="000B63E4" w:rsidRPr="00DB505A" w:rsidRDefault="00317F91" w:rsidP="000B63E4">
      <w:pPr>
        <w:jc w:val="both"/>
        <w:rPr>
          <w:rFonts w:cstheme="minorHAnsi"/>
          <w:sz w:val="20"/>
        </w:rPr>
      </w:pPr>
      <w:r>
        <w:rPr>
          <w:rFonts w:cstheme="minorHAnsi"/>
          <w:sz w:val="20"/>
        </w:rPr>
        <w:t>Figure 4</w:t>
      </w:r>
      <w:r w:rsidR="000B63E4" w:rsidRPr="00DB505A">
        <w:rPr>
          <w:rFonts w:cstheme="minorHAnsi"/>
          <w:sz w:val="20"/>
        </w:rPr>
        <w:t xml:space="preserve">.5: Accumulated depth of iron oxides within Cell 1 with increasing distance from the average AMD seeps input. </w:t>
      </w:r>
      <w:r w:rsidR="00073BFD">
        <w:rPr>
          <w:rFonts w:cstheme="minorHAnsi"/>
          <w:sz w:val="20"/>
        </w:rPr>
        <w:t xml:space="preserve"> Accumulation in sections 1 and 2 of Cell 1 while short circuiting in section 3 leads to iron export. </w:t>
      </w:r>
    </w:p>
    <w:p w14:paraId="79705A47" w14:textId="77777777" w:rsidR="000B63E4" w:rsidRPr="008C1627" w:rsidRDefault="000B63E4" w:rsidP="000B63E4">
      <w:pPr>
        <w:jc w:val="both"/>
        <w:rPr>
          <w:rFonts w:cstheme="minorHAnsi"/>
        </w:rPr>
      </w:pPr>
    </w:p>
    <w:p w14:paraId="66444103" w14:textId="0072FF22" w:rsidR="000B63E4" w:rsidRPr="008C1627" w:rsidRDefault="0068276D" w:rsidP="000B63E4">
      <w:pPr>
        <w:spacing w:line="480" w:lineRule="auto"/>
        <w:jc w:val="both"/>
        <w:rPr>
          <w:rFonts w:cstheme="minorHAnsi"/>
        </w:rPr>
      </w:pPr>
      <w:r>
        <w:rPr>
          <w:rFonts w:cstheme="minorHAnsi"/>
        </w:rPr>
        <w:t xml:space="preserve">Iron accumulation from settled suspended solids is observed in sections 1 and 2 of Cell 1 but not Section 3 as flow short circuiting exports iron. </w:t>
      </w:r>
      <w:r w:rsidR="000B63E4" w:rsidRPr="008C1627">
        <w:rPr>
          <w:rFonts w:cstheme="minorHAnsi"/>
        </w:rPr>
        <w:t xml:space="preserve">This trend </w:t>
      </w:r>
      <w:r>
        <w:rPr>
          <w:rFonts w:cstheme="minorHAnsi"/>
        </w:rPr>
        <w:t xml:space="preserve">in accumulation is </w:t>
      </w:r>
      <w:r w:rsidR="000B63E4" w:rsidRPr="008C1627">
        <w:rPr>
          <w:rFonts w:cstheme="minorHAnsi"/>
        </w:rPr>
        <w:t xml:space="preserve">qualitatively consistent with field observations when the emergency flow bypass was used to draw down water levels for maintenance, and it is consistent with the trend observed in </w:t>
      </w:r>
      <w:r w:rsidR="000B63E4">
        <w:rPr>
          <w:rFonts w:cstheme="minorHAnsi"/>
        </w:rPr>
        <w:t>F</w:t>
      </w:r>
      <w:r w:rsidR="00317F91">
        <w:rPr>
          <w:rFonts w:cstheme="minorHAnsi"/>
        </w:rPr>
        <w:t>igure 4</w:t>
      </w:r>
      <w:r w:rsidR="000B63E4" w:rsidRPr="008C1627">
        <w:rPr>
          <w:rFonts w:cstheme="minorHAnsi"/>
        </w:rPr>
        <w:t xml:space="preserve">.4 for the exploratory core samples collected at each catwalk.  However, the ratio of accumulation with increasing distance decreased from -2.75 cm Fe/m to 0.454 cm Fe/m when more data points were included in the analysis.  The poor linear fit of </w:t>
      </w:r>
      <w:r w:rsidR="000B63E4">
        <w:rPr>
          <w:rFonts w:cstheme="minorHAnsi"/>
        </w:rPr>
        <w:t>F</w:t>
      </w:r>
      <w:r w:rsidR="00317F91">
        <w:rPr>
          <w:rFonts w:cstheme="minorHAnsi"/>
        </w:rPr>
        <w:t>igure 4</w:t>
      </w:r>
      <w:r w:rsidR="000B63E4" w:rsidRPr="008C1627">
        <w:rPr>
          <w:rFonts w:cstheme="minorHAnsi"/>
        </w:rPr>
        <w:t xml:space="preserve">.5 indicates that within each section of the cell, and for the cell overall, there is a heterogeneity in the deposition of iron oxides. The inclusion of additional core samples (n = 14) beyond those collected at the catwalks (n = </w:t>
      </w:r>
      <w:r>
        <w:rPr>
          <w:rFonts w:cstheme="minorHAnsi"/>
        </w:rPr>
        <w:t>6</w:t>
      </w:r>
      <w:r w:rsidR="000B63E4" w:rsidRPr="008C1627">
        <w:rPr>
          <w:rFonts w:cstheme="minorHAnsi"/>
        </w:rPr>
        <w:t xml:space="preserve">) in </w:t>
      </w:r>
      <w:r w:rsidR="00F370BE">
        <w:rPr>
          <w:rFonts w:cstheme="minorHAnsi"/>
        </w:rPr>
        <w:t>refining</w:t>
      </w:r>
      <w:r w:rsidR="000B63E4" w:rsidRPr="008C1627">
        <w:rPr>
          <w:rFonts w:cstheme="minorHAnsi"/>
        </w:rPr>
        <w:t xml:space="preserve"> this relationship increases the area of the treatment cell with high iron oxide accumulated storage</w:t>
      </w:r>
      <w:r w:rsidR="00F370BE">
        <w:rPr>
          <w:rFonts w:cstheme="minorHAnsi"/>
        </w:rPr>
        <w:t>. Accumulated iron oxides extend</w:t>
      </w:r>
      <w:r w:rsidR="000B63E4" w:rsidRPr="008C1627">
        <w:rPr>
          <w:rFonts w:cstheme="minorHAnsi"/>
        </w:rPr>
        <w:t xml:space="preserve"> from </w:t>
      </w:r>
      <w:r w:rsidR="00F370BE">
        <w:rPr>
          <w:rFonts w:cstheme="minorHAnsi"/>
        </w:rPr>
        <w:t>s</w:t>
      </w:r>
      <w:r w:rsidR="000B63E4" w:rsidRPr="008C1627">
        <w:rPr>
          <w:rFonts w:cstheme="minorHAnsi"/>
        </w:rPr>
        <w:t xml:space="preserve">ection 1 </w:t>
      </w:r>
      <w:r w:rsidR="00F370BE">
        <w:rPr>
          <w:rFonts w:cstheme="minorHAnsi"/>
        </w:rPr>
        <w:t>into s</w:t>
      </w:r>
      <w:r w:rsidR="000B63E4" w:rsidRPr="008C1627">
        <w:rPr>
          <w:rFonts w:cstheme="minorHAnsi"/>
        </w:rPr>
        <w:t xml:space="preserve">ection 2 following along the linear flow path towards the bottom of the U-bend of the cell (sample locations 1-7). The measurements of accumulated iron oxides in the latter half of section 2 and all of section 3 of Cell 1 are likely due to most iron being transported in the dissolved state </w:t>
      </w:r>
      <w:r w:rsidR="000B63E4" w:rsidRPr="008C1627">
        <w:rPr>
          <w:rFonts w:cstheme="minorHAnsi"/>
        </w:rPr>
        <w:lastRenderedPageBreak/>
        <w:t xml:space="preserve">(~70%) in these locations and thus not undergoing precipitation and sedimentation before effluent transport into Cells 2N and 2S. </w:t>
      </w:r>
    </w:p>
    <w:p w14:paraId="637F0D98" w14:textId="4EF30513" w:rsidR="000B63E4" w:rsidRPr="008C1627" w:rsidRDefault="000B63E4" w:rsidP="000B63E4">
      <w:pPr>
        <w:spacing w:line="480" w:lineRule="auto"/>
        <w:jc w:val="both"/>
        <w:rPr>
          <w:rFonts w:cstheme="minorHAnsi"/>
        </w:rPr>
      </w:pPr>
      <w:r w:rsidRPr="008C1627">
        <w:rPr>
          <w:rFonts w:cstheme="minorHAnsi"/>
        </w:rPr>
        <w:t>A summary of average iron accumulation</w:t>
      </w:r>
      <w:r>
        <w:rPr>
          <w:rFonts w:cstheme="minorHAnsi"/>
        </w:rPr>
        <w:t xml:space="preserve"> depth</w:t>
      </w:r>
      <w:r w:rsidRPr="008C1627">
        <w:rPr>
          <w:rFonts w:cstheme="minorHAnsi"/>
        </w:rPr>
        <w:t xml:space="preserve"> for Cell </w:t>
      </w:r>
      <w:r w:rsidR="00317F91">
        <w:rPr>
          <w:rFonts w:cstheme="minorHAnsi"/>
        </w:rPr>
        <w:t>2N and 2S is plotted in Figure 4</w:t>
      </w:r>
      <w:r w:rsidRPr="008C1627">
        <w:rPr>
          <w:rFonts w:cstheme="minorHAnsi"/>
        </w:rPr>
        <w:t xml:space="preserve">.6 based on spatial location within the cells. An average of 37 cm of iron accumulation was measured in the first ponded section of C2N/C2S, and 19-20 cm of accumulation for the planted marsh (section 2) and the second ponded area (section 3).  There is not a distinct linear trend when plotting the individual accumulated iron oxides versus distance from influent AMD flow (y = -0.50x+37.7; </w:t>
      </w:r>
      <w:r>
        <w:rPr>
          <w:rFonts w:cstheme="minorHAnsi"/>
        </w:rPr>
        <w:t>r</w:t>
      </w:r>
      <w:r w:rsidRPr="008C58D8">
        <w:rPr>
          <w:rFonts w:cstheme="minorHAnsi"/>
          <w:vertAlign w:val="superscript"/>
        </w:rPr>
        <w:t>2</w:t>
      </w:r>
      <w:r w:rsidRPr="008C1627">
        <w:rPr>
          <w:rFonts w:cstheme="minorHAnsi"/>
        </w:rPr>
        <w:t xml:space="preserve"> = 0.2224) as these cells are not designed to operate on a linear flow path. The accumulation of iron in section 1 of the surface flow wetlands is consistent with the expected performance of the cell as the initial ponded area allows for additional storage of accumulated volumes. The planted zones function to remove suspended solids by slowing down the flow and thus promoting conditions favoring the sedimentation of solids. </w:t>
      </w:r>
    </w:p>
    <w:p w14:paraId="1C396394" w14:textId="77777777" w:rsidR="000B63E4" w:rsidRPr="008C1627" w:rsidRDefault="000B63E4" w:rsidP="000B63E4">
      <w:pPr>
        <w:jc w:val="both"/>
        <w:rPr>
          <w:rFonts w:cstheme="minorHAnsi"/>
        </w:rPr>
      </w:pPr>
      <w:r w:rsidRPr="008C1627">
        <w:rPr>
          <w:rFonts w:cstheme="minorHAnsi"/>
          <w:noProof/>
        </w:rPr>
        <w:drawing>
          <wp:inline distT="0" distB="0" distL="0" distR="0" wp14:anchorId="4314DEDD" wp14:editId="65148EE9">
            <wp:extent cx="5025390" cy="2219325"/>
            <wp:effectExtent l="0" t="0" r="3810" b="9525"/>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A18D2E3" w14:textId="7BAA3211" w:rsidR="00DD0FD8" w:rsidRPr="00DD0FD8" w:rsidRDefault="00317F91" w:rsidP="000B63E4">
      <w:pPr>
        <w:jc w:val="both"/>
        <w:rPr>
          <w:rFonts w:cstheme="minorHAnsi"/>
          <w:sz w:val="20"/>
        </w:rPr>
      </w:pPr>
      <w:r>
        <w:rPr>
          <w:rFonts w:cstheme="minorHAnsi"/>
          <w:sz w:val="20"/>
        </w:rPr>
        <w:t>Figure 4</w:t>
      </w:r>
      <w:r w:rsidR="000B63E4" w:rsidRPr="00DB505A">
        <w:rPr>
          <w:rFonts w:cstheme="minorHAnsi"/>
          <w:sz w:val="20"/>
        </w:rPr>
        <w:t>.6: Average iron accumulation via discrete core sampling of C2N and C2S based on the spatial distribution of material throughout</w:t>
      </w:r>
      <w:r w:rsidR="00DD0FD8">
        <w:rPr>
          <w:rFonts w:cstheme="minorHAnsi"/>
          <w:sz w:val="20"/>
        </w:rPr>
        <w:t xml:space="preserve"> the pond: marsh: pond design. </w:t>
      </w:r>
    </w:p>
    <w:p w14:paraId="42E07FA5" w14:textId="1DE0C879" w:rsidR="000B63E4" w:rsidRDefault="000B63E4" w:rsidP="000B63E4">
      <w:pPr>
        <w:pStyle w:val="Heading4"/>
        <w:jc w:val="both"/>
      </w:pPr>
      <w:r w:rsidRPr="008C1627">
        <w:t>Core Sample Characterization</w:t>
      </w:r>
    </w:p>
    <w:p w14:paraId="398DB5CF" w14:textId="77777777" w:rsidR="000B63E4" w:rsidRPr="00EC55A9" w:rsidRDefault="000B63E4" w:rsidP="000B63E4">
      <w:pPr>
        <w:jc w:val="both"/>
      </w:pPr>
    </w:p>
    <w:p w14:paraId="22E94C3D" w14:textId="3D8AFE68" w:rsidR="00DD0FD8" w:rsidRDefault="000B63E4" w:rsidP="00DD0FD8">
      <w:pPr>
        <w:spacing w:line="360" w:lineRule="auto"/>
        <w:jc w:val="both"/>
        <w:rPr>
          <w:rFonts w:cstheme="minorHAnsi"/>
        </w:rPr>
      </w:pPr>
      <w:r w:rsidRPr="008C1627">
        <w:rPr>
          <w:rFonts w:cstheme="minorHAnsi"/>
        </w:rPr>
        <w:t xml:space="preserve">All core samples were returned to the CREW laboratories for sectioning and subsequent properties characterization.  Each core sample was sectioned into the oldest material (bottom 10% of the iron oxide column) and the newest material (top 10% of the column) and were air </w:t>
      </w:r>
      <w:r w:rsidRPr="008C1627">
        <w:rPr>
          <w:rFonts w:cstheme="minorHAnsi"/>
        </w:rPr>
        <w:lastRenderedPageBreak/>
        <w:t xml:space="preserve">dried at room temperature. Dry samples were milled into fine powders, but were not size selected via sieving due to </w:t>
      </w:r>
      <w:r>
        <w:rPr>
          <w:rFonts w:cstheme="minorHAnsi"/>
        </w:rPr>
        <w:t>limited</w:t>
      </w:r>
      <w:r w:rsidRPr="008C1627">
        <w:rPr>
          <w:rFonts w:cstheme="minorHAnsi"/>
        </w:rPr>
        <w:t xml:space="preserve"> sample </w:t>
      </w:r>
      <w:r>
        <w:rPr>
          <w:rFonts w:cstheme="minorHAnsi"/>
        </w:rPr>
        <w:t>yield</w:t>
      </w:r>
      <w:r w:rsidRPr="008C1627">
        <w:rPr>
          <w:rFonts w:cstheme="minorHAnsi"/>
        </w:rPr>
        <w:t xml:space="preserve"> of dried material. Composite samples were prepared by mixing equal masses of dried solids from each section of the treatment cells and were characterized for </w:t>
      </w:r>
      <w:r>
        <w:rPr>
          <w:rFonts w:cstheme="minorHAnsi"/>
        </w:rPr>
        <w:t xml:space="preserve">% residual </w:t>
      </w:r>
      <w:r w:rsidRPr="008C1627">
        <w:rPr>
          <w:rFonts w:cstheme="minorHAnsi"/>
        </w:rPr>
        <w:t>moisture content</w:t>
      </w:r>
      <w:r>
        <w:rPr>
          <w:rFonts w:cstheme="minorHAnsi"/>
        </w:rPr>
        <w:t xml:space="preserve"> (gravimetric analysis)</w:t>
      </w:r>
      <w:r w:rsidRPr="008C1627">
        <w:rPr>
          <w:rFonts w:cstheme="minorHAnsi"/>
        </w:rPr>
        <w:t xml:space="preserve">, </w:t>
      </w:r>
      <w:r>
        <w:rPr>
          <w:rFonts w:cstheme="minorHAnsi"/>
        </w:rPr>
        <w:t xml:space="preserve">% </w:t>
      </w:r>
      <w:r w:rsidRPr="008C1627">
        <w:rPr>
          <w:rFonts w:cstheme="minorHAnsi"/>
        </w:rPr>
        <w:t>organic material content</w:t>
      </w:r>
      <w:r>
        <w:rPr>
          <w:rFonts w:cstheme="minorHAnsi"/>
        </w:rPr>
        <w:t xml:space="preserve"> (</w:t>
      </w:r>
      <w:r w:rsidR="00C34796">
        <w:rPr>
          <w:rFonts w:cstheme="minorHAnsi"/>
        </w:rPr>
        <w:t xml:space="preserve">Loss on Ignition: </w:t>
      </w:r>
      <w:r>
        <w:rPr>
          <w:rFonts w:cstheme="minorHAnsi"/>
        </w:rPr>
        <w:t>LOI</w:t>
      </w:r>
      <w:proofErr w:type="gramStart"/>
      <w:r>
        <w:rPr>
          <w:rFonts w:cstheme="minorHAnsi"/>
        </w:rPr>
        <w:t xml:space="preserve">) </w:t>
      </w:r>
      <w:r w:rsidRPr="008C1627">
        <w:rPr>
          <w:rFonts w:cstheme="minorHAnsi"/>
        </w:rPr>
        <w:t>,</w:t>
      </w:r>
      <w:proofErr w:type="gramEnd"/>
      <w:r w:rsidRPr="008C1627">
        <w:rPr>
          <w:rFonts w:cstheme="minorHAnsi"/>
        </w:rPr>
        <w:t xml:space="preserve"> mineral phase</w:t>
      </w:r>
      <w:r>
        <w:rPr>
          <w:rFonts w:cstheme="minorHAnsi"/>
        </w:rPr>
        <w:t xml:space="preserve"> via Raman microscopy</w:t>
      </w:r>
      <w:r w:rsidRPr="008C1627">
        <w:rPr>
          <w:rFonts w:cstheme="minorHAnsi"/>
        </w:rPr>
        <w:t>, % crystallinity</w:t>
      </w:r>
      <w:r>
        <w:rPr>
          <w:rFonts w:cstheme="minorHAnsi"/>
        </w:rPr>
        <w:t xml:space="preserve"> via acid-oxalate extraction</w:t>
      </w:r>
      <w:r w:rsidRPr="008C1627">
        <w:rPr>
          <w:rFonts w:cstheme="minorHAnsi"/>
        </w:rPr>
        <w:t>, color</w:t>
      </w:r>
      <w:r>
        <w:rPr>
          <w:rFonts w:cstheme="minorHAnsi"/>
        </w:rPr>
        <w:t xml:space="preserve"> (</w:t>
      </w:r>
      <w:proofErr w:type="spellStart"/>
      <w:r>
        <w:rPr>
          <w:rFonts w:cstheme="minorHAnsi"/>
        </w:rPr>
        <w:t>Munsell</w:t>
      </w:r>
      <w:proofErr w:type="spellEnd"/>
      <w:r>
        <w:rPr>
          <w:rFonts w:cstheme="minorHAnsi"/>
        </w:rPr>
        <w:t xml:space="preserve">), </w:t>
      </w:r>
      <w:r w:rsidRPr="008C1627">
        <w:rPr>
          <w:rFonts w:cstheme="minorHAnsi"/>
        </w:rPr>
        <w:t>and particle morphology</w:t>
      </w:r>
      <w:r>
        <w:rPr>
          <w:rFonts w:cstheme="minorHAnsi"/>
        </w:rPr>
        <w:t xml:space="preserve"> (</w:t>
      </w:r>
      <w:r w:rsidR="00C34796">
        <w:rPr>
          <w:rFonts w:cstheme="minorHAnsi"/>
        </w:rPr>
        <w:t xml:space="preserve">Scanning Electron Microscopy: </w:t>
      </w:r>
      <w:r w:rsidR="00317F91">
        <w:rPr>
          <w:rFonts w:cstheme="minorHAnsi"/>
        </w:rPr>
        <w:t>SEM) as detailed in  Table 4</w:t>
      </w:r>
      <w:r>
        <w:rPr>
          <w:rFonts w:cstheme="minorHAnsi"/>
        </w:rPr>
        <w:t>.1</w:t>
      </w:r>
      <w:r w:rsidRPr="008C1627">
        <w:rPr>
          <w:rFonts w:cstheme="minorHAnsi"/>
        </w:rPr>
        <w:t xml:space="preserve">. </w:t>
      </w:r>
      <w:r>
        <w:rPr>
          <w:rFonts w:cstheme="minorHAnsi"/>
        </w:rPr>
        <w:t xml:space="preserve"> </w:t>
      </w:r>
      <w:r w:rsidRPr="008C1627">
        <w:rPr>
          <w:rFonts w:cstheme="minorHAnsi"/>
        </w:rPr>
        <w:t>Each composite was analyzed using a LISST laser diffractometer to determine mean particle size (µm), particle size distribution (D60/D10), and mean surface area (cm</w:t>
      </w:r>
      <w:r w:rsidRPr="008C1627">
        <w:rPr>
          <w:rFonts w:cstheme="minorHAnsi"/>
          <w:vertAlign w:val="superscript"/>
        </w:rPr>
        <w:t>2</w:t>
      </w:r>
      <w:r w:rsidRPr="008C1627">
        <w:rPr>
          <w:rFonts w:cstheme="minorHAnsi"/>
        </w:rPr>
        <w:t xml:space="preserve">).  Characterization protocols were based on </w:t>
      </w:r>
      <w:r w:rsidRPr="008C1627">
        <w:rPr>
          <w:rFonts w:cstheme="minorHAnsi"/>
        </w:rPr>
        <w:fldChar w:fldCharType="begin" w:fldLock="1"/>
      </w:r>
      <w:r>
        <w:rPr>
          <w:rFonts w:cstheme="minorHAnsi"/>
        </w:rPr>
        <w:instrText>ADDIN CSL_CITATION { "citationItems" : [ { "id" : "ITEM-1", "itemData" : { "ISBN" : "3527302743", "author" : [ { "dropping-particle" : "", "family" : "Schwertmann", "given" : "U", "non-dropping-particle" : "", "parse-names" : false, "suffix" : "" } ], "id" : "ITEM-1", "issued" : { "date-parts" : [ [ "2003" ] ] }, "title" : "Characterization", "type" : "book" }, "uris" : [ "http://www.mendeley.com/documents/?uuid=19bf6d8d-3f12-46eb-9a32-aacb7322f8c3" ] }, { "id" : "ITEM-2", "itemData" : { "DOI" : "10.1061/(ASCE)0733-9372(2007)133:8(800)", "ISSN" : "07339372", "abstract" : "Characterization of the particle population for a location in a water supply reservoir, Kensico Reservoir, N.Y., is documented for a high turbidity event, from its onset, through alum treatment and its waning. Supporting in situ measurements included the beam attenuation coefficient at 670 nm(c&lt;sub&gt;670&lt;/sub&gt;) and 660 nm(c&lt;sub&gt;660&lt;/sub&gt;) [surrogates of turbidity (T&lt;sub&gt;n&lt;/sub&gt;)], particle concentrations (N) and size distributions (PSDs), and size class specific settling velocities (SVs). Laboratory measurements included chemical and morphometric analyses of individual particles, and routine measurements of T&lt;sub&gt;n&lt;/sub&gt;. The turbidity is shown to be primarily derived from clay minerals, mostly in the size range of 1.5\u20136 \u03bcm. An initial high c&lt;sub&gt;670&lt;/sub&gt; level (40 m&lt;sup&gt;-1&lt;/sup&gt;;T&lt;sub&gt;n&lt;/sub&gt;\u223c100 NTU) decreased sevenfold in less than 1 week in response to alum treatment that largely eliminated the particle size classes responsible for the elevated turbidity. Successful SV experiments, made using a laser in situ scattering and transmissometry (LISST) instrument, for seven particle size classes in the range of 1.25\u2013129 \u03bcm yielded SV values of 0.17\u201369.4 m day&lt;sup&gt;-1&lt;/sup&gt;. Size classes larger than \u223c5 \u03bcm settled much slower than Stokes law predictions, before alum treatment, indicating that these classes existed as porous flocs or aggregates. Decreases in SVs following treatment suggest changes in floc character consistent with increased porosity. In situ measurements of c&lt;sub&gt;670&lt;/sub&gt;, N, PSDs, and SVs can contribute to the development and testing of a multiple particle size class model to simulate fate, transport, and impacts of suspended particles. [ABSTRACT FROM AUTHOR]\\nCopyright of Journal of Environmental Engineering is the property of American Society of Civil Engineers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"author" : [ { "dropping-particle" : "", "family" : "Perkins", "given" : "MaryGail", "non-dropping-particle" : "", "parse-names" : false, "suffix" : "" }, { "dropping-particle" : "", "family" : "Effler", "given" : "Steven W.", "non-dropping-particle" : "", "parse-names" : false, "suffix" : "" }, { "dropping-particle" : "", "family" : "Peng", "given" : "Feng", "non-dropping-particle" : "", "parse-names" : false, "suffix" : "" }, { "dropping-particle" : "", "family" : "Pierson", "given" : "Donald", "non-dropping-particle" : "", "parse-names" : false, "suffix" : "" }, { "dropping-particle" : "", "family" : "Smith", "given" : "David G.", "non-dropping-particle" : "", "parse-names" : false, "suffix" : "" }, { "dropping-particle" : "", "family" : "Agrawal", "given" : "Yogesh C.", "non-dropping-particle" : "", "parse-names" : false, "suffix" : "" } ], "container-title" : "Journal of Environmental Engineering", "id" : "ITEM-2", "issue" : "8", "issued" : { "date-parts" : [ [ "2007" ] ] }, "page" : "800-808", "title" : "Particle Characterization and Settling Velocities for a Water Supply Reservoir during a Turbidity Event.", "type" : "article-journal", "volume" : "133" }, "uris" : [ "http://www.mendeley.com/documents/?uuid=eec3e35e-e215-4af9-84d0-3dc2b5db4d1b" ] }, { "id" : "ITEM-3", "itemData" : { "DOI" : "10.1002/0471457817.ch9", "ISBN" : "0-471-32845-6", "abstract" : "Characterization of materials in the solid state, often loosely referred to as materials characterization, can be a vast and diverse field encompassing many techniques [1\u20133]. In the last few decades, revolutionary changes in electronic instrumentation have increased the use of highly e\u00a4ective automated instruments for obtaining analytical information on the composition, chemistry, surface, and internal structures of solids at micrometer and nanometer scales. These techniques are based on various underlying principles and cannot be put under one discipline or umbrella. Therefore, it is important first to define the scope of techniques that can be covered in one chapter. In this chapter we are concerned with the two common categories of materials characterization: microscopy and spectroscopy. Microscopy implies obtaining magnified images to study the morphology, structure, and shape of various features, including grains, phases, embedded phases, embedded particles, and so on. Spectroscopy implies investigation of chemical composition and chemistry of the solid. Within spectroscopy, bulk techniques such as infrared, Raman, and Rutherford backscattering require minimal sample preparation and are not touched upon. Emphasis is placed on the spectroscopy of the outer atomic layers where sample preparation and handling become important. Within each category, di\u00a4erent techniques may have their own restrictions, requirements, and concerns. As the analytical instruments become more sophisticated, robust, and user friendly, some stringency of sample specifications can be relaxed, but those fundamental to the analytical process remain. In this chapter, we provide a brief introduction to those sample preparation concerns that every user should be aware of. Tables 9.1 and 9.2 provide a brief summary of the analytical techniques whose sample preparation concerns are covered in this chapter.", "author" : [ { "dropping-particle" : "", "family" : "Mukhopadhyay", "given" : "Sharmila M.", "non-dropping-particle" : "", "parse-names" : false, "suffix" : "" } ], "container-title" : "Sample Preparation Techniques in Analytical Chemistry", "id" : "ITEM-3", "issued" : { "date-parts" : [ [ "2003" ] ] }, "number-of-pages" : "377-411", "title" : "Sample Preparation for Microscopic and Spectroscopic Characterization of Solid Surfaces and Films", "type" : "book" }, "uris" : [ "http://www.mendeley.com/documents/?uuid=59563355-965f-41ea-b151-2eb9e456a64a" ] } ], "mendeley" : { "formattedCitation" : "(Mukhopadhyay 2003; Schwertmann 2003; Perkins et al. 2007)", "manualFormatting" : "(Mukhopadhyay 2003; Schwertmann 2003; Perkins et al. 2007; and Tessier et al. 1979)", "plainTextFormattedCitation" : "(Mukhopadhyay 2003; Schwertmann 2003; Perkins et al. 2007)", "previouslyFormattedCitation" : "(Mukhopadhyay 2003; Schwertmann 2003; Perkins et al. 2007)" }, "properties" : { "noteIndex" : 0 }, "schema" : "https://github.com/citation-style-language/schema/raw/master/csl-citation.json" }</w:instrText>
      </w:r>
      <w:r w:rsidRPr="008C1627">
        <w:rPr>
          <w:rFonts w:cstheme="minorHAnsi"/>
        </w:rPr>
        <w:fldChar w:fldCharType="separate"/>
      </w:r>
      <w:r w:rsidRPr="008C1627">
        <w:rPr>
          <w:rFonts w:cstheme="minorHAnsi"/>
          <w:noProof/>
        </w:rPr>
        <w:t>(Mukhopadhyay 2003; Schwertmann 2003; Perkins et al. 2007</w:t>
      </w:r>
      <w:r>
        <w:rPr>
          <w:rFonts w:cstheme="minorHAnsi"/>
          <w:noProof/>
        </w:rPr>
        <w:t>; and Tessier et al. 1979</w:t>
      </w:r>
      <w:r w:rsidRPr="008C1627">
        <w:rPr>
          <w:rFonts w:cstheme="minorHAnsi"/>
          <w:noProof/>
        </w:rPr>
        <w:t>)</w:t>
      </w:r>
      <w:r w:rsidRPr="008C1627">
        <w:rPr>
          <w:rFonts w:cstheme="minorHAnsi"/>
        </w:rPr>
        <w:fldChar w:fldCharType="end"/>
      </w:r>
    </w:p>
    <w:p w14:paraId="33457E9C" w14:textId="710E96EF" w:rsidR="00DD0FD8" w:rsidRPr="00EC55A9" w:rsidRDefault="00DD0FD8" w:rsidP="00DD0FD8">
      <w:pPr>
        <w:spacing w:line="360" w:lineRule="auto"/>
        <w:jc w:val="both"/>
        <w:rPr>
          <w:rFonts w:cstheme="minorHAnsi"/>
          <w:sz w:val="20"/>
        </w:rPr>
      </w:pPr>
      <w:r w:rsidRPr="00DD0FD8">
        <w:rPr>
          <w:rFonts w:cstheme="minorHAnsi"/>
          <w:sz w:val="20"/>
        </w:rPr>
        <w:t xml:space="preserve"> </w:t>
      </w:r>
      <w:r w:rsidR="00317F91">
        <w:rPr>
          <w:rFonts w:cstheme="minorHAnsi"/>
          <w:sz w:val="20"/>
        </w:rPr>
        <w:t>Table 4</w:t>
      </w:r>
      <w:r w:rsidRPr="00EC55A9">
        <w:rPr>
          <w:rFonts w:cstheme="minorHAnsi"/>
          <w:sz w:val="20"/>
        </w:rPr>
        <w:t>.1: Summary of iron oxide characterization methodologies for characterization of core samples</w:t>
      </w:r>
    </w:p>
    <w:tbl>
      <w:tblPr>
        <w:tblW w:w="8009" w:type="dxa"/>
        <w:tblInd w:w="91" w:type="dxa"/>
        <w:tblLayout w:type="fixed"/>
        <w:tblLook w:val="04A0" w:firstRow="1" w:lastRow="0" w:firstColumn="1" w:lastColumn="0" w:noHBand="0" w:noVBand="1"/>
      </w:tblPr>
      <w:tblGrid>
        <w:gridCol w:w="1349"/>
        <w:gridCol w:w="2160"/>
        <w:gridCol w:w="2250"/>
        <w:gridCol w:w="2250"/>
      </w:tblGrid>
      <w:tr w:rsidR="00DD0FD8" w:rsidRPr="00EC55A9" w14:paraId="741F0BB3" w14:textId="77777777" w:rsidTr="00871563">
        <w:trPr>
          <w:trHeight w:val="210"/>
        </w:trPr>
        <w:tc>
          <w:tcPr>
            <w:tcW w:w="1349" w:type="dxa"/>
            <w:tcBorders>
              <w:top w:val="single" w:sz="4" w:space="0" w:color="auto"/>
              <w:bottom w:val="double" w:sz="4" w:space="0" w:color="auto"/>
            </w:tcBorders>
            <w:shd w:val="clear" w:color="auto" w:fill="auto"/>
            <w:noWrap/>
            <w:vAlign w:val="bottom"/>
            <w:hideMark/>
          </w:tcPr>
          <w:p w14:paraId="0C16E551" w14:textId="77777777" w:rsidR="00DD0FD8" w:rsidRPr="00EC55A9" w:rsidRDefault="00DD0FD8" w:rsidP="00871563">
            <w:pPr>
              <w:jc w:val="both"/>
              <w:rPr>
                <w:rFonts w:cstheme="minorHAnsi"/>
                <w:bCs/>
                <w:color w:val="000000"/>
                <w:sz w:val="20"/>
              </w:rPr>
            </w:pPr>
            <w:r w:rsidRPr="00EC55A9">
              <w:rPr>
                <w:rFonts w:cstheme="minorHAnsi"/>
                <w:bCs/>
                <w:color w:val="000000"/>
                <w:sz w:val="20"/>
              </w:rPr>
              <w:t>Test</w:t>
            </w:r>
          </w:p>
        </w:tc>
        <w:tc>
          <w:tcPr>
            <w:tcW w:w="2160" w:type="dxa"/>
            <w:tcBorders>
              <w:top w:val="single" w:sz="4" w:space="0" w:color="auto"/>
              <w:bottom w:val="double" w:sz="4" w:space="0" w:color="auto"/>
            </w:tcBorders>
            <w:shd w:val="clear" w:color="auto" w:fill="auto"/>
            <w:noWrap/>
            <w:vAlign w:val="bottom"/>
            <w:hideMark/>
          </w:tcPr>
          <w:p w14:paraId="65680234" w14:textId="77777777" w:rsidR="00DD0FD8" w:rsidRPr="00EC55A9" w:rsidRDefault="00DD0FD8" w:rsidP="00871563">
            <w:pPr>
              <w:jc w:val="both"/>
              <w:rPr>
                <w:rFonts w:cstheme="minorHAnsi"/>
                <w:bCs/>
                <w:color w:val="000000"/>
                <w:sz w:val="20"/>
              </w:rPr>
            </w:pPr>
            <w:r w:rsidRPr="00EC55A9">
              <w:rPr>
                <w:rFonts w:cstheme="minorHAnsi"/>
                <w:bCs/>
                <w:color w:val="000000"/>
                <w:sz w:val="20"/>
              </w:rPr>
              <w:t>Method</w:t>
            </w:r>
          </w:p>
        </w:tc>
        <w:tc>
          <w:tcPr>
            <w:tcW w:w="2250" w:type="dxa"/>
            <w:tcBorders>
              <w:top w:val="single" w:sz="4" w:space="0" w:color="auto"/>
              <w:bottom w:val="double" w:sz="4" w:space="0" w:color="auto"/>
            </w:tcBorders>
            <w:shd w:val="clear" w:color="auto" w:fill="auto"/>
            <w:noWrap/>
            <w:vAlign w:val="bottom"/>
            <w:hideMark/>
          </w:tcPr>
          <w:p w14:paraId="6229846B" w14:textId="77777777" w:rsidR="00DD0FD8" w:rsidRPr="00EC55A9" w:rsidRDefault="00DD0FD8" w:rsidP="00871563">
            <w:pPr>
              <w:jc w:val="both"/>
              <w:rPr>
                <w:rFonts w:cstheme="minorHAnsi"/>
                <w:bCs/>
                <w:color w:val="000000"/>
                <w:sz w:val="20"/>
              </w:rPr>
            </w:pPr>
            <w:r w:rsidRPr="00EC55A9">
              <w:rPr>
                <w:rFonts w:cstheme="minorHAnsi"/>
                <w:bCs/>
                <w:color w:val="000000"/>
                <w:sz w:val="20"/>
              </w:rPr>
              <w:t>Purpose</w:t>
            </w:r>
          </w:p>
        </w:tc>
        <w:tc>
          <w:tcPr>
            <w:tcW w:w="2250" w:type="dxa"/>
            <w:tcBorders>
              <w:top w:val="single" w:sz="4" w:space="0" w:color="auto"/>
              <w:bottom w:val="double" w:sz="4" w:space="0" w:color="auto"/>
            </w:tcBorders>
          </w:tcPr>
          <w:p w14:paraId="6DC9DC8D" w14:textId="77777777" w:rsidR="00DD0FD8" w:rsidRPr="00EC55A9" w:rsidRDefault="00DD0FD8" w:rsidP="00871563">
            <w:pPr>
              <w:jc w:val="both"/>
              <w:rPr>
                <w:rFonts w:cstheme="minorHAnsi"/>
                <w:bCs/>
                <w:color w:val="000000"/>
                <w:sz w:val="20"/>
              </w:rPr>
            </w:pPr>
            <w:r w:rsidRPr="00EC55A9">
              <w:rPr>
                <w:rFonts w:cstheme="minorHAnsi"/>
                <w:bCs/>
                <w:color w:val="000000"/>
                <w:sz w:val="20"/>
              </w:rPr>
              <w:t>Citation</w:t>
            </w:r>
          </w:p>
        </w:tc>
      </w:tr>
      <w:tr w:rsidR="00DD0FD8" w:rsidRPr="00EC55A9" w14:paraId="2B1EA419" w14:textId="77777777" w:rsidTr="00871563">
        <w:trPr>
          <w:trHeight w:val="1241"/>
        </w:trPr>
        <w:tc>
          <w:tcPr>
            <w:tcW w:w="1349" w:type="dxa"/>
            <w:tcBorders>
              <w:top w:val="single" w:sz="4" w:space="0" w:color="auto"/>
            </w:tcBorders>
            <w:shd w:val="clear" w:color="auto" w:fill="auto"/>
            <w:noWrap/>
            <w:vAlign w:val="center"/>
            <w:hideMark/>
          </w:tcPr>
          <w:p w14:paraId="6610C33E" w14:textId="77777777" w:rsidR="00DD0FD8" w:rsidRPr="00EC55A9" w:rsidRDefault="00DD0FD8" w:rsidP="00871563">
            <w:pPr>
              <w:jc w:val="both"/>
              <w:rPr>
                <w:rFonts w:cstheme="minorHAnsi"/>
                <w:color w:val="000000"/>
                <w:sz w:val="20"/>
              </w:rPr>
            </w:pPr>
            <w:r w:rsidRPr="00EC55A9">
              <w:rPr>
                <w:rFonts w:cstheme="minorHAnsi"/>
                <w:color w:val="000000"/>
                <w:sz w:val="20"/>
              </w:rPr>
              <w:t>Laser Diffraction</w:t>
            </w:r>
          </w:p>
        </w:tc>
        <w:tc>
          <w:tcPr>
            <w:tcW w:w="2160" w:type="dxa"/>
            <w:tcBorders>
              <w:top w:val="single" w:sz="4" w:space="0" w:color="auto"/>
            </w:tcBorders>
            <w:shd w:val="clear" w:color="auto" w:fill="auto"/>
            <w:vAlign w:val="center"/>
            <w:hideMark/>
          </w:tcPr>
          <w:p w14:paraId="2C1F0D0C" w14:textId="77777777" w:rsidR="00DD0FD8" w:rsidRPr="00EC55A9" w:rsidRDefault="00DD0FD8" w:rsidP="00871563">
            <w:pPr>
              <w:ind w:left="-18" w:firstLine="18"/>
              <w:rPr>
                <w:rFonts w:cstheme="minorHAnsi"/>
                <w:color w:val="000000"/>
                <w:sz w:val="20"/>
              </w:rPr>
            </w:pPr>
            <w:r w:rsidRPr="00EC55A9">
              <w:rPr>
                <w:rFonts w:cstheme="minorHAnsi"/>
                <w:color w:val="000000"/>
                <w:sz w:val="20"/>
              </w:rPr>
              <w:t xml:space="preserve">LISST: Laser Diffraction via </w:t>
            </w:r>
            <w:r w:rsidRPr="00EC55A9">
              <w:rPr>
                <w:rFonts w:cstheme="minorHAnsi"/>
                <w:sz w:val="20"/>
              </w:rPr>
              <w:t>small-angle forward laser light scattering (laser diffraction)</w:t>
            </w:r>
          </w:p>
        </w:tc>
        <w:tc>
          <w:tcPr>
            <w:tcW w:w="2250" w:type="dxa"/>
            <w:tcBorders>
              <w:top w:val="single" w:sz="4" w:space="0" w:color="auto"/>
            </w:tcBorders>
            <w:shd w:val="clear" w:color="auto" w:fill="auto"/>
            <w:vAlign w:val="center"/>
            <w:hideMark/>
          </w:tcPr>
          <w:p w14:paraId="3E4451F0" w14:textId="77777777" w:rsidR="00DD0FD8" w:rsidRPr="00EC55A9" w:rsidRDefault="00DD0FD8" w:rsidP="00871563">
            <w:pPr>
              <w:rPr>
                <w:rFonts w:cstheme="minorHAnsi"/>
                <w:color w:val="000000"/>
                <w:sz w:val="20"/>
              </w:rPr>
            </w:pPr>
            <w:r w:rsidRPr="00EC55A9">
              <w:rPr>
                <w:rFonts w:cstheme="minorHAnsi"/>
                <w:color w:val="000000"/>
                <w:sz w:val="20"/>
              </w:rPr>
              <w:t>Surface Area</w:t>
            </w:r>
          </w:p>
          <w:p w14:paraId="5E083017" w14:textId="77777777" w:rsidR="00DD0FD8" w:rsidRPr="00EC55A9" w:rsidRDefault="00DD0FD8" w:rsidP="00871563">
            <w:pPr>
              <w:rPr>
                <w:rFonts w:cstheme="minorHAnsi"/>
                <w:color w:val="000000"/>
                <w:sz w:val="20"/>
              </w:rPr>
            </w:pPr>
            <w:r w:rsidRPr="00EC55A9">
              <w:rPr>
                <w:rFonts w:cstheme="minorHAnsi"/>
                <w:color w:val="000000"/>
                <w:sz w:val="20"/>
              </w:rPr>
              <w:t>Particle Size</w:t>
            </w:r>
          </w:p>
          <w:p w14:paraId="7B29BC44" w14:textId="77777777" w:rsidR="00DD0FD8" w:rsidRPr="00EC55A9" w:rsidRDefault="00DD0FD8" w:rsidP="00871563">
            <w:pPr>
              <w:rPr>
                <w:rFonts w:cstheme="minorHAnsi"/>
                <w:color w:val="000000"/>
                <w:sz w:val="20"/>
              </w:rPr>
            </w:pPr>
            <w:r w:rsidRPr="00EC55A9">
              <w:rPr>
                <w:rFonts w:cstheme="minorHAnsi"/>
                <w:color w:val="000000"/>
                <w:sz w:val="20"/>
              </w:rPr>
              <w:t>Particle Density</w:t>
            </w:r>
          </w:p>
        </w:tc>
        <w:tc>
          <w:tcPr>
            <w:tcW w:w="2250" w:type="dxa"/>
            <w:tcBorders>
              <w:top w:val="single" w:sz="4" w:space="0" w:color="auto"/>
            </w:tcBorders>
            <w:vAlign w:val="center"/>
          </w:tcPr>
          <w:p w14:paraId="0B287BB6" w14:textId="77777777" w:rsidR="00DD0FD8" w:rsidRPr="00EC55A9" w:rsidRDefault="00DD0FD8" w:rsidP="00871563">
            <w:pPr>
              <w:rPr>
                <w:rFonts w:cstheme="minorHAnsi"/>
                <w:color w:val="000000"/>
                <w:sz w:val="20"/>
              </w:rPr>
            </w:pPr>
            <w:r w:rsidRPr="00EC55A9">
              <w:rPr>
                <w:rFonts w:cstheme="minorHAnsi"/>
                <w:color w:val="000000"/>
                <w:sz w:val="20"/>
              </w:rPr>
              <w:fldChar w:fldCharType="begin" w:fldLock="1"/>
            </w:r>
            <w:r w:rsidRPr="00EC55A9">
              <w:rPr>
                <w:rFonts w:cstheme="minorHAnsi"/>
                <w:color w:val="000000"/>
                <w:sz w:val="20"/>
              </w:rPr>
              <w:instrText>ADDIN CSL_CITATION { "citationItems" : [ { "id" : "ITEM-1", "itemData" : { "DOI" : "10.1061/(ASCE)0733-9372(2007)133:8(800)", "ISSN" : "07339372", "abstract" : "Characterization of the particle population for a location in a water supply reservoir, Kensico Reservoir, N.Y., is documented for a high turbidity event, from its onset, through alum treatment and its waning. Supporting in situ measurements included the beam attenuation coefficient at 670 nm(c&lt;sub&gt;670&lt;/sub&gt;) and 660 nm(c&lt;sub&gt;660&lt;/sub&gt;) [surrogates of turbidity (T&lt;sub&gt;n&lt;/sub&gt;)], particle concentrations (N) and size distributions (PSDs), and size class specific settling velocities (SVs). Laboratory measurements included chemical and morphometric analyses of individual particles, and routine measurements of T&lt;sub&gt;n&lt;/sub&gt;. The turbidity is shown to be primarily derived from clay minerals, mostly in the size range of 1.5\u20136 \u03bcm. An initial high c&lt;sub&gt;670&lt;/sub&gt; level (40 m&lt;sup&gt;-1&lt;/sup&gt;;T&lt;sub&gt;n&lt;/sub&gt;\u223c100 NTU) decreased sevenfold in less than 1 week in response to alum treatment that largely eliminated the particle size classes responsible for the elevated turbidity. Successful SV experiments, made using a laser in situ scattering and transmissometry (LISST) instrument, for seven particle size classes in the range of 1.25\u2013129 \u03bcm yielded SV values of 0.17\u201369.4 m day&lt;sup&gt;-1&lt;/sup&gt;. Size classes larger than \u223c5 \u03bcm settled much slower than Stokes law predictions, before alum treatment, indicating that these classes existed as porous flocs or aggregates. Decreases in SVs following treatment suggest changes in floc character consistent with increased porosity. In situ measurements of c&lt;sub&gt;670&lt;/sub&gt;, N, PSDs, and SVs can contribute to the development and testing of a multiple particle size class model to simulate fate, transport, and impacts of suspended particles. [ABSTRACT FROM AUTHOR]\\nCopyright of Journal of Environmental Engineering is the property of American Society of Civil Engineers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"author" : [ { "dropping-particle" : "", "family" : "Perkins", "given" : "MaryGail", "non-dropping-particle" : "", "parse-names" : false, "suffix" : "" }, { "dropping-particle" : "", "family" : "Effler", "given" : "Steven W.", "non-dropping-particle" : "", "parse-names" : false, "suffix" : "" }, { "dropping-particle" : "", "family" : "Peng", "given" : "Feng", "non-dropping-particle" : "", "parse-names" : false, "suffix" : "" }, { "dropping-particle" : "", "family" : "Pierson", "given" : "Donald", "non-dropping-particle" : "", "parse-names" : false, "suffix" : "" }, { "dropping-particle" : "", "family" : "Smith", "given" : "David G.", "non-dropping-particle" : "", "parse-names" : false, "suffix" : "" }, { "dropping-particle" : "", "family" : "Agrawal", "given" : "Yogesh C.", "non-dropping-particle" : "", "parse-names" : false, "suffix" : "" } ], "container-title" : "Journal of Environmental Engineering", "id" : "ITEM-1", "issue" : "8", "issued" : { "date-parts" : [ [ "2007" ] ] }, "page" : "800-808", "title" : "Particle Characterization and Settling Velocities for a Water Supply Reservoir during a Turbidity Event.", "type" : "article-journal", "volume" : "133" }, "uris" : [ "http://www.mendeley.com/documents/?uuid=eec3e35e-e215-4af9-84d0-3dc2b5db4d1b" ] } ], "mendeley" : { "formattedCitation" : "(Perkins et al. 2007)", "plainTextFormattedCitation" : "(Perkins et al. 2007)", "previouslyFormattedCitation" : "(Perkins et al. 2007)" }, "properties" : { "noteIndex" : 0 }, "schema" : "https://github.com/citation-style-language/schema/raw/master/csl-citation.json" }</w:instrText>
            </w:r>
            <w:r w:rsidRPr="00EC55A9">
              <w:rPr>
                <w:rFonts w:cstheme="minorHAnsi"/>
                <w:color w:val="000000"/>
                <w:sz w:val="20"/>
              </w:rPr>
              <w:fldChar w:fldCharType="separate"/>
            </w:r>
            <w:r w:rsidRPr="00EC55A9">
              <w:rPr>
                <w:rFonts w:cstheme="minorHAnsi"/>
                <w:noProof/>
                <w:color w:val="000000"/>
                <w:sz w:val="20"/>
              </w:rPr>
              <w:t>(Perkins et al. 2007)</w:t>
            </w:r>
            <w:r w:rsidRPr="00EC55A9">
              <w:rPr>
                <w:rFonts w:cstheme="minorHAnsi"/>
                <w:color w:val="000000"/>
                <w:sz w:val="20"/>
              </w:rPr>
              <w:fldChar w:fldCharType="end"/>
            </w:r>
            <w:r w:rsidRPr="00EC55A9">
              <w:rPr>
                <w:rFonts w:cstheme="minorHAnsi"/>
                <w:color w:val="000000"/>
                <w:sz w:val="20"/>
              </w:rPr>
              <w:t xml:space="preserve"> </w:t>
            </w:r>
            <w:r w:rsidRPr="00EC55A9">
              <w:rPr>
                <w:rFonts w:cstheme="minorHAnsi"/>
                <w:color w:val="000000"/>
                <w:sz w:val="20"/>
              </w:rPr>
              <w:fldChar w:fldCharType="begin" w:fldLock="1"/>
            </w:r>
            <w:r w:rsidRPr="00EC55A9">
              <w:rPr>
                <w:rFonts w:cstheme="minorHAnsi"/>
                <w:color w:val="000000"/>
                <w:sz w:val="20"/>
              </w:rPr>
              <w:instrText>ADDIN CSL_CITATION { "citationItems" : [ { "id" : "ITEM-1", "itemData" : { "DOI" : "10.1002/3527602097.ch4", "ISBN" : "9783527602094", "ISSN" : "2151-8378", "PMID" : "22453751", "abstract" : "This chapter contains sections titled:\\n\\n* General\\nCrystal growthCrystal morphologyCrystal size\\n* The iron oxides\\nGoethite\\nGeneralDomainic characterTwinningEffect of additivesLepidocrociteAkagan\u00e9ite and schwertmanniteFerrihydriteHematiteMagnetiteMaghemiteOther Iron Oxides", "author" : [ { "dropping-particle" : "", "family" : "Cornell", "given" : "R M", "non-dropping-particle" : "", "parse-names" : false, "suffix" : "" }, { "dropping-particle" : "", "family" : "Schwertmann", "given" : "U", "non-dropping-particle" : "", "parse-names" : false, "suffix" : "" } ], "container-title" : "The Iron Oxides", "id" : "ITEM-1", "issue" : "3", "issued" : { "date-parts" : [ [ "2003" ] ] }, "number-of-pages" : "59-94", "title" : "4 Crystal Morphology and Size", "type" : "book" }, "uris" : [ "http://www.mendeley.com/documents/?uuid=1fffd37d-e90b-42e9-8306-ec556792f20a" ] } ], "mendeley" : { "formattedCitation" : "(Cornell and Schwertmann 2003)", "plainTextFormattedCitation" : "(Cornell and Schwertmann 2003)", "previouslyFormattedCitation" : "(Cornell and Schwertmann 2003)" }, "properties" : { "noteIndex" : 0 }, "schema" : "https://github.com/citation-style-language/schema/raw/master/csl-citation.json" }</w:instrText>
            </w:r>
            <w:r w:rsidRPr="00EC55A9">
              <w:rPr>
                <w:rFonts w:cstheme="minorHAnsi"/>
                <w:color w:val="000000"/>
                <w:sz w:val="20"/>
              </w:rPr>
              <w:fldChar w:fldCharType="separate"/>
            </w:r>
            <w:r w:rsidRPr="00EC55A9">
              <w:rPr>
                <w:rFonts w:cstheme="minorHAnsi"/>
                <w:noProof/>
                <w:color w:val="000000"/>
                <w:sz w:val="20"/>
              </w:rPr>
              <w:t>(Cornell and Schwertmann 2003)</w:t>
            </w:r>
            <w:r w:rsidRPr="00EC55A9">
              <w:rPr>
                <w:rFonts w:cstheme="minorHAnsi"/>
                <w:color w:val="000000"/>
                <w:sz w:val="20"/>
              </w:rPr>
              <w:fldChar w:fldCharType="end"/>
            </w:r>
          </w:p>
        </w:tc>
      </w:tr>
      <w:tr w:rsidR="00DD0FD8" w:rsidRPr="00EC55A9" w14:paraId="03E5FB6A" w14:textId="77777777" w:rsidTr="00871563">
        <w:trPr>
          <w:trHeight w:val="1241"/>
        </w:trPr>
        <w:tc>
          <w:tcPr>
            <w:tcW w:w="1349" w:type="dxa"/>
            <w:shd w:val="clear" w:color="auto" w:fill="auto"/>
            <w:noWrap/>
            <w:vAlign w:val="center"/>
          </w:tcPr>
          <w:p w14:paraId="518A28A6" w14:textId="77777777" w:rsidR="00DD0FD8" w:rsidRPr="00EC55A9" w:rsidRDefault="00DD0FD8" w:rsidP="00871563">
            <w:pPr>
              <w:jc w:val="both"/>
              <w:rPr>
                <w:rFonts w:cstheme="minorHAnsi"/>
                <w:color w:val="000000"/>
                <w:sz w:val="20"/>
              </w:rPr>
            </w:pPr>
            <w:r w:rsidRPr="00EC55A9">
              <w:rPr>
                <w:rFonts w:cstheme="minorHAnsi"/>
                <w:color w:val="000000"/>
                <w:sz w:val="20"/>
              </w:rPr>
              <w:t>Raman Microscopy</w:t>
            </w:r>
          </w:p>
        </w:tc>
        <w:tc>
          <w:tcPr>
            <w:tcW w:w="2160" w:type="dxa"/>
            <w:shd w:val="clear" w:color="auto" w:fill="auto"/>
            <w:vAlign w:val="center"/>
          </w:tcPr>
          <w:p w14:paraId="3C4652C7" w14:textId="77777777" w:rsidR="00DD0FD8" w:rsidRPr="00EC55A9" w:rsidRDefault="00DD0FD8" w:rsidP="00871563">
            <w:pPr>
              <w:rPr>
                <w:rFonts w:cstheme="minorHAnsi"/>
                <w:color w:val="000000"/>
                <w:sz w:val="20"/>
              </w:rPr>
            </w:pPr>
            <w:proofErr w:type="spellStart"/>
            <w:r w:rsidRPr="00EC55A9">
              <w:rPr>
                <w:rFonts w:cstheme="minorHAnsi"/>
                <w:color w:val="000000"/>
                <w:sz w:val="20"/>
              </w:rPr>
              <w:t>inVia</w:t>
            </w:r>
            <w:proofErr w:type="spellEnd"/>
            <w:r w:rsidRPr="00EC55A9">
              <w:rPr>
                <w:rFonts w:cstheme="minorHAnsi"/>
                <w:color w:val="000000"/>
                <w:sz w:val="20"/>
              </w:rPr>
              <w:t xml:space="preserve"> confocal Raman Microscope (Renishaw)</w:t>
            </w:r>
          </w:p>
        </w:tc>
        <w:tc>
          <w:tcPr>
            <w:tcW w:w="2250" w:type="dxa"/>
            <w:shd w:val="clear" w:color="auto" w:fill="auto"/>
            <w:vAlign w:val="center"/>
          </w:tcPr>
          <w:p w14:paraId="70E27A66" w14:textId="77777777" w:rsidR="00DD0FD8" w:rsidRPr="00EC55A9" w:rsidRDefault="00DD0FD8" w:rsidP="00871563">
            <w:pPr>
              <w:rPr>
                <w:rFonts w:cstheme="minorHAnsi"/>
                <w:color w:val="000000"/>
                <w:sz w:val="20"/>
              </w:rPr>
            </w:pPr>
            <w:r w:rsidRPr="00EC55A9">
              <w:rPr>
                <w:rFonts w:cstheme="minorHAnsi"/>
                <w:color w:val="000000"/>
                <w:sz w:val="20"/>
              </w:rPr>
              <w:t>Mineral phase identification of amorphous iron oxides</w:t>
            </w:r>
          </w:p>
        </w:tc>
        <w:tc>
          <w:tcPr>
            <w:tcW w:w="2250" w:type="dxa"/>
            <w:vAlign w:val="center"/>
          </w:tcPr>
          <w:p w14:paraId="3B7EA0A7" w14:textId="77777777" w:rsidR="00DD0FD8" w:rsidRPr="00EC55A9" w:rsidRDefault="00DD0FD8" w:rsidP="00871563">
            <w:pPr>
              <w:rPr>
                <w:rFonts w:cstheme="minorHAnsi"/>
                <w:color w:val="000000"/>
                <w:sz w:val="20"/>
              </w:rPr>
            </w:pPr>
            <w:r w:rsidRPr="00EC55A9">
              <w:rPr>
                <w:rFonts w:cstheme="minorHAnsi"/>
                <w:color w:val="000000"/>
                <w:sz w:val="20"/>
              </w:rPr>
              <w:fldChar w:fldCharType="begin" w:fldLock="1"/>
            </w:r>
            <w:r w:rsidRPr="00EC55A9">
              <w:rPr>
                <w:rFonts w:cstheme="minorHAnsi"/>
                <w:color w:val="000000"/>
                <w:sz w:val="20"/>
              </w:rPr>
              <w:instrText>ADDIN CSL_CITATION { "citationItems" : [ { "id" : "ITEM-1", "itemData" : { "DOI" : "10.1002/0471457817.ch9", "ISBN" : "0-471-32845-6", "abstract" : "Characterization of materials in the solid state, often loosely referred to as materials characterization, can be a vast and diverse field encompassing many techniques [1\u20133]. In the last few decades, revolutionary changes in electronic instrumentation have increased the use of highly e\u00a4ective automated instruments for obtaining analytical information on the composition, chemistry, surface, and internal structures of solids at micrometer and nanometer scales. These techniques are based on various underlying principles and cannot be put under one discipline or umbrella. Therefore, it is important first to define the scope of techniques that can be covered in one chapter. In this chapter we are concerned with the two common categories of materials characterization: microscopy and spectroscopy. Microscopy implies obtaining magnified images to study the morphology, structure, and shape of various features, including grains, phases, embedded phases, embedded particles, and so on. Spectroscopy implies investigation of chemical composition and chemistry of the solid. Within spectroscopy, bulk techniques such as infrared, Raman, and Rutherford backscattering require minimal sample preparation and are not touched upon. Emphasis is placed on the spectroscopy of the outer atomic layers where sample preparation and handling become important. Within each category, di\u00a4erent techniques may have their own restrictions, requirements, and concerns. As the analytical instruments become more sophisticated, robust, and user friendly, some stringency of sample specifications can be relaxed, but those fundamental to the analytical process remain. In this chapter, we provide a brief introduction to those sample preparation concerns that every user should be aware of. Tables 9.1 and 9.2 provide a brief summary of the analytical techniques whose sample preparation concerns are covered in this chapter.", "author" : [ { "dropping-particle" : "", "family" : "Mukhopadhyay", "given" : "Sharmila M.", "non-dropping-particle" : "", "parse-names" : false, "suffix" : "" } ], "container-title" : "Sample Preparation Techniques in Analytical Chemistry", "id" : "ITEM-1", "issued" : { "date-parts" : [ [ "2003" ] ] }, "number-of-pages" : "377-411", "title" : "Sample Preparation for Microscopic and Spectroscopic Characterization of Solid Surfaces and Films", "type" : "book" }, "uris" : [ "http://www.mendeley.com/documents/?uuid=59563355-965f-41ea-b151-2eb9e456a64a" ] }, { "id" : "ITEM-2", "itemData" : { "DOI" : "10.1016/j.clay.2010.11.006", "ISBN" : "0169-1317", "ISSN" : "01691317", "abstract" : "X-ray diffraction, Raman spectroscopy, scanning electron microscopy, atomic force microscopy, and specific surface area analyses demonstrate that goethite was stable at high temperatures (100. ??C) over a wide range in pH (2 to 13). Over the course of 18 h of aging at 100. ??C, the crystal morphology and aspect ratio (length/height) of goethite decreased with respect to fresh goethite. Further, the specific surface area also decreased over the course of the experiment, showing approximately 50% reduction at pH 2, 10, and 13. These changes in morphology with aging could influence the adsorption of contaminants in natural settings. ?? 2010 Elsevier B.V.", "author" : [ { "dropping-particle" : "", "family" : "Das", "given" : "Soumya", "non-dropping-particle" : "", "parse-names" : false, "suffix" : "" }, { "dropping-particle" : "", "family" : "Hendry", "given" : "M. Jim", "non-dropping-particle" : "", "parse-names" : false, "suffix" : "" } ], "container-title" : "Applied Clay Science", "id" : "ITEM-2", "issue" : "1-2", "issued" : { "date-parts" : [ [ "2011" ] ] }, "page" : "192-197", "publisher" : "Elsevier B.V.", "title" : "Changes of crystal morphology of aged goethite over a range of pH (2-13) at 100??C", "type" : "article-journal", "volume" : "51" }, "uris" : [ "http://www.mendeley.com/documents/?uuid=a8775ffc-08e6-4187-8604-023b542b521a" ] } ], "mendeley" : { "formattedCitation" : "(Mukhopadhyay 2003; Das and Hendry 2011a)", "plainTextFormattedCitation" : "(Mukhopadhyay 2003; Das and Hendry 2011a)", "previouslyFormattedCitation" : "(Mukhopadhyay 2003; Das and Hendry 2011a)" }, "properties" : { "noteIndex" : 0 }, "schema" : "https://github.com/citation-style-language/schema/raw/master/csl-citation.json" }</w:instrText>
            </w:r>
            <w:r w:rsidRPr="00EC55A9">
              <w:rPr>
                <w:rFonts w:cstheme="minorHAnsi"/>
                <w:color w:val="000000"/>
                <w:sz w:val="20"/>
              </w:rPr>
              <w:fldChar w:fldCharType="separate"/>
            </w:r>
            <w:r w:rsidRPr="00EC55A9">
              <w:rPr>
                <w:rFonts w:cstheme="minorHAnsi"/>
                <w:noProof/>
                <w:color w:val="000000"/>
                <w:sz w:val="20"/>
              </w:rPr>
              <w:t>(Mukhopadhyay 2003; Das and Hendry 2011a)</w:t>
            </w:r>
            <w:r w:rsidRPr="00EC55A9">
              <w:rPr>
                <w:rFonts w:cstheme="minorHAnsi"/>
                <w:color w:val="000000"/>
                <w:sz w:val="20"/>
              </w:rPr>
              <w:fldChar w:fldCharType="end"/>
            </w:r>
          </w:p>
        </w:tc>
      </w:tr>
      <w:tr w:rsidR="00DD0FD8" w:rsidRPr="00EC55A9" w14:paraId="00DC1FB9" w14:textId="77777777" w:rsidTr="00871563">
        <w:trPr>
          <w:trHeight w:val="773"/>
        </w:trPr>
        <w:tc>
          <w:tcPr>
            <w:tcW w:w="1349" w:type="dxa"/>
            <w:shd w:val="clear" w:color="auto" w:fill="auto"/>
            <w:noWrap/>
            <w:vAlign w:val="center"/>
            <w:hideMark/>
          </w:tcPr>
          <w:p w14:paraId="28EAD5B2" w14:textId="77777777" w:rsidR="00DD0FD8" w:rsidRPr="00EC55A9" w:rsidRDefault="00DD0FD8" w:rsidP="00871563">
            <w:pPr>
              <w:jc w:val="both"/>
              <w:rPr>
                <w:rFonts w:cstheme="minorHAnsi"/>
                <w:color w:val="000000"/>
                <w:sz w:val="20"/>
              </w:rPr>
            </w:pPr>
            <w:r w:rsidRPr="00EC55A9">
              <w:rPr>
                <w:rFonts w:cstheme="minorHAnsi"/>
                <w:color w:val="000000"/>
                <w:sz w:val="20"/>
              </w:rPr>
              <w:t>Particle size and morphology</w:t>
            </w:r>
          </w:p>
        </w:tc>
        <w:tc>
          <w:tcPr>
            <w:tcW w:w="2160" w:type="dxa"/>
            <w:shd w:val="clear" w:color="auto" w:fill="auto"/>
            <w:vAlign w:val="center"/>
            <w:hideMark/>
          </w:tcPr>
          <w:p w14:paraId="5414CC61" w14:textId="77777777" w:rsidR="00DD0FD8" w:rsidRPr="00EC55A9" w:rsidRDefault="00DD0FD8" w:rsidP="00871563">
            <w:pPr>
              <w:rPr>
                <w:rFonts w:cstheme="minorHAnsi"/>
                <w:color w:val="000000"/>
                <w:sz w:val="20"/>
              </w:rPr>
            </w:pPr>
            <w:r w:rsidRPr="00EC55A9">
              <w:rPr>
                <w:rFonts w:cstheme="minorHAnsi"/>
                <w:color w:val="000000"/>
                <w:sz w:val="20"/>
              </w:rPr>
              <w:t xml:space="preserve">SEM microscopy via </w:t>
            </w:r>
            <w:proofErr w:type="spellStart"/>
            <w:r w:rsidRPr="00EC55A9">
              <w:rPr>
                <w:rFonts w:cstheme="minorHAnsi"/>
                <w:color w:val="000000"/>
                <w:sz w:val="20"/>
              </w:rPr>
              <w:t>AuPd</w:t>
            </w:r>
            <w:proofErr w:type="spellEnd"/>
            <w:r w:rsidRPr="00EC55A9">
              <w:rPr>
                <w:rFonts w:cstheme="minorHAnsi"/>
                <w:color w:val="000000"/>
                <w:sz w:val="20"/>
              </w:rPr>
              <w:t xml:space="preserve"> sputter coating</w:t>
            </w:r>
          </w:p>
        </w:tc>
        <w:tc>
          <w:tcPr>
            <w:tcW w:w="2250" w:type="dxa"/>
            <w:shd w:val="clear" w:color="auto" w:fill="auto"/>
            <w:vAlign w:val="center"/>
            <w:hideMark/>
          </w:tcPr>
          <w:p w14:paraId="3CF1805A" w14:textId="77777777" w:rsidR="00DD0FD8" w:rsidRPr="00EC55A9" w:rsidRDefault="00DD0FD8" w:rsidP="00871563">
            <w:pPr>
              <w:rPr>
                <w:rFonts w:cstheme="minorHAnsi"/>
                <w:color w:val="000000"/>
                <w:sz w:val="20"/>
              </w:rPr>
            </w:pPr>
            <w:r w:rsidRPr="00EC55A9">
              <w:rPr>
                <w:rFonts w:cstheme="minorHAnsi"/>
                <w:color w:val="000000"/>
                <w:sz w:val="20"/>
              </w:rPr>
              <w:t>Siz</w:t>
            </w:r>
            <w:r>
              <w:rPr>
                <w:rFonts w:cstheme="minorHAnsi"/>
                <w:color w:val="000000"/>
                <w:sz w:val="20"/>
              </w:rPr>
              <w:t>e and particle shapes to support mineral phase data</w:t>
            </w:r>
          </w:p>
        </w:tc>
        <w:tc>
          <w:tcPr>
            <w:tcW w:w="2250" w:type="dxa"/>
            <w:vAlign w:val="center"/>
          </w:tcPr>
          <w:p w14:paraId="17D5D1BE" w14:textId="77777777" w:rsidR="00DD0FD8" w:rsidRPr="00EC55A9" w:rsidRDefault="00DD0FD8" w:rsidP="00871563">
            <w:pPr>
              <w:rPr>
                <w:rFonts w:cstheme="minorHAnsi"/>
                <w:color w:val="000000"/>
                <w:sz w:val="20"/>
              </w:rPr>
            </w:pPr>
            <w:r>
              <w:rPr>
                <w:rFonts w:cstheme="minorHAnsi"/>
                <w:color w:val="000000"/>
                <w:sz w:val="20"/>
              </w:rPr>
              <w:t>(Neely 2010)</w:t>
            </w:r>
          </w:p>
        </w:tc>
      </w:tr>
      <w:tr w:rsidR="00DD0FD8" w:rsidRPr="00EC55A9" w14:paraId="393B2FE4" w14:textId="77777777" w:rsidTr="00871563">
        <w:trPr>
          <w:trHeight w:val="692"/>
        </w:trPr>
        <w:tc>
          <w:tcPr>
            <w:tcW w:w="1349" w:type="dxa"/>
            <w:shd w:val="clear" w:color="auto" w:fill="auto"/>
            <w:noWrap/>
            <w:vAlign w:val="center"/>
            <w:hideMark/>
          </w:tcPr>
          <w:p w14:paraId="17B9AA71" w14:textId="77777777" w:rsidR="00DD0FD8" w:rsidRPr="00EC55A9" w:rsidRDefault="00DD0FD8" w:rsidP="00871563">
            <w:pPr>
              <w:jc w:val="both"/>
              <w:rPr>
                <w:rFonts w:cstheme="minorHAnsi"/>
                <w:color w:val="000000"/>
                <w:sz w:val="20"/>
              </w:rPr>
            </w:pPr>
            <w:r w:rsidRPr="00EC55A9">
              <w:rPr>
                <w:rFonts w:cstheme="minorHAnsi"/>
                <w:color w:val="000000"/>
                <w:sz w:val="20"/>
              </w:rPr>
              <w:t>Color Classification</w:t>
            </w:r>
          </w:p>
        </w:tc>
        <w:tc>
          <w:tcPr>
            <w:tcW w:w="2160" w:type="dxa"/>
            <w:shd w:val="clear" w:color="auto" w:fill="auto"/>
            <w:vAlign w:val="center"/>
            <w:hideMark/>
          </w:tcPr>
          <w:p w14:paraId="48CC674D" w14:textId="77777777" w:rsidR="00DD0FD8" w:rsidRPr="00EC55A9" w:rsidRDefault="00DD0FD8" w:rsidP="00871563">
            <w:pPr>
              <w:rPr>
                <w:rFonts w:cstheme="minorHAnsi"/>
                <w:color w:val="000000"/>
                <w:sz w:val="20"/>
              </w:rPr>
            </w:pPr>
            <w:r w:rsidRPr="00EC55A9">
              <w:rPr>
                <w:rFonts w:cstheme="minorHAnsi"/>
                <w:color w:val="000000"/>
                <w:sz w:val="20"/>
              </w:rPr>
              <w:t xml:space="preserve">Powders, </w:t>
            </w:r>
            <w:proofErr w:type="spellStart"/>
            <w:r w:rsidRPr="00EC55A9">
              <w:rPr>
                <w:rFonts w:cstheme="minorHAnsi"/>
                <w:color w:val="000000"/>
                <w:sz w:val="20"/>
              </w:rPr>
              <w:t>Munsell</w:t>
            </w:r>
            <w:proofErr w:type="spellEnd"/>
            <w:r w:rsidRPr="00EC55A9">
              <w:rPr>
                <w:rFonts w:cstheme="minorHAnsi"/>
                <w:color w:val="000000"/>
                <w:sz w:val="20"/>
              </w:rPr>
              <w:t xml:space="preserve"> Color Scale</w:t>
            </w:r>
          </w:p>
        </w:tc>
        <w:tc>
          <w:tcPr>
            <w:tcW w:w="2250" w:type="dxa"/>
            <w:shd w:val="clear" w:color="auto" w:fill="auto"/>
            <w:vAlign w:val="center"/>
            <w:hideMark/>
          </w:tcPr>
          <w:p w14:paraId="64A3C76E" w14:textId="77777777" w:rsidR="00DD0FD8" w:rsidRPr="00EC55A9" w:rsidRDefault="00DD0FD8" w:rsidP="00871563">
            <w:pPr>
              <w:rPr>
                <w:rFonts w:cstheme="minorHAnsi"/>
                <w:color w:val="000000"/>
                <w:sz w:val="20"/>
              </w:rPr>
            </w:pPr>
            <w:r w:rsidRPr="00EC55A9">
              <w:rPr>
                <w:rFonts w:cstheme="minorHAnsi"/>
                <w:color w:val="000000"/>
                <w:sz w:val="20"/>
              </w:rPr>
              <w:t xml:space="preserve">Dry bulk powder value, hue, </w:t>
            </w:r>
            <w:proofErr w:type="spellStart"/>
            <w:r w:rsidRPr="00EC55A9">
              <w:rPr>
                <w:rFonts w:cstheme="minorHAnsi"/>
                <w:color w:val="000000"/>
                <w:sz w:val="20"/>
              </w:rPr>
              <w:t>chroma</w:t>
            </w:r>
            <w:proofErr w:type="spellEnd"/>
          </w:p>
        </w:tc>
        <w:tc>
          <w:tcPr>
            <w:tcW w:w="2250" w:type="dxa"/>
            <w:vAlign w:val="center"/>
          </w:tcPr>
          <w:p w14:paraId="7A26B002" w14:textId="77777777" w:rsidR="00DD0FD8" w:rsidRPr="00EC55A9" w:rsidRDefault="00DD0FD8" w:rsidP="00871563">
            <w:pPr>
              <w:rPr>
                <w:rFonts w:cstheme="minorHAnsi"/>
                <w:color w:val="000000"/>
                <w:sz w:val="20"/>
              </w:rPr>
            </w:pPr>
            <w:r w:rsidRPr="00EC55A9">
              <w:rPr>
                <w:rFonts w:cstheme="minorHAnsi"/>
                <w:color w:val="000000"/>
                <w:sz w:val="20"/>
              </w:rPr>
              <w:fldChar w:fldCharType="begin" w:fldLock="1"/>
            </w:r>
            <w:r w:rsidRPr="00EC55A9">
              <w:rPr>
                <w:rFonts w:cstheme="minorHAnsi"/>
                <w:color w:val="000000"/>
                <w:sz w:val="20"/>
              </w:rPr>
              <w:instrText>ADDIN CSL_CITATION { "citationItems" : [ { "id" : "ITEM-1", "itemData" : { "DOI" : "10.1002/3527602097.ch4", "ISBN" : "9783527602094", "ISSN" : "2151-8378", "PMID" : "22453751", "abstract" : "This chapter contains sections titled:\\n\\n* General\\nCrystal growthCrystal morphologyCrystal size\\n* The iron oxides\\nGoethite\\nGeneralDomainic characterTwinningEffect of additivesLepidocrociteAkagan\u00e9ite and schwertmanniteFerrihydriteHematiteMagnetiteMaghemiteOther Iron Oxides", "author" : [ { "dropping-particle" : "", "family" : "Cornell", "given" : "R M", "non-dropping-particle" : "", "parse-names" : false, "suffix" : "" }, { "dropping-particle" : "", "family" : "Schwertmann", "given" : "U", "non-dropping-particle" : "", "parse-names" : false, "suffix" : "" } ], "container-title" : "The Iron Oxides", "id" : "ITEM-1", "issue" : "3", "issued" : { "date-parts" : [ [ "2003" ] ] }, "number-of-pages" : "59-94", "title" : "4 Crystal Morphology and Size", "type" : "book" }, "uris" : [ "http://www.mendeley.com/documents/?uuid=1fffd37d-e90b-42e9-8306-ec556792f20a" ] } ], "mendeley" : { "formattedCitation" : "(Cornell and Schwertmann 2003)", "plainTextFormattedCitation" : "(Cornell and Schwertmann 2003)", "previouslyFormattedCitation" : "(Cornell and Schwertmann 2003)" }, "properties" : { "noteIndex" : 0 }, "schema" : "https://github.com/citation-style-language/schema/raw/master/csl-citation.json" }</w:instrText>
            </w:r>
            <w:r w:rsidRPr="00EC55A9">
              <w:rPr>
                <w:rFonts w:cstheme="minorHAnsi"/>
                <w:color w:val="000000"/>
                <w:sz w:val="20"/>
              </w:rPr>
              <w:fldChar w:fldCharType="separate"/>
            </w:r>
            <w:r w:rsidRPr="00EC55A9">
              <w:rPr>
                <w:rFonts w:cstheme="minorHAnsi"/>
                <w:noProof/>
                <w:color w:val="000000"/>
                <w:sz w:val="20"/>
              </w:rPr>
              <w:t>(Cornell and Schwertmann 2003)</w:t>
            </w:r>
            <w:r w:rsidRPr="00EC55A9">
              <w:rPr>
                <w:rFonts w:cstheme="minorHAnsi"/>
                <w:color w:val="000000"/>
                <w:sz w:val="20"/>
              </w:rPr>
              <w:fldChar w:fldCharType="end"/>
            </w:r>
          </w:p>
        </w:tc>
      </w:tr>
      <w:tr w:rsidR="00DD0FD8" w:rsidRPr="00EC55A9" w14:paraId="02D582FE" w14:textId="77777777" w:rsidTr="00871563">
        <w:trPr>
          <w:trHeight w:val="629"/>
        </w:trPr>
        <w:tc>
          <w:tcPr>
            <w:tcW w:w="1349" w:type="dxa"/>
            <w:shd w:val="clear" w:color="auto" w:fill="auto"/>
            <w:noWrap/>
            <w:vAlign w:val="center"/>
            <w:hideMark/>
          </w:tcPr>
          <w:p w14:paraId="2EA91EB6" w14:textId="77777777" w:rsidR="00DD0FD8" w:rsidRPr="00EC55A9" w:rsidRDefault="00DD0FD8" w:rsidP="00871563">
            <w:pPr>
              <w:jc w:val="both"/>
              <w:rPr>
                <w:rFonts w:cstheme="minorHAnsi"/>
                <w:color w:val="000000"/>
                <w:sz w:val="20"/>
              </w:rPr>
            </w:pPr>
            <w:r>
              <w:rPr>
                <w:rFonts w:cstheme="minorHAnsi"/>
                <w:color w:val="000000"/>
                <w:sz w:val="20"/>
              </w:rPr>
              <w:t>%</w:t>
            </w:r>
            <w:r w:rsidRPr="00EC55A9">
              <w:rPr>
                <w:rFonts w:cstheme="minorHAnsi"/>
                <w:color w:val="000000"/>
                <w:sz w:val="20"/>
              </w:rPr>
              <w:t>Organic Matter Content</w:t>
            </w:r>
          </w:p>
        </w:tc>
        <w:tc>
          <w:tcPr>
            <w:tcW w:w="2160" w:type="dxa"/>
            <w:shd w:val="clear" w:color="auto" w:fill="auto"/>
            <w:vAlign w:val="center"/>
            <w:hideMark/>
          </w:tcPr>
          <w:p w14:paraId="290C00A3" w14:textId="77777777" w:rsidR="00DD0FD8" w:rsidRPr="00EC55A9" w:rsidRDefault="00DD0FD8" w:rsidP="00871563">
            <w:pPr>
              <w:rPr>
                <w:rFonts w:cstheme="minorHAnsi"/>
                <w:color w:val="000000"/>
                <w:sz w:val="20"/>
              </w:rPr>
            </w:pPr>
            <w:r w:rsidRPr="00EC55A9">
              <w:rPr>
                <w:rFonts w:cstheme="minorHAnsi"/>
                <w:color w:val="000000"/>
                <w:sz w:val="20"/>
              </w:rPr>
              <w:t>Gravimetric analysis (relative weight loss on ignition at 375</w:t>
            </w:r>
            <w:r w:rsidRPr="00EC55A9">
              <w:rPr>
                <w:rFonts w:cstheme="minorHAnsi"/>
                <w:color w:val="000000"/>
                <w:sz w:val="20"/>
                <w:vertAlign w:val="superscript"/>
              </w:rPr>
              <w:t>o</w:t>
            </w:r>
            <w:r w:rsidRPr="00EC55A9">
              <w:rPr>
                <w:rFonts w:cstheme="minorHAnsi"/>
                <w:color w:val="000000"/>
                <w:sz w:val="20"/>
              </w:rPr>
              <w:t>C (LOI)</w:t>
            </w:r>
          </w:p>
        </w:tc>
        <w:tc>
          <w:tcPr>
            <w:tcW w:w="2250" w:type="dxa"/>
            <w:shd w:val="clear" w:color="auto" w:fill="auto"/>
            <w:vAlign w:val="center"/>
            <w:hideMark/>
          </w:tcPr>
          <w:p w14:paraId="4C8142DC" w14:textId="77777777" w:rsidR="00DD0FD8" w:rsidRPr="00EC55A9" w:rsidRDefault="00DD0FD8" w:rsidP="00871563">
            <w:pPr>
              <w:rPr>
                <w:rFonts w:cstheme="minorHAnsi"/>
                <w:color w:val="000000"/>
                <w:sz w:val="20"/>
              </w:rPr>
            </w:pPr>
            <w:r w:rsidRPr="00EC55A9">
              <w:rPr>
                <w:rFonts w:cstheme="minorHAnsi"/>
                <w:color w:val="000000"/>
                <w:sz w:val="20"/>
              </w:rPr>
              <w:t>% Composition of organic material</w:t>
            </w:r>
          </w:p>
        </w:tc>
        <w:tc>
          <w:tcPr>
            <w:tcW w:w="2250" w:type="dxa"/>
            <w:vAlign w:val="center"/>
          </w:tcPr>
          <w:p w14:paraId="15EEBD01" w14:textId="77777777" w:rsidR="00DD0FD8" w:rsidRPr="00EC55A9" w:rsidRDefault="00DD0FD8" w:rsidP="00871563">
            <w:pPr>
              <w:rPr>
                <w:rFonts w:cstheme="minorHAnsi"/>
                <w:color w:val="000000"/>
                <w:sz w:val="20"/>
              </w:rPr>
            </w:pPr>
            <w:r w:rsidRPr="00EC55A9">
              <w:rPr>
                <w:rFonts w:cstheme="minorHAnsi"/>
                <w:color w:val="000000"/>
                <w:sz w:val="20"/>
              </w:rPr>
              <w:fldChar w:fldCharType="begin" w:fldLock="1"/>
            </w:r>
            <w:r w:rsidRPr="00EC55A9">
              <w:rPr>
                <w:rFonts w:cstheme="minorHAnsi"/>
                <w:color w:val="000000"/>
                <w:sz w:val="20"/>
              </w:rPr>
              <w:instrText>ADDIN CSL_CITATION { "citationItems" : [ { "id" : "ITEM-1", "itemData" : { "DOI" : "10.1021/ac50043a017", "ISBN" : "0003-2700", "ISSN" : "0003-2700", "PMID" : "11699632", "abstract" : "An analyticai procedure involving Sequential chemical ex- tractions has been developed for the partitioning of Particulate trace metals (Cd, Co, Cu, Ni, Pb, Zn, Fe, and Mn) into five fractions: exchangeable, bound to carbonates, bound to Fe-Mn oxides, bound to organic matter, and residual. Ex- perimental results obtained on replicate samples of fluvial bottom sediments demonstrate that the relative standard deviation of the Sequential extraction procedure is generally better than A10 %. The accuracy, evaluated by comparing total trace metal concentrations with the sum of the five individual fractions, proved to be satisfactory. Complementary measurements were performed on the individual leachates, and on the residual sediments foilowing each extraction, to evaluate the selectivity of the various reagents toward specific geochemical phases. An application of the proposed method lo river sediments is described, and the resulting trace metal speciation is discussed.", "author" : [ { "dropping-particle" : "", "family" : "Tessier", "given" : "a", "non-dropping-particle" : "", "parse-names" : false, "suffix" : "" }, { "dropping-particle" : "", "family" : "Campbell", "given" : "P G C", "non-dropping-particle" : "", "parse-names" : false, "suffix" : "" }, { "dropping-particle" : "", "family" : "Bisson", "given" : "M", "non-dropping-particle" : "", "parse-names" : false, "suffix" : "" } ], "container-title" : "Analytical Chemistry", "id" : "ITEM-1", "issue" : "7", "issued" : { "date-parts" : [ [ "1979" ] ] }, "page" : "844-851", "title" : "Sequential Extraction Procedure for the Speciation of Particulate Trace Metals", "type" : "article-journal", "volume" : "51" }, "uris" : [ "http://www.mendeley.com/documents/?uuid=f8203bc0-f52a-480a-9b65-c93881d247ef" ] }, { "id" : "ITEM-2", "itemData" : { "DOI" : "10.1016/S1002-0160(11)60149-5", "ISBN" : "1002-0160", "ISSN" : "10020160", "abstract" : "Wet oxidation procedure, i.e., Walkley-Black (WB) method, is a routine, relatively accurate, and popular method for the determination of soil organic matter (SOM) but it is time-consuming, costly and also has a high potential to cause environmental pollution because of disposal of chromium and strong acids used in this analysis. Therefore, loss-on-ignition (LOI) procedure, a simple and cheap method for SOM estimation, which also avoids chromic acid wastes, deserves more attention. The aims of this research were to study the statistical relationships between SOM determined with the LOI (SOMLOI) and WB (SOMWB) methods to compare the spatial variability of SOM in two major plains, Shahrekord and Koohrang plains, of Chaharmahal-va-Bakhtiari Province, Iran. Fifty surface soil samples (0-25 cm) were randomly collected in each plain to determine SOM using the WB method and the LOI procedure at 300, 360, 400, 500 and 550 ??C for 2 h. The samples covered wide ranges of soil texture and calcium carbonate equivalent (CCE). The general linear form of the regression equation was calculated to estimate SOMLOI from SOM obtained by the WB method for both overall samples and individual plains. Forty soil samples were also randomly selected to compare the SOM and CCE before and after ignition at each temperature. Overall accuracy of the continuous maps generated for the LOI and WB methods was considered to determine the accordance of two procedures. Results showed a significant positive linear relationship between SOMLOI and SOMWB. Coefficients of determination (R2) of the equations for individual plains were higher than that of the overall equation. Coefficients of determination and line slopes decreased and root mean square error (RMSE) increased with increasing ignition temperature, which may be due to the mineral structural water loss and destruction of carbonates at higher temperatures. A temperature around 360 ??C was identified as optimum as it burnt most organic carbon, destroyed less inorganic carbon, caused less clay structural water loss, and used less electrical energy. Although the trends of SOM in the kriged maps by the two procedures accorded well, low overall accuracy was observed for the maps obtained by the two methods. While not suitable for determination where high accuracy is required, determination of organic carbon through LOI is likely suitable for exploratory soil surveys where rough estimation of organic matter is required. ?? 2011 Soil Science \u2026", "author" : [ { "dropping-particle" : "", "family" : "Salehi", "given" : "M. H.", "non-dropping-particle" : "", "parse-names" : false, "suffix" : "" }, { "dropping-particle" : "", "family" : "Beni", "given" : "O. Hashemi", "non-dropping-particle" : "", "parse-names" : false, "suffix" : "" }, { "dropping-particle" : "", "family" : "Harchegani", "given" : "H. Beigi", "non-dropping-particle" : "", "parse-names" : false, "suffix" : "" }, { "dropping-particle" : "", "family" : "Borujeni", "given" : "I. Esfandiarpour", "non-dropping-particle" : "", "parse-names" : false, "suffix" : "" }, { "dropping-particle" : "", "family" : "Motaghian", "given" : "H. R.", "non-dropping-particle" : "", "parse-names" : false, "suffix" : "" } ], "container-title" : "Pedosphere", "id" : "ITEM-2", "issue" : "4", "issued" : { "date-parts" : [ [ "2011" ] ] }, "page" : "473-482", "publisher" : "Soil Science Society of China", "title" : "Refining Soil Organic Matter Determination by Loss-on-Ignition", "type" : "article-journal", "volume" : "21" }, "uris" : [ "http://www.mendeley.com/documents/?uuid=d7047682-2977-4e59-8900-b0f3a6a2e692" ] }, { "id" : "ITEM-3", "itemData" : { "DOI" : "10.1007/BF00634106", "ISBN" : "0178-2762", "ISSN" : "0178-2762", "abstract" : "Loss-on-ignition (LOI) and the organic C con- tent have been used to estimate soil organic matter. Or- ganic matter is often estimated from organic C by apply- ing a factor of 1.724. Several authors have examined the relationship between LOI, used as an estimate of organic matter, and C by simple linear regressions. In the present study, this approach was examined in relation to two sets of data. LOI overestimates organic matter in soils with significant proportions of clay minerals because of bound water, and correcting for bound water gives some LOI : C ratios of less than 1. It is concluded that differ- ences in the nature of the organic matter in different soils and horizons make the simple regression approach un- suitable. More attention needs to be paid to studies of the nature of the organic matter.", "author" : [ { "dropping-particle" : "", "family" : "Howard", "given" : "Pja", "non-dropping-particle" : "", "parse-names" : false, "suffix" : "" }, { "dropping-particle" : "", "family" : "Howard", "given" : "Dm", "non-dropping-particle" : "", "parse-names" : false, "suffix" : "" } ], "container-title" : "Biology and Fertility of Soils", "id" : "ITEM-3", "issued" : { "date-parts" : [ [ "1990" ] ] }, "page" : "306-310", "title" : "Use of organic carbon and loss-on-ignition to estimate soil organic matter in different soil types and horizons", "type" : "article-journal", "volume" : "9" }, "uris" : [ "http://www.mendeley.com/documents/?uuid=6f9731d2-36fd-4dff-873a-7963f25f941d" ] } ], "mendeley" : { "formattedCitation" : "(Tessier et al. 1979; Howard and Howard 1990; Salehi et al. 2011)", "plainTextFormattedCitation" : "(Tessier et al. 1979; Howard and Howard 1990; Salehi et al. 2011)", "previouslyFormattedCitation" : "(Tessier et al. 1979; Howard and Howard 1990; Salehi et al. 2011)" }, "properties" : { "noteIndex" : 0 }, "schema" : "https://github.com/citation-style-language/schema/raw/master/csl-citation.json" }</w:instrText>
            </w:r>
            <w:r w:rsidRPr="00EC55A9">
              <w:rPr>
                <w:rFonts w:cstheme="minorHAnsi"/>
                <w:color w:val="000000"/>
                <w:sz w:val="20"/>
              </w:rPr>
              <w:fldChar w:fldCharType="separate"/>
            </w:r>
            <w:r w:rsidRPr="00EC55A9">
              <w:rPr>
                <w:rFonts w:cstheme="minorHAnsi"/>
                <w:noProof/>
                <w:color w:val="000000"/>
                <w:sz w:val="20"/>
              </w:rPr>
              <w:t>(Tessier et al. 1979; Howard and Howard 1990; Salehi et al. 2011)</w:t>
            </w:r>
            <w:r w:rsidRPr="00EC55A9">
              <w:rPr>
                <w:rFonts w:cstheme="minorHAnsi"/>
                <w:color w:val="000000"/>
                <w:sz w:val="20"/>
              </w:rPr>
              <w:fldChar w:fldCharType="end"/>
            </w:r>
          </w:p>
        </w:tc>
      </w:tr>
      <w:tr w:rsidR="00DD0FD8" w:rsidRPr="00EC55A9" w14:paraId="1D7B7C4C" w14:textId="77777777" w:rsidTr="00871563">
        <w:trPr>
          <w:trHeight w:val="530"/>
        </w:trPr>
        <w:tc>
          <w:tcPr>
            <w:tcW w:w="1349" w:type="dxa"/>
            <w:tcBorders>
              <w:bottom w:val="single" w:sz="4" w:space="0" w:color="auto"/>
            </w:tcBorders>
            <w:shd w:val="clear" w:color="auto" w:fill="auto"/>
            <w:noWrap/>
            <w:vAlign w:val="center"/>
            <w:hideMark/>
          </w:tcPr>
          <w:p w14:paraId="540F0385" w14:textId="77777777" w:rsidR="00DD0FD8" w:rsidRPr="00EC55A9" w:rsidRDefault="00DD0FD8" w:rsidP="00871563">
            <w:pPr>
              <w:jc w:val="both"/>
              <w:rPr>
                <w:rFonts w:cstheme="minorHAnsi"/>
                <w:color w:val="000000"/>
                <w:sz w:val="20"/>
              </w:rPr>
            </w:pPr>
            <w:r w:rsidRPr="00EC55A9">
              <w:rPr>
                <w:rFonts w:cstheme="minorHAnsi"/>
                <w:color w:val="000000"/>
                <w:sz w:val="20"/>
              </w:rPr>
              <w:t>% Crystallinity</w:t>
            </w:r>
          </w:p>
        </w:tc>
        <w:tc>
          <w:tcPr>
            <w:tcW w:w="2160" w:type="dxa"/>
            <w:tcBorders>
              <w:bottom w:val="single" w:sz="4" w:space="0" w:color="auto"/>
            </w:tcBorders>
            <w:shd w:val="clear" w:color="auto" w:fill="auto"/>
            <w:vAlign w:val="center"/>
            <w:hideMark/>
          </w:tcPr>
          <w:p w14:paraId="5F06D677" w14:textId="77777777" w:rsidR="00DD0FD8" w:rsidRPr="00EC55A9" w:rsidRDefault="00DD0FD8" w:rsidP="00871563">
            <w:pPr>
              <w:rPr>
                <w:rFonts w:cstheme="minorHAnsi"/>
                <w:color w:val="000000"/>
                <w:sz w:val="20"/>
              </w:rPr>
            </w:pPr>
            <w:r w:rsidRPr="00EC55A9">
              <w:rPr>
                <w:rFonts w:cstheme="minorHAnsi"/>
                <w:color w:val="000000"/>
                <w:sz w:val="20"/>
              </w:rPr>
              <w:t>Acid Oxalate Extractions (AOE)</w:t>
            </w:r>
          </w:p>
        </w:tc>
        <w:tc>
          <w:tcPr>
            <w:tcW w:w="2250" w:type="dxa"/>
            <w:tcBorders>
              <w:bottom w:val="single" w:sz="4" w:space="0" w:color="auto"/>
            </w:tcBorders>
            <w:shd w:val="clear" w:color="auto" w:fill="auto"/>
            <w:vAlign w:val="center"/>
            <w:hideMark/>
          </w:tcPr>
          <w:p w14:paraId="245E7936" w14:textId="77777777" w:rsidR="00DD0FD8" w:rsidRPr="00EC55A9" w:rsidRDefault="00DD0FD8" w:rsidP="00871563">
            <w:pPr>
              <w:rPr>
                <w:rFonts w:cstheme="minorHAnsi"/>
                <w:color w:val="000000"/>
                <w:sz w:val="20"/>
              </w:rPr>
            </w:pPr>
            <w:r w:rsidRPr="00EC55A9">
              <w:rPr>
                <w:rFonts w:cstheme="minorHAnsi"/>
                <w:color w:val="000000"/>
                <w:sz w:val="20"/>
              </w:rPr>
              <w:t>% Crystallinity</w:t>
            </w:r>
            <w:r>
              <w:rPr>
                <w:rFonts w:cstheme="minorHAnsi"/>
                <w:color w:val="000000"/>
                <w:sz w:val="20"/>
              </w:rPr>
              <w:t xml:space="preserve"> </w:t>
            </w:r>
            <w:r>
              <w:rPr>
                <w:rFonts w:cstheme="minorHAnsi"/>
                <w:color w:val="000000"/>
                <w:sz w:val="20"/>
              </w:rPr>
              <w:br/>
              <w:t>of iron oxides</w:t>
            </w:r>
          </w:p>
        </w:tc>
        <w:tc>
          <w:tcPr>
            <w:tcW w:w="2250" w:type="dxa"/>
            <w:tcBorders>
              <w:bottom w:val="single" w:sz="4" w:space="0" w:color="auto"/>
            </w:tcBorders>
            <w:vAlign w:val="center"/>
          </w:tcPr>
          <w:p w14:paraId="575CC842" w14:textId="77777777" w:rsidR="00DD0FD8" w:rsidRPr="00EC55A9" w:rsidRDefault="00DD0FD8" w:rsidP="00871563">
            <w:pPr>
              <w:rPr>
                <w:rFonts w:cstheme="minorHAnsi"/>
                <w:color w:val="000000"/>
                <w:sz w:val="20"/>
              </w:rPr>
            </w:pPr>
            <w:r w:rsidRPr="00EC55A9">
              <w:rPr>
                <w:rFonts w:cstheme="minorHAnsi"/>
                <w:color w:val="000000"/>
                <w:sz w:val="20"/>
              </w:rPr>
              <w:fldChar w:fldCharType="begin" w:fldLock="1"/>
            </w:r>
            <w:r w:rsidRPr="00EC55A9">
              <w:rPr>
                <w:rFonts w:cstheme="minorHAnsi"/>
                <w:color w:val="000000"/>
                <w:sz w:val="20"/>
              </w:rPr>
              <w:instrText>ADDIN CSL_CITATION { "citationItems" : [ { "id" : "ITEM-1", "itemData" : { "DOI" : "10.1016/j.chemgeo.2009.01.017", "ISBN" : "0009-2541", "ISSN" : "00092541", "abstract" : "The role of Fe(III) minerals in controlling acid mine drainage (AMD) chemistry was studied using samples from two AMD sites [Gum Boot (GB) and Fridays-2 (FR)] located in northern Pennsylvania. Chemical extractions, X-ray diffraction (XRD), scanning electron microscopy (SEM), and Fourier transform infrared spectroscopy (FTIR) were used to identify and characterize Fe(III) phases. The mineralogical analysis revealed schwertmannite and goethite as the principal Fe(III) phases in the sediments. Schwertmannite particles occurred as sub-micron sized spheroids. Their transformation into goethite occurred at the GB site where poorly-crystallized goethite rich in surface-bound sulfate was initially formed. In contrast, no schwertmannite transformation occurred at the FR site. The resulting goethite in GB sediments was also of spherical morphology and resulted from an in situ phase transformation involving the conversion of bulk-bound schwertmannite sulfate ions into goethite surface complexes. Chemical extractions moreover showed that the poorly-crystallized goethite particles were subject to further crystallization accompanied by sulfate desorption. Changes in sulfate speciation preceded its desorption, with a conversion of bidentate- to monodentate-bound sulfate surface complexes. Laboratory sediment incubation experiments were conducted to evaluate the effect of mineral transformation on water chemistry. Incubation experiments were carried out with schwertmannite-containing sediments and aerobic AMD waters with different pH and chemical composition. The pH decreased to 1.9-2.2 in all suspensions and the concentrations of dissolved Fe and S increased significantly. Regardless of differences in the initial water composition, pH, Fe and S were similar in suspensions of the same sediment. XRD measurements revealed that schwertmannite transformed into goethite in GB and FR sediments during laboratory incubation. The incubation experiments demonstrated that schwertmannite transformation controlled AMD water chemistry under no-flow, batch conditions. ?? 2009 Elsevier B.V. All rights reserved.", "author" : [ { "dropping-particle" : "", "family" : "Peretyazhko", "given" : "T.", "non-dropping-particle" : "", "parse-names" : false, "suffix" : "" }, { "dropping-particle" : "", "family" : "Zachara", "given" : "J. M.", "non-dropping-particle" : "", "parse-names" : false, "suffix" : "" }, { "dropping-particle" : "", "family" : "Boily", "given" : "J. F.", "non-dropping-particle" : "", "parse-names" : false, "suffix" : "" }, { "dropping-particle" : "", "family" : "Xia", "given" : "Y.", "non-dropping-particle" : "", "parse-names" : false, "suffix" : "" }, { "dropping-particle" : "", "family" : "Gassman", "given" : "P. L.", "non-dropping-particle" : "", "parse-names" : false, "suffix" : "" }, { "dropping-particle" : "", "family" : "Arey", "given" : "B. W.", "non-dropping-particle" : "", "parse-names" : false, "suffix" : "" }, { "dropping-particle" : "", "family" : "Burgos", "given" : "W. D.", "non-dropping-particle" : "", "parse-names" : false, "suffix" : "" } ], "container-title" : "Chemical Geology", "id" : "ITEM-1", "issue" : "3-4", "issued" : { "date-parts" : [ [ "2009" ] ] }, "page" : "169-178", "publisher" : "Elsevier B.V.", "title" : "Mineralogical transformations controlling acid mine drainage chemistry", "type" : "article-journal", "volume" : "262" }, "uris" : [ "http://www.mendeley.com/documents/?uuid=6e14c6d8-37ad-4bb8-86e6-35d88ebe1c29" ] }, { "id" : "ITEM-2", "itemData" : { "DOI" : "10.1021/es026353a", "ISBN" : "0013-936X", "ISSN" : "0013936X", "PMID" : "12785516", "abstract" : "X-ray diffraction, energy-dispersive X-ray fluorescence, thermal analysis, scanning electron microscopy, inductively coupled plasma emission spectroscopy, and ion chroma tography were used for the environmental, mineralogical, and genetic characterization of brownish yellow, reddish brown, and white precipitates from acid mine drainage in Taebaeg, Korea. Ferrihydrite+goethite, schwertmannite, and Al-sulfate were precipitated under different chemical environments on the stream bottom of acid mine drainages. The brownish yellow precipitates (Munsell color 9.5YR hues) consist mainly of schwertmannite with traces of quartz, illite, pyrophyllite, goethite, lepidocrocite, and gypsum. The reddish brown precipitates (Munsell color 3.5YR hues) consist mainly of ferrihydrite with small amount of goethite. The white precipitates consist mainly of poorly crystalline Al-sulfate with small amounts of quartz, gypsum, and calcite. Thermal decomposition due to dehydration of ferrihydrite and schwertmannite takes place at approximately 120 \u00c2\u00b0C and 140 \u00c2\u00b0C, respectively. Al-sulfate converts to ?-alumina at 850 \u00c2\u00b0C. SEM study shows that the spheroid and rod-shaped precipitates characteristic of Gallionella consist of iron hydroxide with varying chemical compositions.", "author" : [ { "dropping-particle" : "", "family" : "Kim", "given" : "Jeong Jin", "non-dropping-particle" : "", "parse-names" : false, "suffix" : "" }, { "dropping-particle" : "", "family" : "Kim", "given" : "Soo Jin", "non-dropping-particle" : "", "parse-names" : false, "suffix" : "" } ], "container-title" : "Environmental Science and Technology", "id" : "ITEM-2", "issue" : "10", "issued" : { "date-parts" : [ [ "2003" ] ] }, "page" : "2120-2126", "title" : "Environmental, mineralogical, and genetic characterization of ochreous and white precipitates from acid mine drainages in Taebaeg, Korea", "type" : "article-journal", "volume" : "37" }, "uris" : [ "http://www.mendeley.com/documents/?uuid=c47ef83a-e9a6-4c70-81d4-733fac3e7cba" ] }, { "id" : "ITEM-3", "itemData" : { "DOI" : "10.1002/3527602097.ch4", "ISBN" : "9783527602094", "ISSN" : "2151-8378", "PMID" : "22453751", "abstract" : "This chapter contains sections titled:\\n\\n* General\\nCrystal growthCrystal morphologyCrystal size\\n* The iron oxides\\nGoethite\\nGeneralDomainic characterTwinningEffect of additivesLepidocrociteAkagan\u00e9ite and schwertmanniteFerrihydriteHematiteMagnetiteMaghemiteOther Iron Oxides", "author" : [ { "dropping-particle" : "", "family" : "Cornell", "given" : "R M", "non-dropping-particle" : "", "parse-names" : false, "suffix" : "" }, { "dropping-particle" : "", "family" : "Schwertmann", "given" : "U", "non-dropping-particle" : "", "parse-names" : false, "suffix" : "" } ], "container-title" : "The Iron Oxides", "id" : "ITEM-3", "issue" : "3", "issued" : { "date-parts" : [ [ "2003" ] ] }, "number-of-pages" : "59-94", "title" : "4 Crystal Morphology and Size", "type" : "book" }, "uris" : [ "http://www.mendeley.com/documents/?uuid=1fffd37d-e90b-42e9-8306-ec556792f20a" ] } ], "mendeley" : { "formattedCitation" : "(Cornell and Schwertmann 2003; Kim and Kim 2003; Peretyazhko et al. 2009)", "plainTextFormattedCitation" : "(Cornell and Schwertmann 2003; Kim and Kim 2003; Peretyazhko et al. 2009)", "previouslyFormattedCitation" : "(Cornell and Schwertmann 2003; Kim and Kim 2003; Peretyazhko et al. 2009)" }, "properties" : { "noteIndex" : 0 }, "schema" : "https://github.com/citation-style-language/schema/raw/master/csl-citation.json" }</w:instrText>
            </w:r>
            <w:r w:rsidRPr="00EC55A9">
              <w:rPr>
                <w:rFonts w:cstheme="minorHAnsi"/>
                <w:color w:val="000000"/>
                <w:sz w:val="20"/>
              </w:rPr>
              <w:fldChar w:fldCharType="separate"/>
            </w:r>
            <w:r w:rsidRPr="00EC55A9">
              <w:rPr>
                <w:rFonts w:cstheme="minorHAnsi"/>
                <w:noProof/>
                <w:color w:val="000000"/>
                <w:sz w:val="20"/>
              </w:rPr>
              <w:t>(Cornell and Schwertmann 2003; Kim and Kim 2003; Peretyazhko et al. 2009)</w:t>
            </w:r>
            <w:r w:rsidRPr="00EC55A9">
              <w:rPr>
                <w:rFonts w:cstheme="minorHAnsi"/>
                <w:color w:val="000000"/>
                <w:sz w:val="20"/>
              </w:rPr>
              <w:fldChar w:fldCharType="end"/>
            </w:r>
          </w:p>
        </w:tc>
      </w:tr>
    </w:tbl>
    <w:p w14:paraId="7691A94C" w14:textId="2D03BAAA" w:rsidR="000B63E4" w:rsidRPr="008C1627" w:rsidRDefault="000B63E4" w:rsidP="00DD0FD8">
      <w:pPr>
        <w:spacing w:line="480" w:lineRule="auto"/>
        <w:jc w:val="both"/>
        <w:rPr>
          <w:rFonts w:cstheme="minorHAnsi"/>
        </w:rPr>
      </w:pPr>
    </w:p>
    <w:p w14:paraId="4924D92C" w14:textId="5C06CA7F" w:rsidR="000B63E4" w:rsidRPr="008C1627" w:rsidRDefault="000B63E4" w:rsidP="000B63E4">
      <w:pPr>
        <w:spacing w:line="480" w:lineRule="auto"/>
        <w:jc w:val="both"/>
        <w:rPr>
          <w:rFonts w:cstheme="minorHAnsi"/>
        </w:rPr>
      </w:pPr>
      <w:r w:rsidRPr="008C1627">
        <w:rPr>
          <w:rFonts w:cstheme="minorHAnsi"/>
        </w:rPr>
        <w:lastRenderedPageBreak/>
        <w:t xml:space="preserve">A portable LISST laser diffractometer (LISST-XR) from Sequoia </w:t>
      </w:r>
      <w:r>
        <w:rPr>
          <w:rFonts w:cstheme="minorHAnsi"/>
        </w:rPr>
        <w:t xml:space="preserve">Scientific </w:t>
      </w:r>
      <w:r w:rsidRPr="008C1627">
        <w:rPr>
          <w:rFonts w:cstheme="minorHAnsi"/>
        </w:rPr>
        <w:t>Inc. was used to determine the particle size distribution of hydrated samples of iron oxides from the top (newest material deposited) and the bottom (oldest material deposited) for each composite sample</w:t>
      </w:r>
      <w:r w:rsidR="00C34796">
        <w:rPr>
          <w:rFonts w:cstheme="minorHAnsi"/>
        </w:rPr>
        <w:t xml:space="preserve"> </w:t>
      </w:r>
      <w:r w:rsidR="00C34796" w:rsidRPr="008C1627">
        <w:rPr>
          <w:rFonts w:cstheme="minorHAnsi"/>
        </w:rPr>
        <w:fldChar w:fldCharType="begin" w:fldLock="1"/>
      </w:r>
      <w:r w:rsidR="00C34796" w:rsidRPr="008C1627">
        <w:rPr>
          <w:rFonts w:cstheme="minorHAnsi"/>
        </w:rPr>
        <w:instrText>ADDIN CSL_CITATION { "citationItems" : [ { "id" : "ITEM-1", "itemData" : { "DOI" : "10.1007/s00367-013-0343-1", "ISSN" : "02760460", "author" : [ { "dropping-particle" : "", "family" : "Felix", "given" : "David", "non-dropping-particle" : "", "parse-names" : false, "suffix" : "" }, { "dropping-particle" : "", "family" : "Albayrak", "given" : "Ismail", "non-dropping-particle" : "", "parse-names" : false, "suffix" : "" }, { "dropping-particle" : "", "family" : "Boes", "given" : "Robert M.", "non-dropping-particle" : "", "parse-names" : false, "suffix" : "" } ], "container-title" : "Geo-Marine Letters", "id" : "ITEM-1", "issue" : "6", "issued" : { "date-parts" : [ [ "2013" ] ] }, "page" : "485-498", "title" : "Laboratory investigation on measuring suspended sediment by portable laser diffractometer (LISST) focusing on particle shape", "type" : "article-journal", "volume" : "33" }, "uris" : [ "http://www.mendeley.com/documents/?uuid=a2031a52-20ec-488e-bb2b-a4a3c0eca3d5" ] }, { "id" : "ITEM-2", "itemData" : { "DOI" : "10.1016/j.margeo.2012.03.006", "ISSN" : "00253227", "abstract" : "Particles in the marine environment vary in size from sub-micron colloids to flocculated aggregates of the order of millimetres. The LISST-100 (laser in-situ scattering and transmissometer) range of instruments (Sequoia Scientific Inc.) determine the distribution of particle sizes in-situ using laser diffraction, but are limited to specific size ranges governed by the instrument configuration. Using numerical predictions of scattering and a novel observational system to combine digital holography and the LISST-100 type-c, here we examine the response of the LISST to particles larger than the intended size range of the instrument. For spheres greater than the type-c instrument limit of 500 ??m, both theory and observations indicate that the inversion of the recorded scattering into particle size distributions produces volume distributions that peak at varying sizes between 250 and 400 ??m. This is caused by the principal peaks in scattering moving off the inside of the ring detectors, leading to the remaining peaks being interpreted as the principal peaks. The aliasing of larger particles as a distribution of smaller particles is also applicable to the type-b configuration of the LISST, only occurring at the 250 ??m size limit instead of 500 ??m. When extending the Junge particle size distribution up to varying maximum sizes, numerical tests predict an increase in volume concentration of up to 45%. For power-law distributions with gradients less than that of a Junge distribution, the contamination from large particles becomes increasingly influential over the concentration and shape of the inverted size distribution. ?? 2012 Elsevier B.V.", "author" : [ { "dropping-particle" : "", "family" : "Davies", "given" : "Emlyn J.", "non-dropping-particle" : "", "parse-names" : false, "suffix" : "" }, { "dropping-particle" : "", "family" : "Nimmo-Smith", "given" : "W. Alex M", "non-dropping-particle" : "", "parse-names" : false, "suffix" : "" }, { "dropping-particle" : "", "family" : "Agrawal", "given" : "Yogesh C.", "non-dropping-particle" : "", "parse-names" : false, "suffix" : "" }, { "dropping-particle" : "", "family" : "Souza", "given" : "Alejandro J.", "non-dropping-particle" : "", "parse-names" : false, "suffix" : "" } ], "container-title" : "Marine Geology", "id" : "ITEM-2", "issued" : { "date-parts" : [ [ "2012" ] ] }, "page" : "117-122", "publisher" : "Elsevier B.V.", "title" : "LISST-100 response to large particles", "type" : "article-journal", "volume" : "307-310" }, "uris" : [ "http://www.mendeley.com/documents/?uuid=9c26817c-c13f-41a6-9775-eb319367b62e" ] }, { "id" : "ITEM-3", "itemData" : { "DOI" : "10.1016/j.margeo.2013.07.002", "ISBN" : "0025-3227", "ISSN" : "00253227", "abstract" : "We present a simple method to obtain settling velocity estimates of fine-grained suspended sediment using the following: (1) in situ floc volume fraction measurements, (2) calculations of in situ floc mass, (3) measurements of in situ floc size, (4) laboratory measurements of primary particle size and (5) laboratory measurements of % organic matter obtained through loss on ignition. This method is based on the mass distribution over the particle size spectra. Floc properties are incorporated by using information concerning the primary particles and the ratio between the volume concentration and the mass concentration of the in situ measurements. In this manner, the changes in effective densities caused by flocculation and biological mediation are approximated. This method relies solely on measurements conducted with a particle-sizing instrument and on an analysis of water samples. The method is applied to measurements obtained with a LISST, and data from three different estuaries in different climatic zones are used. The settling velocity estimates found using this method are compared to settling tube measurements and to mass settling method estimates, as well as to calculations using fractal dimension methods from the literature. Settling velocities calculated using the method presented in this study lie within the ranges of the three other methods, demonstrating that this simple method produces results within the ranges of settling tube velocities and those predicted by the more comprehensive, multiparameter fractal dimension models. The presented method allows for easy intercomparisons between studies by utilising instruments such as the LISST, and it is believed that this method would also produce reliable settling velocities using other instruments that yield a volume distribution as well as a proxy for total volume and mass concentration, e.g., some camera systems. \u00a9 2013 Elsevier B.V.", "author" : [ { "dropping-particle" : "", "family" : "Markussen", "given" : "Thor Nygaard", "non-dropping-particle" : "", "parse-names" : false, "suffix" : "" }, { "dropping-particle" : "", "family" : "Andersen", "given" : "Thorbj\u00f8rn Joest", "non-dropping-particle" : "", "parse-names" : false, "suffix" : "" } ], "container-title" : "Marine Geology", "id" : "ITEM-3", "issued" : { "date-parts" : [ [ "2013" ] ] }, "page" : "10-18", "publisher" : "Elsevier B.V.", "title" : "A simple method for calculating in situ floc settling velocities based on effective density functions", "type" : "article-journal", "volume" : "344" }, "uris" : [ "http://www.mendeley.com/documents/?uuid=9eafcdf6-faf6-467f-b1e4-71698bf0ecb7" ] } ], "mendeley" : { "formattedCitation" : "(Davies et al. 2012; Felix et al. 2013; Markussen and Andersen 2013)", "plainTextFormattedCitation" : "(Davies et al. 2012; Felix et al. 2013; Markussen and Andersen 2013)", "previouslyFormattedCitation" : "(Davies et al. 2012; Felix et al. 2013; Markussen and Andersen 2013)" }, "properties" : { "noteIndex" : 0 }, "schema" : "https://github.com/citation-style-language/schema/raw/master/csl-citation.json" }</w:instrText>
      </w:r>
      <w:r w:rsidR="00C34796" w:rsidRPr="008C1627">
        <w:rPr>
          <w:rFonts w:cstheme="minorHAnsi"/>
        </w:rPr>
        <w:fldChar w:fldCharType="separate"/>
      </w:r>
      <w:r w:rsidR="00C34796" w:rsidRPr="008C1627">
        <w:rPr>
          <w:rFonts w:cstheme="minorHAnsi"/>
          <w:noProof/>
        </w:rPr>
        <w:t>(Davies et al. 2012; Felix et al. 2013; Markussen and Andersen 2013)</w:t>
      </w:r>
      <w:r w:rsidR="00C34796" w:rsidRPr="008C1627">
        <w:rPr>
          <w:rFonts w:cstheme="minorHAnsi"/>
        </w:rPr>
        <w:fldChar w:fldCharType="end"/>
      </w:r>
      <w:r w:rsidR="00C34796">
        <w:rPr>
          <w:rFonts w:cstheme="minorHAnsi"/>
        </w:rPr>
        <w:t>.</w:t>
      </w:r>
      <w:r w:rsidR="00317F91">
        <w:rPr>
          <w:rFonts w:cstheme="minorHAnsi"/>
        </w:rPr>
        <w:t xml:space="preserve"> Table 4</w:t>
      </w:r>
      <w:r w:rsidRPr="008C1627">
        <w:rPr>
          <w:rFonts w:cstheme="minorHAnsi"/>
        </w:rPr>
        <w:t xml:space="preserve">.2 is a summary of results for the oxidative unit. The LISST utilizes small-angle forward laser light scattering (laser diffraction), compliant with the ISO-13320-1 standard </w:t>
      </w:r>
      <w:r w:rsidRPr="008C1627">
        <w:rPr>
          <w:rFonts w:cstheme="minorHAnsi"/>
        </w:rPr>
        <w:fldChar w:fldCharType="begin" w:fldLock="1"/>
      </w:r>
      <w:r w:rsidRPr="008C1627">
        <w:rPr>
          <w:rFonts w:cstheme="minorHAnsi"/>
        </w:rPr>
        <w:instrText>ADDIN CSL_CITATION { "citationItems" : [ { "id" : "ITEM-1", "itemData" : { "author" : [ { "dropping-particle" : "", "family" : "Xr", "given" : "Lisst-p Ortable", "non-dropping-particle" : "", "parse-names" : false, "suffix" : "" } ], "id" : "ITEM-1", "issue" : "April", "issued" : { "date-parts" : [ [ "2016" ] ] }, "title" : "Lisst-p \u2502 xr", "type" : "article-journal", "volume" : "2" }, "uris" : [ "http://www.mendeley.com/documents/?uuid=3218c767-5cdd-4975-a404-e68c2b1ec41b" ] } ], "mendeley" : { "formattedCitation" : "(Xr 2016)", "manualFormatting" : "(Sequoia 2016)", "plainTextFormattedCitation" : "(Xr 2016)", "previouslyFormattedCitation" : "(Xr 2016)" }, "properties" : { "noteIndex" : 0 }, "schema" : "https://github.com/citation-style-language/schema/raw/master/csl-citation.json" }</w:instrText>
      </w:r>
      <w:r w:rsidRPr="008C1627">
        <w:rPr>
          <w:rFonts w:cstheme="minorHAnsi"/>
        </w:rPr>
        <w:fldChar w:fldCharType="separate"/>
      </w:r>
      <w:r w:rsidRPr="008C1627">
        <w:rPr>
          <w:rFonts w:cstheme="minorHAnsi"/>
          <w:noProof/>
        </w:rPr>
        <w:t>(Sequoia 2016)</w:t>
      </w:r>
      <w:r w:rsidRPr="008C1627">
        <w:rPr>
          <w:rFonts w:cstheme="minorHAnsi"/>
        </w:rPr>
        <w:fldChar w:fldCharType="end"/>
      </w:r>
      <w:r w:rsidRPr="008C1627">
        <w:rPr>
          <w:rFonts w:cstheme="minorHAnsi"/>
        </w:rPr>
        <w:t xml:space="preserve">. The average effective density of the iron </w:t>
      </w:r>
      <w:proofErr w:type="spellStart"/>
      <w:r w:rsidRPr="008C1627">
        <w:rPr>
          <w:rFonts w:cstheme="minorHAnsi"/>
        </w:rPr>
        <w:t>oxyhydroxides</w:t>
      </w:r>
      <w:proofErr w:type="spellEnd"/>
      <w:r w:rsidRPr="008C1627">
        <w:rPr>
          <w:rFonts w:cstheme="minorHAnsi"/>
        </w:rPr>
        <w:t xml:space="preserve"> was reported as 2.65 g/cm</w:t>
      </w:r>
      <w:r w:rsidRPr="008C1627">
        <w:rPr>
          <w:rFonts w:cstheme="minorHAnsi"/>
          <w:vertAlign w:val="superscript"/>
        </w:rPr>
        <w:t>3</w:t>
      </w:r>
      <w:r w:rsidRPr="008C1627">
        <w:rPr>
          <w:rFonts w:cstheme="minorHAnsi"/>
        </w:rPr>
        <w:t xml:space="preserve"> </w:t>
      </w:r>
    </w:p>
    <w:p w14:paraId="25AC3EA8" w14:textId="07221AED" w:rsidR="000B63E4" w:rsidRPr="00DB505A" w:rsidRDefault="00317F91" w:rsidP="000B63E4">
      <w:pPr>
        <w:spacing w:line="240" w:lineRule="auto"/>
        <w:jc w:val="both"/>
        <w:rPr>
          <w:rFonts w:cstheme="minorHAnsi"/>
          <w:sz w:val="20"/>
        </w:rPr>
      </w:pPr>
      <w:r>
        <w:rPr>
          <w:rFonts w:cstheme="minorHAnsi"/>
          <w:sz w:val="20"/>
        </w:rPr>
        <w:t>Table 4</w:t>
      </w:r>
      <w:r w:rsidR="000B63E4" w:rsidRPr="00DB505A">
        <w:rPr>
          <w:rFonts w:cstheme="minorHAnsi"/>
          <w:sz w:val="20"/>
        </w:rPr>
        <w:t xml:space="preserve">.2: Average particle size, distribution, and surface area for the </w:t>
      </w:r>
      <w:r w:rsidR="006B0CD6">
        <w:rPr>
          <w:rFonts w:cstheme="minorHAnsi"/>
          <w:sz w:val="20"/>
        </w:rPr>
        <w:t xml:space="preserve">solids recovered from the </w:t>
      </w:r>
      <w:r w:rsidR="000B63E4" w:rsidRPr="00DB505A">
        <w:rPr>
          <w:rFonts w:cstheme="minorHAnsi"/>
          <w:sz w:val="20"/>
        </w:rPr>
        <w:t xml:space="preserve">oxidative unit based on </w:t>
      </w:r>
      <w:r w:rsidR="006B0CD6">
        <w:rPr>
          <w:rFonts w:cstheme="minorHAnsi"/>
          <w:sz w:val="20"/>
        </w:rPr>
        <w:t>depth</w:t>
      </w:r>
      <w:r w:rsidR="000B63E4" w:rsidRPr="00DB505A">
        <w:rPr>
          <w:rFonts w:cstheme="minorHAnsi"/>
          <w:sz w:val="20"/>
        </w:rPr>
        <w:t xml:space="preserve"> of accumulated iron </w:t>
      </w:r>
      <w:proofErr w:type="spellStart"/>
      <w:r w:rsidR="000B63E4" w:rsidRPr="00DB505A">
        <w:rPr>
          <w:rFonts w:cstheme="minorHAnsi"/>
          <w:sz w:val="20"/>
        </w:rPr>
        <w:t>oxyhydroxides</w:t>
      </w:r>
      <w:proofErr w:type="spellEnd"/>
      <w:r w:rsidR="000B63E4" w:rsidRPr="00DB505A">
        <w:rPr>
          <w:rFonts w:cstheme="minorHAnsi"/>
          <w:sz w:val="20"/>
        </w:rPr>
        <w:t xml:space="preserve"> (±standard deviation)</w:t>
      </w:r>
    </w:p>
    <w:tbl>
      <w:tblPr>
        <w:tblW w:w="8100" w:type="dxa"/>
        <w:tblLook w:val="04A0" w:firstRow="1" w:lastRow="0" w:firstColumn="1" w:lastColumn="0" w:noHBand="0" w:noVBand="1"/>
      </w:tblPr>
      <w:tblGrid>
        <w:gridCol w:w="900"/>
        <w:gridCol w:w="1127"/>
        <w:gridCol w:w="1213"/>
        <w:gridCol w:w="1025"/>
        <w:gridCol w:w="262"/>
        <w:gridCol w:w="1233"/>
        <w:gridCol w:w="1260"/>
        <w:gridCol w:w="1080"/>
      </w:tblGrid>
      <w:tr w:rsidR="000B63E4" w:rsidRPr="008D7A47" w14:paraId="24BBFD8B" w14:textId="77777777" w:rsidTr="000B63E4">
        <w:trPr>
          <w:trHeight w:val="360"/>
        </w:trPr>
        <w:tc>
          <w:tcPr>
            <w:tcW w:w="900" w:type="dxa"/>
            <w:tcBorders>
              <w:top w:val="single" w:sz="4" w:space="0" w:color="auto"/>
              <w:left w:val="nil"/>
              <w:bottom w:val="nil"/>
              <w:right w:val="nil"/>
            </w:tcBorders>
            <w:shd w:val="clear" w:color="auto" w:fill="auto"/>
            <w:noWrap/>
            <w:vAlign w:val="bottom"/>
            <w:hideMark/>
          </w:tcPr>
          <w:p w14:paraId="5BEC8C6B" w14:textId="1756A737" w:rsidR="000B63E4" w:rsidRPr="008D7A47" w:rsidRDefault="000B63E4" w:rsidP="00DD0FD8">
            <w:pPr>
              <w:spacing w:line="240" w:lineRule="auto"/>
              <w:jc w:val="center"/>
              <w:rPr>
                <w:rFonts w:cstheme="minorHAnsi"/>
                <w:color w:val="000000"/>
                <w:sz w:val="20"/>
              </w:rPr>
            </w:pPr>
          </w:p>
        </w:tc>
        <w:tc>
          <w:tcPr>
            <w:tcW w:w="3365" w:type="dxa"/>
            <w:gridSpan w:val="3"/>
            <w:tcBorders>
              <w:top w:val="single" w:sz="4" w:space="0" w:color="auto"/>
              <w:left w:val="nil"/>
              <w:bottom w:val="nil"/>
              <w:right w:val="nil"/>
            </w:tcBorders>
            <w:shd w:val="clear" w:color="auto" w:fill="auto"/>
            <w:noWrap/>
            <w:vAlign w:val="bottom"/>
            <w:hideMark/>
          </w:tcPr>
          <w:p w14:paraId="1CD3D976"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 xml:space="preserve">Top (Newest) </w:t>
            </w:r>
            <w:proofErr w:type="spellStart"/>
            <w:r w:rsidRPr="008D7A47">
              <w:rPr>
                <w:rFonts w:cstheme="minorHAnsi"/>
                <w:color w:val="000000"/>
                <w:sz w:val="20"/>
              </w:rPr>
              <w:t>FeOOH</w:t>
            </w:r>
            <w:proofErr w:type="spellEnd"/>
            <w:r w:rsidRPr="008D7A47">
              <w:rPr>
                <w:rFonts w:cstheme="minorHAnsi"/>
                <w:i/>
                <w:iCs/>
                <w:color w:val="000000"/>
                <w:sz w:val="20"/>
                <w:vertAlign w:val="subscript"/>
              </w:rPr>
              <w:t>(s)</w:t>
            </w:r>
          </w:p>
        </w:tc>
        <w:tc>
          <w:tcPr>
            <w:tcW w:w="262" w:type="dxa"/>
            <w:tcBorders>
              <w:top w:val="single" w:sz="4" w:space="0" w:color="auto"/>
              <w:left w:val="nil"/>
              <w:bottom w:val="nil"/>
              <w:right w:val="nil"/>
            </w:tcBorders>
            <w:shd w:val="clear" w:color="auto" w:fill="auto"/>
            <w:noWrap/>
            <w:vAlign w:val="bottom"/>
            <w:hideMark/>
          </w:tcPr>
          <w:p w14:paraId="064A4FA0" w14:textId="7259945C" w:rsidR="000B63E4" w:rsidRPr="008D7A47" w:rsidRDefault="000B63E4" w:rsidP="00DD0FD8">
            <w:pPr>
              <w:spacing w:line="240" w:lineRule="auto"/>
              <w:jc w:val="center"/>
              <w:rPr>
                <w:rFonts w:cstheme="minorHAnsi"/>
                <w:color w:val="000000"/>
                <w:sz w:val="20"/>
              </w:rPr>
            </w:pPr>
          </w:p>
        </w:tc>
        <w:tc>
          <w:tcPr>
            <w:tcW w:w="3573" w:type="dxa"/>
            <w:gridSpan w:val="3"/>
            <w:tcBorders>
              <w:top w:val="single" w:sz="4" w:space="0" w:color="auto"/>
              <w:left w:val="nil"/>
              <w:bottom w:val="nil"/>
              <w:right w:val="nil"/>
            </w:tcBorders>
            <w:shd w:val="clear" w:color="auto" w:fill="auto"/>
            <w:noWrap/>
            <w:vAlign w:val="bottom"/>
            <w:hideMark/>
          </w:tcPr>
          <w:p w14:paraId="6BDD52BD"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 xml:space="preserve">Bottom (Oldest) </w:t>
            </w:r>
            <w:proofErr w:type="spellStart"/>
            <w:r w:rsidRPr="008D7A47">
              <w:rPr>
                <w:rFonts w:cstheme="minorHAnsi"/>
                <w:color w:val="000000"/>
                <w:sz w:val="20"/>
              </w:rPr>
              <w:t>FeOOH</w:t>
            </w:r>
            <w:proofErr w:type="spellEnd"/>
            <w:r w:rsidRPr="008D7A47">
              <w:rPr>
                <w:rFonts w:cstheme="minorHAnsi"/>
                <w:i/>
                <w:iCs/>
                <w:color w:val="000000"/>
                <w:sz w:val="20"/>
                <w:vertAlign w:val="subscript"/>
              </w:rPr>
              <w:t>(s)</w:t>
            </w:r>
          </w:p>
        </w:tc>
      </w:tr>
      <w:tr w:rsidR="000B63E4" w:rsidRPr="008D7A47" w14:paraId="72D3ABA9" w14:textId="77777777" w:rsidTr="000B63E4">
        <w:trPr>
          <w:trHeight w:val="360"/>
        </w:trPr>
        <w:tc>
          <w:tcPr>
            <w:tcW w:w="900" w:type="dxa"/>
            <w:tcBorders>
              <w:top w:val="nil"/>
              <w:left w:val="nil"/>
              <w:bottom w:val="double" w:sz="6" w:space="0" w:color="auto"/>
              <w:right w:val="nil"/>
            </w:tcBorders>
            <w:shd w:val="clear" w:color="auto" w:fill="auto"/>
            <w:noWrap/>
            <w:vAlign w:val="bottom"/>
            <w:hideMark/>
          </w:tcPr>
          <w:p w14:paraId="5AFA9217" w14:textId="719D9424" w:rsidR="000B63E4" w:rsidRPr="008D7A47" w:rsidRDefault="000B63E4" w:rsidP="00DD0FD8">
            <w:pPr>
              <w:spacing w:line="240" w:lineRule="auto"/>
              <w:jc w:val="center"/>
              <w:rPr>
                <w:rFonts w:cstheme="minorHAnsi"/>
                <w:color w:val="000000"/>
                <w:sz w:val="20"/>
              </w:rPr>
            </w:pPr>
          </w:p>
        </w:tc>
        <w:tc>
          <w:tcPr>
            <w:tcW w:w="1127" w:type="dxa"/>
            <w:tcBorders>
              <w:top w:val="nil"/>
              <w:left w:val="nil"/>
              <w:bottom w:val="double" w:sz="6" w:space="0" w:color="auto"/>
              <w:right w:val="nil"/>
            </w:tcBorders>
            <w:shd w:val="clear" w:color="auto" w:fill="auto"/>
            <w:noWrap/>
            <w:vAlign w:val="bottom"/>
            <w:hideMark/>
          </w:tcPr>
          <w:p w14:paraId="59C358F7"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Mean Size (µm)</w:t>
            </w:r>
          </w:p>
        </w:tc>
        <w:tc>
          <w:tcPr>
            <w:tcW w:w="1213" w:type="dxa"/>
            <w:tcBorders>
              <w:top w:val="nil"/>
              <w:left w:val="nil"/>
              <w:bottom w:val="double" w:sz="6" w:space="0" w:color="auto"/>
              <w:right w:val="nil"/>
            </w:tcBorders>
            <w:shd w:val="clear" w:color="auto" w:fill="auto"/>
            <w:noWrap/>
            <w:vAlign w:val="bottom"/>
            <w:hideMark/>
          </w:tcPr>
          <w:p w14:paraId="3638E90D"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D60/D10</w:t>
            </w:r>
          </w:p>
        </w:tc>
        <w:tc>
          <w:tcPr>
            <w:tcW w:w="1025" w:type="dxa"/>
            <w:tcBorders>
              <w:top w:val="nil"/>
              <w:left w:val="nil"/>
              <w:bottom w:val="double" w:sz="6" w:space="0" w:color="auto"/>
              <w:right w:val="nil"/>
            </w:tcBorders>
            <w:shd w:val="clear" w:color="auto" w:fill="auto"/>
            <w:noWrap/>
            <w:vAlign w:val="bottom"/>
            <w:hideMark/>
          </w:tcPr>
          <w:p w14:paraId="40517216"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SA (cm</w:t>
            </w:r>
            <w:r w:rsidRPr="008D7A47">
              <w:rPr>
                <w:rFonts w:cstheme="minorHAnsi"/>
                <w:color w:val="000000"/>
                <w:sz w:val="20"/>
                <w:vertAlign w:val="superscript"/>
              </w:rPr>
              <w:t>2</w:t>
            </w:r>
            <w:r w:rsidRPr="008D7A47">
              <w:rPr>
                <w:rFonts w:cstheme="minorHAnsi"/>
                <w:color w:val="000000"/>
                <w:sz w:val="20"/>
              </w:rPr>
              <w:t>)</w:t>
            </w:r>
          </w:p>
        </w:tc>
        <w:tc>
          <w:tcPr>
            <w:tcW w:w="262" w:type="dxa"/>
            <w:tcBorders>
              <w:top w:val="nil"/>
              <w:left w:val="nil"/>
              <w:bottom w:val="double" w:sz="6" w:space="0" w:color="auto"/>
              <w:right w:val="nil"/>
            </w:tcBorders>
            <w:shd w:val="clear" w:color="auto" w:fill="auto"/>
            <w:noWrap/>
            <w:vAlign w:val="bottom"/>
            <w:hideMark/>
          </w:tcPr>
          <w:p w14:paraId="0F929215" w14:textId="454919B2" w:rsidR="000B63E4" w:rsidRPr="008D7A47" w:rsidRDefault="000B63E4" w:rsidP="00DD0FD8">
            <w:pPr>
              <w:spacing w:line="240" w:lineRule="auto"/>
              <w:jc w:val="center"/>
              <w:rPr>
                <w:rFonts w:cstheme="minorHAnsi"/>
                <w:color w:val="000000"/>
                <w:sz w:val="20"/>
              </w:rPr>
            </w:pPr>
          </w:p>
        </w:tc>
        <w:tc>
          <w:tcPr>
            <w:tcW w:w="1233" w:type="dxa"/>
            <w:tcBorders>
              <w:top w:val="nil"/>
              <w:left w:val="nil"/>
              <w:bottom w:val="double" w:sz="6" w:space="0" w:color="auto"/>
              <w:right w:val="nil"/>
            </w:tcBorders>
            <w:shd w:val="clear" w:color="auto" w:fill="auto"/>
            <w:noWrap/>
            <w:vAlign w:val="bottom"/>
            <w:hideMark/>
          </w:tcPr>
          <w:p w14:paraId="04FAEC2D"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Mean Size (µm)</w:t>
            </w:r>
          </w:p>
        </w:tc>
        <w:tc>
          <w:tcPr>
            <w:tcW w:w="1260" w:type="dxa"/>
            <w:tcBorders>
              <w:top w:val="nil"/>
              <w:left w:val="nil"/>
              <w:bottom w:val="double" w:sz="6" w:space="0" w:color="auto"/>
              <w:right w:val="nil"/>
            </w:tcBorders>
            <w:shd w:val="clear" w:color="auto" w:fill="auto"/>
            <w:noWrap/>
            <w:vAlign w:val="bottom"/>
            <w:hideMark/>
          </w:tcPr>
          <w:p w14:paraId="294324D5"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D60/D10</w:t>
            </w:r>
          </w:p>
        </w:tc>
        <w:tc>
          <w:tcPr>
            <w:tcW w:w="1080" w:type="dxa"/>
            <w:tcBorders>
              <w:top w:val="nil"/>
              <w:left w:val="nil"/>
              <w:bottom w:val="double" w:sz="6" w:space="0" w:color="auto"/>
              <w:right w:val="nil"/>
            </w:tcBorders>
            <w:shd w:val="clear" w:color="auto" w:fill="auto"/>
            <w:noWrap/>
            <w:vAlign w:val="bottom"/>
            <w:hideMark/>
          </w:tcPr>
          <w:p w14:paraId="0FE8D8D9"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SA (cm</w:t>
            </w:r>
            <w:r w:rsidRPr="008D7A47">
              <w:rPr>
                <w:rFonts w:cstheme="minorHAnsi"/>
                <w:color w:val="000000"/>
                <w:sz w:val="20"/>
                <w:vertAlign w:val="superscript"/>
              </w:rPr>
              <w:t>2</w:t>
            </w:r>
            <w:r w:rsidRPr="008D7A47">
              <w:rPr>
                <w:rFonts w:cstheme="minorHAnsi"/>
                <w:color w:val="000000"/>
                <w:sz w:val="20"/>
              </w:rPr>
              <w:t>)</w:t>
            </w:r>
          </w:p>
        </w:tc>
      </w:tr>
      <w:tr w:rsidR="000B63E4" w:rsidRPr="008D7A47" w14:paraId="14DA37AB" w14:textId="77777777" w:rsidTr="000B63E4">
        <w:trPr>
          <w:trHeight w:val="315"/>
        </w:trPr>
        <w:tc>
          <w:tcPr>
            <w:tcW w:w="900" w:type="dxa"/>
            <w:tcBorders>
              <w:top w:val="nil"/>
              <w:left w:val="nil"/>
              <w:bottom w:val="nil"/>
              <w:right w:val="nil"/>
            </w:tcBorders>
            <w:shd w:val="clear" w:color="auto" w:fill="auto"/>
            <w:noWrap/>
            <w:vAlign w:val="bottom"/>
            <w:hideMark/>
          </w:tcPr>
          <w:p w14:paraId="3D6D6064"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Cell 1</w:t>
            </w:r>
          </w:p>
        </w:tc>
        <w:tc>
          <w:tcPr>
            <w:tcW w:w="1127" w:type="dxa"/>
            <w:tcBorders>
              <w:top w:val="nil"/>
              <w:left w:val="nil"/>
              <w:bottom w:val="nil"/>
              <w:right w:val="nil"/>
            </w:tcBorders>
            <w:shd w:val="clear" w:color="auto" w:fill="auto"/>
            <w:noWrap/>
            <w:vAlign w:val="bottom"/>
            <w:hideMark/>
          </w:tcPr>
          <w:p w14:paraId="2817A8AF"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12.51±3.35</w:t>
            </w:r>
          </w:p>
        </w:tc>
        <w:tc>
          <w:tcPr>
            <w:tcW w:w="1213" w:type="dxa"/>
            <w:tcBorders>
              <w:top w:val="nil"/>
              <w:left w:val="nil"/>
              <w:bottom w:val="nil"/>
              <w:right w:val="nil"/>
            </w:tcBorders>
            <w:shd w:val="clear" w:color="auto" w:fill="auto"/>
            <w:noWrap/>
            <w:vAlign w:val="bottom"/>
            <w:hideMark/>
          </w:tcPr>
          <w:p w14:paraId="2EAEF893"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15.98±1.78</w:t>
            </w:r>
          </w:p>
        </w:tc>
        <w:tc>
          <w:tcPr>
            <w:tcW w:w="1025" w:type="dxa"/>
            <w:tcBorders>
              <w:top w:val="nil"/>
              <w:left w:val="nil"/>
              <w:bottom w:val="nil"/>
              <w:right w:val="nil"/>
            </w:tcBorders>
            <w:shd w:val="clear" w:color="auto" w:fill="auto"/>
            <w:noWrap/>
            <w:vAlign w:val="bottom"/>
            <w:hideMark/>
          </w:tcPr>
          <w:p w14:paraId="0982DF52"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0.61±0.07</w:t>
            </w:r>
          </w:p>
        </w:tc>
        <w:tc>
          <w:tcPr>
            <w:tcW w:w="262" w:type="dxa"/>
            <w:tcBorders>
              <w:top w:val="nil"/>
              <w:left w:val="nil"/>
              <w:bottom w:val="nil"/>
              <w:right w:val="nil"/>
            </w:tcBorders>
            <w:shd w:val="clear" w:color="auto" w:fill="auto"/>
            <w:noWrap/>
            <w:vAlign w:val="bottom"/>
            <w:hideMark/>
          </w:tcPr>
          <w:p w14:paraId="7CBDFDF0" w14:textId="77777777" w:rsidR="000B63E4" w:rsidRPr="008D7A47" w:rsidRDefault="000B63E4" w:rsidP="00DD0FD8">
            <w:pPr>
              <w:spacing w:line="240" w:lineRule="auto"/>
              <w:jc w:val="center"/>
              <w:rPr>
                <w:rFonts w:cstheme="minorHAnsi"/>
                <w:color w:val="000000"/>
                <w:sz w:val="20"/>
              </w:rPr>
            </w:pPr>
          </w:p>
        </w:tc>
        <w:tc>
          <w:tcPr>
            <w:tcW w:w="1233" w:type="dxa"/>
            <w:tcBorders>
              <w:top w:val="nil"/>
              <w:left w:val="nil"/>
              <w:bottom w:val="nil"/>
              <w:right w:val="nil"/>
            </w:tcBorders>
            <w:shd w:val="clear" w:color="auto" w:fill="auto"/>
            <w:noWrap/>
            <w:vAlign w:val="bottom"/>
            <w:hideMark/>
          </w:tcPr>
          <w:p w14:paraId="1FC3E663"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10.80±0.06</w:t>
            </w:r>
          </w:p>
        </w:tc>
        <w:tc>
          <w:tcPr>
            <w:tcW w:w="1260" w:type="dxa"/>
            <w:tcBorders>
              <w:top w:val="nil"/>
              <w:left w:val="nil"/>
              <w:bottom w:val="nil"/>
              <w:right w:val="nil"/>
            </w:tcBorders>
            <w:shd w:val="clear" w:color="auto" w:fill="auto"/>
            <w:noWrap/>
            <w:vAlign w:val="bottom"/>
            <w:hideMark/>
          </w:tcPr>
          <w:p w14:paraId="396A23BB"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12.62±1.09</w:t>
            </w:r>
          </w:p>
        </w:tc>
        <w:tc>
          <w:tcPr>
            <w:tcW w:w="1080" w:type="dxa"/>
            <w:tcBorders>
              <w:top w:val="nil"/>
              <w:left w:val="nil"/>
              <w:bottom w:val="nil"/>
              <w:right w:val="nil"/>
            </w:tcBorders>
            <w:shd w:val="clear" w:color="auto" w:fill="auto"/>
            <w:noWrap/>
            <w:vAlign w:val="bottom"/>
            <w:hideMark/>
          </w:tcPr>
          <w:p w14:paraId="37E98684"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0.58±0.02</w:t>
            </w:r>
          </w:p>
        </w:tc>
      </w:tr>
      <w:tr w:rsidR="000B63E4" w:rsidRPr="008D7A47" w14:paraId="613D58F4" w14:textId="77777777" w:rsidTr="000B63E4">
        <w:trPr>
          <w:trHeight w:val="300"/>
        </w:trPr>
        <w:tc>
          <w:tcPr>
            <w:tcW w:w="900" w:type="dxa"/>
            <w:tcBorders>
              <w:top w:val="nil"/>
              <w:left w:val="nil"/>
              <w:bottom w:val="nil"/>
              <w:right w:val="nil"/>
            </w:tcBorders>
            <w:shd w:val="clear" w:color="auto" w:fill="auto"/>
            <w:noWrap/>
            <w:vAlign w:val="bottom"/>
            <w:hideMark/>
          </w:tcPr>
          <w:p w14:paraId="12965A10"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Cell 2N</w:t>
            </w:r>
          </w:p>
        </w:tc>
        <w:tc>
          <w:tcPr>
            <w:tcW w:w="1127" w:type="dxa"/>
            <w:tcBorders>
              <w:top w:val="nil"/>
              <w:left w:val="nil"/>
              <w:bottom w:val="nil"/>
              <w:right w:val="nil"/>
            </w:tcBorders>
            <w:shd w:val="clear" w:color="auto" w:fill="auto"/>
            <w:noWrap/>
            <w:vAlign w:val="bottom"/>
            <w:hideMark/>
          </w:tcPr>
          <w:p w14:paraId="2D09E178"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18.84±5.26</w:t>
            </w:r>
          </w:p>
        </w:tc>
        <w:tc>
          <w:tcPr>
            <w:tcW w:w="1213" w:type="dxa"/>
            <w:tcBorders>
              <w:top w:val="nil"/>
              <w:left w:val="nil"/>
              <w:bottom w:val="nil"/>
              <w:right w:val="nil"/>
            </w:tcBorders>
            <w:shd w:val="clear" w:color="auto" w:fill="auto"/>
            <w:noWrap/>
            <w:vAlign w:val="bottom"/>
            <w:hideMark/>
          </w:tcPr>
          <w:p w14:paraId="6F1B8146"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12.60±1.55</w:t>
            </w:r>
          </w:p>
        </w:tc>
        <w:tc>
          <w:tcPr>
            <w:tcW w:w="1025" w:type="dxa"/>
            <w:tcBorders>
              <w:top w:val="nil"/>
              <w:left w:val="nil"/>
              <w:bottom w:val="nil"/>
              <w:right w:val="nil"/>
            </w:tcBorders>
            <w:shd w:val="clear" w:color="auto" w:fill="auto"/>
            <w:noWrap/>
            <w:vAlign w:val="bottom"/>
            <w:hideMark/>
          </w:tcPr>
          <w:p w14:paraId="0D3B3B9D"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0.44±0.10</w:t>
            </w:r>
          </w:p>
        </w:tc>
        <w:tc>
          <w:tcPr>
            <w:tcW w:w="262" w:type="dxa"/>
            <w:tcBorders>
              <w:top w:val="nil"/>
              <w:left w:val="nil"/>
              <w:bottom w:val="nil"/>
              <w:right w:val="nil"/>
            </w:tcBorders>
            <w:shd w:val="clear" w:color="auto" w:fill="auto"/>
            <w:noWrap/>
            <w:vAlign w:val="bottom"/>
            <w:hideMark/>
          </w:tcPr>
          <w:p w14:paraId="346AC024" w14:textId="77777777" w:rsidR="000B63E4" w:rsidRPr="008D7A47" w:rsidRDefault="000B63E4" w:rsidP="00DD0FD8">
            <w:pPr>
              <w:spacing w:line="240" w:lineRule="auto"/>
              <w:jc w:val="center"/>
              <w:rPr>
                <w:rFonts w:cstheme="minorHAnsi"/>
                <w:color w:val="000000"/>
                <w:sz w:val="20"/>
              </w:rPr>
            </w:pPr>
          </w:p>
        </w:tc>
        <w:tc>
          <w:tcPr>
            <w:tcW w:w="1233" w:type="dxa"/>
            <w:tcBorders>
              <w:top w:val="nil"/>
              <w:left w:val="nil"/>
              <w:bottom w:val="nil"/>
              <w:right w:val="nil"/>
            </w:tcBorders>
            <w:shd w:val="clear" w:color="auto" w:fill="auto"/>
            <w:noWrap/>
            <w:vAlign w:val="bottom"/>
            <w:hideMark/>
          </w:tcPr>
          <w:p w14:paraId="7E59F134"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18.18±3.57</w:t>
            </w:r>
          </w:p>
        </w:tc>
        <w:tc>
          <w:tcPr>
            <w:tcW w:w="1260" w:type="dxa"/>
            <w:tcBorders>
              <w:top w:val="nil"/>
              <w:left w:val="nil"/>
              <w:bottom w:val="nil"/>
              <w:right w:val="nil"/>
            </w:tcBorders>
            <w:shd w:val="clear" w:color="auto" w:fill="auto"/>
            <w:noWrap/>
            <w:vAlign w:val="bottom"/>
            <w:hideMark/>
          </w:tcPr>
          <w:p w14:paraId="5B8746B5"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10.23±0.50</w:t>
            </w:r>
          </w:p>
        </w:tc>
        <w:tc>
          <w:tcPr>
            <w:tcW w:w="1080" w:type="dxa"/>
            <w:tcBorders>
              <w:top w:val="nil"/>
              <w:left w:val="nil"/>
              <w:bottom w:val="nil"/>
              <w:right w:val="nil"/>
            </w:tcBorders>
            <w:shd w:val="clear" w:color="auto" w:fill="auto"/>
            <w:noWrap/>
            <w:vAlign w:val="bottom"/>
            <w:hideMark/>
          </w:tcPr>
          <w:p w14:paraId="6FB08077"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0.40±0.08</w:t>
            </w:r>
          </w:p>
        </w:tc>
      </w:tr>
      <w:tr w:rsidR="000B63E4" w:rsidRPr="008D7A47" w14:paraId="4FE4555A" w14:textId="77777777" w:rsidTr="000B63E4">
        <w:trPr>
          <w:trHeight w:val="300"/>
        </w:trPr>
        <w:tc>
          <w:tcPr>
            <w:tcW w:w="900" w:type="dxa"/>
            <w:tcBorders>
              <w:top w:val="nil"/>
              <w:left w:val="nil"/>
              <w:bottom w:val="single" w:sz="4" w:space="0" w:color="auto"/>
              <w:right w:val="nil"/>
            </w:tcBorders>
            <w:shd w:val="clear" w:color="auto" w:fill="auto"/>
            <w:noWrap/>
            <w:vAlign w:val="bottom"/>
            <w:hideMark/>
          </w:tcPr>
          <w:p w14:paraId="098A6F12"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Cell 2S</w:t>
            </w:r>
          </w:p>
        </w:tc>
        <w:tc>
          <w:tcPr>
            <w:tcW w:w="1127" w:type="dxa"/>
            <w:tcBorders>
              <w:top w:val="nil"/>
              <w:left w:val="nil"/>
              <w:bottom w:val="single" w:sz="4" w:space="0" w:color="auto"/>
              <w:right w:val="nil"/>
            </w:tcBorders>
            <w:shd w:val="clear" w:color="auto" w:fill="auto"/>
            <w:noWrap/>
            <w:vAlign w:val="bottom"/>
            <w:hideMark/>
          </w:tcPr>
          <w:p w14:paraId="1ED3C4A2"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21.02±2.93</w:t>
            </w:r>
          </w:p>
        </w:tc>
        <w:tc>
          <w:tcPr>
            <w:tcW w:w="1213" w:type="dxa"/>
            <w:tcBorders>
              <w:top w:val="nil"/>
              <w:left w:val="nil"/>
              <w:bottom w:val="single" w:sz="4" w:space="0" w:color="auto"/>
              <w:right w:val="nil"/>
            </w:tcBorders>
            <w:shd w:val="clear" w:color="auto" w:fill="auto"/>
            <w:noWrap/>
            <w:vAlign w:val="bottom"/>
            <w:hideMark/>
          </w:tcPr>
          <w:p w14:paraId="3D2B2C14"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11.96±2.94</w:t>
            </w:r>
          </w:p>
        </w:tc>
        <w:tc>
          <w:tcPr>
            <w:tcW w:w="1025" w:type="dxa"/>
            <w:tcBorders>
              <w:top w:val="nil"/>
              <w:left w:val="nil"/>
              <w:bottom w:val="single" w:sz="4" w:space="0" w:color="auto"/>
              <w:right w:val="nil"/>
            </w:tcBorders>
            <w:shd w:val="clear" w:color="auto" w:fill="auto"/>
            <w:noWrap/>
            <w:vAlign w:val="bottom"/>
            <w:hideMark/>
          </w:tcPr>
          <w:p w14:paraId="3C46E211"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0.36±0.04</w:t>
            </w:r>
          </w:p>
        </w:tc>
        <w:tc>
          <w:tcPr>
            <w:tcW w:w="262" w:type="dxa"/>
            <w:tcBorders>
              <w:top w:val="nil"/>
              <w:left w:val="nil"/>
              <w:bottom w:val="single" w:sz="4" w:space="0" w:color="auto"/>
              <w:right w:val="nil"/>
            </w:tcBorders>
            <w:shd w:val="clear" w:color="auto" w:fill="auto"/>
            <w:noWrap/>
            <w:vAlign w:val="bottom"/>
            <w:hideMark/>
          </w:tcPr>
          <w:p w14:paraId="065B881C" w14:textId="206B9BCE" w:rsidR="000B63E4" w:rsidRPr="008D7A47" w:rsidRDefault="000B63E4" w:rsidP="00DD0FD8">
            <w:pPr>
              <w:spacing w:line="240" w:lineRule="auto"/>
              <w:jc w:val="center"/>
              <w:rPr>
                <w:rFonts w:cstheme="minorHAnsi"/>
                <w:color w:val="000000"/>
                <w:sz w:val="20"/>
              </w:rPr>
            </w:pPr>
          </w:p>
        </w:tc>
        <w:tc>
          <w:tcPr>
            <w:tcW w:w="1233" w:type="dxa"/>
            <w:tcBorders>
              <w:top w:val="nil"/>
              <w:left w:val="nil"/>
              <w:bottom w:val="single" w:sz="4" w:space="0" w:color="auto"/>
              <w:right w:val="nil"/>
            </w:tcBorders>
            <w:shd w:val="clear" w:color="auto" w:fill="auto"/>
            <w:noWrap/>
            <w:vAlign w:val="bottom"/>
            <w:hideMark/>
          </w:tcPr>
          <w:p w14:paraId="00815D29"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18.22±0.82</w:t>
            </w:r>
          </w:p>
        </w:tc>
        <w:tc>
          <w:tcPr>
            <w:tcW w:w="1260" w:type="dxa"/>
            <w:tcBorders>
              <w:top w:val="nil"/>
              <w:left w:val="nil"/>
              <w:bottom w:val="single" w:sz="4" w:space="0" w:color="auto"/>
              <w:right w:val="nil"/>
            </w:tcBorders>
            <w:shd w:val="clear" w:color="auto" w:fill="auto"/>
            <w:noWrap/>
            <w:vAlign w:val="bottom"/>
            <w:hideMark/>
          </w:tcPr>
          <w:p w14:paraId="7DDFB034"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12.17±3.22</w:t>
            </w:r>
          </w:p>
        </w:tc>
        <w:tc>
          <w:tcPr>
            <w:tcW w:w="1080" w:type="dxa"/>
            <w:tcBorders>
              <w:top w:val="nil"/>
              <w:left w:val="nil"/>
              <w:bottom w:val="single" w:sz="4" w:space="0" w:color="auto"/>
              <w:right w:val="nil"/>
            </w:tcBorders>
            <w:shd w:val="clear" w:color="auto" w:fill="auto"/>
            <w:noWrap/>
            <w:vAlign w:val="bottom"/>
            <w:hideMark/>
          </w:tcPr>
          <w:p w14:paraId="0977B195" w14:textId="77777777" w:rsidR="000B63E4" w:rsidRPr="008D7A47" w:rsidRDefault="000B63E4" w:rsidP="00DD0FD8">
            <w:pPr>
              <w:spacing w:line="240" w:lineRule="auto"/>
              <w:jc w:val="center"/>
              <w:rPr>
                <w:rFonts w:cstheme="minorHAnsi"/>
                <w:color w:val="000000"/>
                <w:sz w:val="20"/>
              </w:rPr>
            </w:pPr>
            <w:r w:rsidRPr="008D7A47">
              <w:rPr>
                <w:rFonts w:cstheme="minorHAnsi"/>
                <w:color w:val="000000"/>
                <w:sz w:val="20"/>
              </w:rPr>
              <w:t>0.42±0.02</w:t>
            </w:r>
          </w:p>
        </w:tc>
      </w:tr>
    </w:tbl>
    <w:p w14:paraId="05AB4EB1" w14:textId="77777777" w:rsidR="000B63E4" w:rsidRPr="008C1627" w:rsidRDefault="000B63E4" w:rsidP="000B63E4">
      <w:pPr>
        <w:spacing w:line="360" w:lineRule="auto"/>
        <w:jc w:val="both"/>
        <w:rPr>
          <w:rFonts w:cstheme="minorHAnsi"/>
        </w:rPr>
      </w:pPr>
    </w:p>
    <w:p w14:paraId="17F68C7C" w14:textId="77777777" w:rsidR="000B63E4" w:rsidRPr="008C1627" w:rsidRDefault="000B63E4" w:rsidP="000B63E4">
      <w:pPr>
        <w:spacing w:line="480" w:lineRule="auto"/>
        <w:jc w:val="both"/>
        <w:rPr>
          <w:rFonts w:cstheme="minorHAnsi"/>
        </w:rPr>
      </w:pPr>
      <w:r w:rsidRPr="008C1627">
        <w:rPr>
          <w:rFonts w:cstheme="minorHAnsi"/>
        </w:rPr>
        <w:t>Mean particle size increased between Cells 1 and 2 for both the newest and the oldest material sequestered in the treatment cells. Surface area decreased between Cell 1 and Cells 2N/2S. Both observations are consistent with the flocculation of increasingly larger particle size settling out over time. The uniformity coefficient (D60/D10) decreases for the newest material as one moves through the treatment cells, while the oldest material remains consistent. The high value for the uniformity coefficient indicates that larger diameter particles (D60) are more abundant than smaller particles (D10) and thus is less uniform in particle size distribution.</w:t>
      </w:r>
    </w:p>
    <w:p w14:paraId="68781CA7" w14:textId="6A356E2E" w:rsidR="000B63E4" w:rsidRDefault="000B63E4" w:rsidP="000B63E4">
      <w:pPr>
        <w:spacing w:line="480" w:lineRule="auto"/>
        <w:jc w:val="both"/>
        <w:rPr>
          <w:rFonts w:cstheme="minorHAnsi"/>
        </w:rPr>
      </w:pPr>
      <w:r>
        <w:rPr>
          <w:rFonts w:cstheme="minorHAnsi"/>
        </w:rPr>
        <w:t>A</w:t>
      </w:r>
      <w:r w:rsidRPr="008C1627">
        <w:rPr>
          <w:rFonts w:cstheme="minorHAnsi"/>
        </w:rPr>
        <w:t>ll samples contained less than 2% residual moisture after air drying in the laboratory</w:t>
      </w:r>
      <w:r>
        <w:rPr>
          <w:rFonts w:cstheme="minorHAnsi"/>
        </w:rPr>
        <w:t xml:space="preserve"> (T</w:t>
      </w:r>
      <w:r w:rsidR="00317F91">
        <w:rPr>
          <w:rFonts w:cstheme="minorHAnsi"/>
        </w:rPr>
        <w:t>able 4</w:t>
      </w:r>
      <w:r w:rsidRPr="008C1627">
        <w:rPr>
          <w:rFonts w:cstheme="minorHAnsi"/>
        </w:rPr>
        <w:t>.3</w:t>
      </w:r>
      <w:r>
        <w:rPr>
          <w:rFonts w:cstheme="minorHAnsi"/>
        </w:rPr>
        <w:t>)</w:t>
      </w:r>
      <w:r w:rsidRPr="008C1627">
        <w:rPr>
          <w:rFonts w:cstheme="minorHAnsi"/>
        </w:rPr>
        <w:t xml:space="preserve">. All the samples had low organic matter content, with Cell 1 having more than Cells 2N/2S. </w:t>
      </w:r>
      <w:r w:rsidRPr="008C1627">
        <w:rPr>
          <w:rFonts w:cstheme="minorHAnsi"/>
        </w:rPr>
        <w:lastRenderedPageBreak/>
        <w:t xml:space="preserve">The percent mass of organic matter decreases with increasing material age. Crystallinity of the iron oxides increased between Cell 1 and Cell 2N/2S and increased with increasing age </w:t>
      </w:r>
      <w:r>
        <w:rPr>
          <w:rFonts w:cstheme="minorHAnsi"/>
        </w:rPr>
        <w:t xml:space="preserve">of the </w:t>
      </w:r>
      <w:r w:rsidRPr="008C1627">
        <w:rPr>
          <w:rFonts w:cstheme="minorHAnsi"/>
        </w:rPr>
        <w:t xml:space="preserve">material. Raman microscopy suggested poor crystallinity and the presence of </w:t>
      </w:r>
      <w:proofErr w:type="spellStart"/>
      <w:r w:rsidRPr="008C1627">
        <w:rPr>
          <w:rFonts w:cstheme="minorHAnsi"/>
        </w:rPr>
        <w:t>ferrihydrite</w:t>
      </w:r>
      <w:proofErr w:type="spellEnd"/>
      <w:r w:rsidRPr="008C1627">
        <w:rPr>
          <w:rFonts w:cstheme="minorHAnsi"/>
        </w:rPr>
        <w:t xml:space="preserve"> in the newest samples transitioning to goethite in the oldest samples by matching composite spectra to values reported in the literature for acid mine drainage </w:t>
      </w:r>
      <w:r w:rsidRPr="008C1627">
        <w:rPr>
          <w:rFonts w:cstheme="minorHAnsi"/>
        </w:rPr>
        <w:fldChar w:fldCharType="begin" w:fldLock="1"/>
      </w:r>
      <w:r w:rsidRPr="008C1627">
        <w:rPr>
          <w:rFonts w:cstheme="minorHAnsi"/>
        </w:rPr>
        <w:instrText>ADDIN CSL_CITATION { "citationItems" : [ { "id" : "ITEM-1", "itemData" : { "DOI" : "10.1016/j.chemgeo.2011.09.001", "ISBN" : "0009-2541", "ISSN" : "00092541", "abstract" : "Raman spectroscopy can be used for the rapid identification of a wide variety of minerals ranging from common iron oxy(hydroxides), such as ferrihydrite, to rare minerals, such as adelite. This study employed Raman spectroscopy (laser power 0.1%) to characterize both synthetic and common natural iron-bearing mineral phases, including oxides (hematite, magnetite), hydroxides (ferrihydrite, goethite, lepidocrocite, akagan??ite), carbonate (siderite), sulfate (Na-jarosite), and ferric arsenates (scorodite, yukonite), found in acid mine drainage and mine tailings settings. X-ray diffraction (XRD) was conducted to verify the purity of phases and compared with associated Raman analyses. Samples with arsenate adsorbed onto ferrihydrite at varied As/Fe ratios (0.50, 0.10, and 0.05) at pH ~. 10 were also evaluated. Raman spectra were compared with the literature and recommendations made regarding Raman bands that are the most diagnostic for the individual iron minerals studied. Comparison of the Raman and XRD scans shows Raman can either augment or replace XRD for mineral identification. Lastly, some important applications of Raman spectrometry for evaluating significant environmental processes are discussed. ?? 2011 Elsevier B.V.", "author" : [ { "dropping-particle" : "", "family" : "Das", "given" : "Soumya", "non-dropping-particle" : "", "parse-names" : false, "suffix" : "" }, { "dropping-particle" : "", "family" : "Hendry", "given" : "M. Jim", "non-dropping-particle" : "", "parse-names" : false, "suffix" : "" } ], "container-title" : "Chemical Geology", "id" : "ITEM-1", "issue" : "3-4", "issued" : { "date-parts" : [ [ "2011" ] ] }, "page" : "101-108", "publisher" : "Elsevier B.V.", "title" : "Application of Raman spectroscopy to identify iron minerals commonly found in mine wastes", "type" : "article-journal", "volume" : "290" }, "uris" : [ "http://www.mendeley.com/documents/?uuid=27745872-0115-45a4-9d3a-ee28337b6323" ] } ], "mendeley" : { "formattedCitation" : "(Das and Hendry 2011b)", "plainTextFormattedCitation" : "(Das and Hendry 2011b)", "previouslyFormattedCitation" : "(Das and Hendry 2011b)" }, "properties" : { "noteIndex" : 0 }, "schema" : "https://github.com/citation-style-language/schema/raw/master/csl-citation.json" }</w:instrText>
      </w:r>
      <w:r w:rsidRPr="008C1627">
        <w:rPr>
          <w:rFonts w:cstheme="minorHAnsi"/>
        </w:rPr>
        <w:fldChar w:fldCharType="separate"/>
      </w:r>
      <w:r w:rsidRPr="008C1627">
        <w:rPr>
          <w:rFonts w:cstheme="minorHAnsi"/>
          <w:noProof/>
        </w:rPr>
        <w:t>(Das and Hendry 2011b)</w:t>
      </w:r>
      <w:r w:rsidRPr="008C1627">
        <w:rPr>
          <w:rFonts w:cstheme="minorHAnsi"/>
        </w:rPr>
        <w:fldChar w:fldCharType="end"/>
      </w:r>
      <w:r w:rsidRPr="008C1627">
        <w:rPr>
          <w:rFonts w:cstheme="minorHAnsi"/>
        </w:rPr>
        <w:t>. Raman bands at 244, 299, 385, 480, 548, and 681 are indicative of goethite</w:t>
      </w:r>
      <w:r>
        <w:rPr>
          <w:rFonts w:cstheme="minorHAnsi"/>
        </w:rPr>
        <w:t>,</w:t>
      </w:r>
      <w:r w:rsidRPr="008C1627">
        <w:rPr>
          <w:rFonts w:cstheme="minorHAnsi"/>
        </w:rPr>
        <w:t xml:space="preserve"> with 385 being most prominent. In contrast, </w:t>
      </w:r>
      <w:proofErr w:type="spellStart"/>
      <w:r w:rsidRPr="008C1627">
        <w:rPr>
          <w:rFonts w:cstheme="minorHAnsi"/>
        </w:rPr>
        <w:t>ferrihydrite</w:t>
      </w:r>
      <w:proofErr w:type="spellEnd"/>
      <w:r w:rsidRPr="008C1627">
        <w:rPr>
          <w:rFonts w:cstheme="minorHAnsi"/>
        </w:rPr>
        <w:t xml:space="preserve"> </w:t>
      </w:r>
      <w:r>
        <w:rPr>
          <w:rFonts w:cstheme="minorHAnsi"/>
        </w:rPr>
        <w:t>R</w:t>
      </w:r>
      <w:r w:rsidRPr="008C1627">
        <w:rPr>
          <w:rFonts w:cstheme="minorHAnsi"/>
        </w:rPr>
        <w:t xml:space="preserve">aman bands include 370, 510, and 710 with the 710 band being the most prominent </w:t>
      </w:r>
      <w:r w:rsidRPr="008C1627">
        <w:rPr>
          <w:rFonts w:cstheme="minorHAnsi"/>
        </w:rPr>
        <w:fldChar w:fldCharType="begin" w:fldLock="1"/>
      </w:r>
      <w:r w:rsidRPr="008C1627">
        <w:rPr>
          <w:rFonts w:cstheme="minorHAnsi"/>
        </w:rPr>
        <w:instrText>ADDIN CSL_CITATION { "citationItems" : [ { "id" : "ITEM-1", "itemData" : { "DOI" : "10.1111/j.1365-246X.2009.04122.x", "ISBN" : "0956-540X", "ISSN" : "0956540X", "abstract" : "SUMMARY Raman spectroscopy uses the inelastic scattering of electromagnetic radiation by molecules. Monochromatic light of a laser interacts with phonons, the vibrational modes in the crystal lattice. The energy of the scattered light is shifted by the scattering. The shifts in energy yield the Raman spectrum that is specific for each mineral because the phonons are specific for each mineral. In this study, Raman spectroscopy of synthetic and natural iron (oxy)hydroxides and iron oxides was performed to test its potential in environmental magnetic studies and soil science. The main aim was to distinguish between the different iron oxides occurring in soils. Most of them can be identified by magnetic methods, but there are some minerals that are not easy to differentiate from each other. In these cases, the magnetic methods can be complemented by Raman spectroscopy. A major challenge is the fast transformation of many iron minerals if laser power is applied, especially if the material is poorly crystallized as often is the case in environmental material. In this study, very low laser powers were applied. Nevertheless, the investigated iron minerals could be distinguished from each other. Thus, a magnetic method to discern lepidocrocite and ferrihydrite in soil samples could be corroborated. It is also shown that Raman spectroscopy is an easy method to distinguish magnetite and maghemite. Due to the low laser powers applied, a wuestite band at about 595 cm1 could be established enabling a non-ambiguous identification of this mineral by its Raman spectrum. Furthermore, the potential of the method to investigate magnetic material produced by soil bacteria is demonstrated.", "author" : [ { "dropping-particle" : "", "family" : "Hanesch", "given" : "Monika", "non-dropping-particle" : "", "parse-names" : false, "suffix" : "" } ], "container-title" : "Geophysical Journal International", "id" : "ITEM-1", "issue" : "3", "issued" : { "date-parts" : [ [ "2009" ] ] }, "page" : "941-948", "title" : "Raman spectroscopy of iron oxides and (oxy)hydroxides at low laser power and possible applications in environmental magnetic studies", "type" : "article-journal", "volume" : "177" }, "uris" : [ "http://www.mendeley.com/documents/?uuid=e4e07767-7daf-4dd0-813f-fbf38c2bb97d" ] } ], "mendeley" : { "formattedCitation" : "(Hanesch 2009)", "plainTextFormattedCitation" : "(Hanesch 2009)", "previouslyFormattedCitation" : "(Hanesch 2009)" }, "properties" : { "noteIndex" : 0 }, "schema" : "https://github.com/citation-style-language/schema/raw/master/csl-citation.json" }</w:instrText>
      </w:r>
      <w:r w:rsidRPr="008C1627">
        <w:rPr>
          <w:rFonts w:cstheme="minorHAnsi"/>
        </w:rPr>
        <w:fldChar w:fldCharType="separate"/>
      </w:r>
      <w:r w:rsidRPr="008C1627">
        <w:rPr>
          <w:rFonts w:cstheme="minorHAnsi"/>
          <w:noProof/>
        </w:rPr>
        <w:t>(Hanesch 2009)</w:t>
      </w:r>
      <w:r w:rsidRPr="008C1627">
        <w:rPr>
          <w:rFonts w:cstheme="minorHAnsi"/>
        </w:rPr>
        <w:fldChar w:fldCharType="end"/>
      </w:r>
      <w:r w:rsidRPr="008C1627">
        <w:rPr>
          <w:rFonts w:cstheme="minorHAnsi"/>
        </w:rPr>
        <w:t xml:space="preserve">. </w:t>
      </w:r>
    </w:p>
    <w:p w14:paraId="62F027EE" w14:textId="767676F6" w:rsidR="000B63E4" w:rsidRPr="008D7A47" w:rsidRDefault="00317F91" w:rsidP="000B63E4">
      <w:pPr>
        <w:spacing w:line="240" w:lineRule="auto"/>
        <w:jc w:val="both"/>
        <w:rPr>
          <w:rFonts w:cstheme="minorHAnsi"/>
          <w:sz w:val="20"/>
        </w:rPr>
      </w:pPr>
      <w:r>
        <w:rPr>
          <w:rFonts w:cstheme="minorHAnsi"/>
          <w:sz w:val="20"/>
        </w:rPr>
        <w:t>Table 4</w:t>
      </w:r>
      <w:r w:rsidR="000B63E4" w:rsidRPr="008D7A47">
        <w:rPr>
          <w:rFonts w:cstheme="minorHAnsi"/>
          <w:sz w:val="20"/>
        </w:rPr>
        <w:t>.3: Average residual moisture (%), organic matter (%), and crystallinity (%) for the oxidative unit based on the</w:t>
      </w:r>
      <w:r w:rsidR="006B0CD6">
        <w:rPr>
          <w:rFonts w:cstheme="minorHAnsi"/>
          <w:sz w:val="20"/>
        </w:rPr>
        <w:t xml:space="preserve"> depth</w:t>
      </w:r>
      <w:r w:rsidR="000B63E4" w:rsidRPr="008D7A47">
        <w:rPr>
          <w:rFonts w:cstheme="minorHAnsi"/>
          <w:sz w:val="20"/>
        </w:rPr>
        <w:t xml:space="preserve"> of the accumulated iron </w:t>
      </w:r>
      <w:proofErr w:type="spellStart"/>
      <w:r w:rsidR="000B63E4" w:rsidRPr="008D7A47">
        <w:rPr>
          <w:rFonts w:cstheme="minorHAnsi"/>
          <w:sz w:val="20"/>
        </w:rPr>
        <w:t>oxyhydroxides</w:t>
      </w:r>
      <w:proofErr w:type="spellEnd"/>
      <w:r w:rsidR="000B63E4" w:rsidRPr="008D7A47">
        <w:rPr>
          <w:rFonts w:cstheme="minorHAnsi"/>
          <w:sz w:val="20"/>
        </w:rPr>
        <w:t xml:space="preserve"> (±standard deviation)</w:t>
      </w:r>
    </w:p>
    <w:tbl>
      <w:tblPr>
        <w:tblW w:w="8190" w:type="dxa"/>
        <w:tblLook w:val="04A0" w:firstRow="1" w:lastRow="0" w:firstColumn="1" w:lastColumn="0" w:noHBand="0" w:noVBand="1"/>
      </w:tblPr>
      <w:tblGrid>
        <w:gridCol w:w="1031"/>
        <w:gridCol w:w="1114"/>
        <w:gridCol w:w="1275"/>
        <w:gridCol w:w="1171"/>
        <w:gridCol w:w="7"/>
        <w:gridCol w:w="260"/>
        <w:gridCol w:w="7"/>
        <w:gridCol w:w="951"/>
        <w:gridCol w:w="1212"/>
        <w:gridCol w:w="1171"/>
        <w:gridCol w:w="7"/>
      </w:tblGrid>
      <w:tr w:rsidR="000B63E4" w:rsidRPr="008D7A47" w14:paraId="4356A930" w14:textId="77777777" w:rsidTr="000B63E4">
        <w:trPr>
          <w:trHeight w:val="360"/>
        </w:trPr>
        <w:tc>
          <w:tcPr>
            <w:tcW w:w="1031" w:type="dxa"/>
            <w:tcBorders>
              <w:top w:val="single" w:sz="4" w:space="0" w:color="auto"/>
              <w:left w:val="nil"/>
              <w:bottom w:val="nil"/>
              <w:right w:val="nil"/>
            </w:tcBorders>
            <w:shd w:val="clear" w:color="auto" w:fill="auto"/>
            <w:noWrap/>
            <w:vAlign w:val="bottom"/>
            <w:hideMark/>
          </w:tcPr>
          <w:p w14:paraId="3238B991" w14:textId="77777777" w:rsidR="000B63E4" w:rsidRPr="008D7A47" w:rsidRDefault="000B63E4" w:rsidP="000B63E4">
            <w:pPr>
              <w:spacing w:line="240" w:lineRule="auto"/>
              <w:jc w:val="both"/>
              <w:rPr>
                <w:rFonts w:cstheme="minorHAnsi"/>
                <w:color w:val="000000"/>
                <w:sz w:val="20"/>
              </w:rPr>
            </w:pPr>
            <w:r w:rsidRPr="008D7A47">
              <w:rPr>
                <w:rFonts w:cstheme="minorHAnsi"/>
                <w:color w:val="000000"/>
                <w:sz w:val="20"/>
              </w:rPr>
              <w:t> </w:t>
            </w:r>
          </w:p>
        </w:tc>
        <w:tc>
          <w:tcPr>
            <w:tcW w:w="3559" w:type="dxa"/>
            <w:gridSpan w:val="4"/>
            <w:tcBorders>
              <w:top w:val="single" w:sz="4" w:space="0" w:color="auto"/>
              <w:left w:val="nil"/>
              <w:bottom w:val="nil"/>
              <w:right w:val="nil"/>
            </w:tcBorders>
            <w:shd w:val="clear" w:color="auto" w:fill="auto"/>
            <w:noWrap/>
            <w:vAlign w:val="bottom"/>
            <w:hideMark/>
          </w:tcPr>
          <w:p w14:paraId="4533BCED"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 xml:space="preserve">Top (Newest) </w:t>
            </w:r>
            <w:proofErr w:type="spellStart"/>
            <w:r w:rsidRPr="008D7A47">
              <w:rPr>
                <w:rFonts w:cstheme="minorHAnsi"/>
                <w:color w:val="000000"/>
                <w:sz w:val="20"/>
              </w:rPr>
              <w:t>FeOOH</w:t>
            </w:r>
            <w:proofErr w:type="spellEnd"/>
            <w:r w:rsidRPr="008D7A47">
              <w:rPr>
                <w:rFonts w:cstheme="minorHAnsi"/>
                <w:i/>
                <w:iCs/>
                <w:color w:val="000000"/>
                <w:sz w:val="20"/>
                <w:vertAlign w:val="subscript"/>
              </w:rPr>
              <w:t>(s)</w:t>
            </w:r>
          </w:p>
        </w:tc>
        <w:tc>
          <w:tcPr>
            <w:tcW w:w="267" w:type="dxa"/>
            <w:gridSpan w:val="2"/>
            <w:tcBorders>
              <w:top w:val="single" w:sz="4" w:space="0" w:color="auto"/>
              <w:left w:val="nil"/>
              <w:bottom w:val="nil"/>
              <w:right w:val="nil"/>
            </w:tcBorders>
            <w:shd w:val="clear" w:color="auto" w:fill="auto"/>
            <w:noWrap/>
            <w:vAlign w:val="bottom"/>
            <w:hideMark/>
          </w:tcPr>
          <w:p w14:paraId="6CE3B459" w14:textId="65409036" w:rsidR="000B63E4" w:rsidRPr="008D7A47" w:rsidRDefault="000B63E4" w:rsidP="006B0CD6">
            <w:pPr>
              <w:spacing w:line="240" w:lineRule="auto"/>
              <w:jc w:val="center"/>
              <w:rPr>
                <w:rFonts w:cstheme="minorHAnsi"/>
                <w:color w:val="000000"/>
                <w:sz w:val="20"/>
              </w:rPr>
            </w:pPr>
          </w:p>
        </w:tc>
        <w:tc>
          <w:tcPr>
            <w:tcW w:w="3333" w:type="dxa"/>
            <w:gridSpan w:val="4"/>
            <w:tcBorders>
              <w:top w:val="single" w:sz="4" w:space="0" w:color="auto"/>
              <w:left w:val="nil"/>
              <w:bottom w:val="nil"/>
              <w:right w:val="nil"/>
            </w:tcBorders>
            <w:shd w:val="clear" w:color="auto" w:fill="auto"/>
            <w:noWrap/>
            <w:vAlign w:val="bottom"/>
            <w:hideMark/>
          </w:tcPr>
          <w:p w14:paraId="768ABBE1"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 xml:space="preserve">Bottom (Oldest) </w:t>
            </w:r>
            <w:proofErr w:type="spellStart"/>
            <w:r w:rsidRPr="008D7A47">
              <w:rPr>
                <w:rFonts w:cstheme="minorHAnsi"/>
                <w:color w:val="000000"/>
                <w:sz w:val="20"/>
              </w:rPr>
              <w:t>FeOOH</w:t>
            </w:r>
            <w:proofErr w:type="spellEnd"/>
            <w:r w:rsidRPr="008D7A47">
              <w:rPr>
                <w:rFonts w:cstheme="minorHAnsi"/>
                <w:i/>
                <w:iCs/>
                <w:color w:val="000000"/>
                <w:sz w:val="20"/>
                <w:vertAlign w:val="subscript"/>
              </w:rPr>
              <w:t>(s)</w:t>
            </w:r>
          </w:p>
        </w:tc>
      </w:tr>
      <w:tr w:rsidR="000B63E4" w:rsidRPr="008D7A47" w14:paraId="5C3944C8" w14:textId="77777777" w:rsidTr="000B63E4">
        <w:trPr>
          <w:gridAfter w:val="1"/>
          <w:wAfter w:w="7" w:type="dxa"/>
          <w:trHeight w:val="615"/>
        </w:trPr>
        <w:tc>
          <w:tcPr>
            <w:tcW w:w="1031" w:type="dxa"/>
            <w:tcBorders>
              <w:top w:val="nil"/>
              <w:left w:val="nil"/>
              <w:bottom w:val="double" w:sz="6" w:space="0" w:color="auto"/>
              <w:right w:val="nil"/>
            </w:tcBorders>
            <w:shd w:val="clear" w:color="auto" w:fill="auto"/>
            <w:vAlign w:val="bottom"/>
            <w:hideMark/>
          </w:tcPr>
          <w:p w14:paraId="6EA5796A" w14:textId="77777777" w:rsidR="000B63E4" w:rsidRPr="008D7A47" w:rsidRDefault="000B63E4" w:rsidP="000B63E4">
            <w:pPr>
              <w:spacing w:line="240" w:lineRule="auto"/>
              <w:jc w:val="both"/>
              <w:rPr>
                <w:rFonts w:cstheme="minorHAnsi"/>
                <w:color w:val="000000"/>
                <w:sz w:val="20"/>
              </w:rPr>
            </w:pPr>
            <w:r w:rsidRPr="008D7A47">
              <w:rPr>
                <w:rFonts w:cstheme="minorHAnsi"/>
                <w:color w:val="000000"/>
                <w:sz w:val="20"/>
              </w:rPr>
              <w:t> </w:t>
            </w:r>
          </w:p>
        </w:tc>
        <w:tc>
          <w:tcPr>
            <w:tcW w:w="1114" w:type="dxa"/>
            <w:tcBorders>
              <w:top w:val="nil"/>
              <w:left w:val="nil"/>
              <w:bottom w:val="double" w:sz="6" w:space="0" w:color="auto"/>
              <w:right w:val="nil"/>
            </w:tcBorders>
            <w:shd w:val="clear" w:color="auto" w:fill="auto"/>
            <w:vAlign w:val="bottom"/>
            <w:hideMark/>
          </w:tcPr>
          <w:p w14:paraId="5D2FD5B0"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Residual Moisture (%)</w:t>
            </w:r>
          </w:p>
        </w:tc>
        <w:tc>
          <w:tcPr>
            <w:tcW w:w="1275" w:type="dxa"/>
            <w:tcBorders>
              <w:top w:val="nil"/>
              <w:left w:val="nil"/>
              <w:bottom w:val="double" w:sz="6" w:space="0" w:color="auto"/>
              <w:right w:val="nil"/>
            </w:tcBorders>
            <w:shd w:val="clear" w:color="auto" w:fill="auto"/>
            <w:vAlign w:val="bottom"/>
            <w:hideMark/>
          </w:tcPr>
          <w:p w14:paraId="0F259649"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LOI Organic Matter (%)</w:t>
            </w:r>
          </w:p>
        </w:tc>
        <w:tc>
          <w:tcPr>
            <w:tcW w:w="1163" w:type="dxa"/>
            <w:tcBorders>
              <w:top w:val="nil"/>
              <w:left w:val="nil"/>
              <w:bottom w:val="double" w:sz="6" w:space="0" w:color="auto"/>
              <w:right w:val="nil"/>
            </w:tcBorders>
            <w:shd w:val="clear" w:color="auto" w:fill="auto"/>
            <w:vAlign w:val="bottom"/>
            <w:hideMark/>
          </w:tcPr>
          <w:p w14:paraId="30031DBA"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Crystallinity (%)</w:t>
            </w:r>
          </w:p>
        </w:tc>
        <w:tc>
          <w:tcPr>
            <w:tcW w:w="267" w:type="dxa"/>
            <w:gridSpan w:val="2"/>
            <w:tcBorders>
              <w:top w:val="nil"/>
              <w:left w:val="nil"/>
              <w:bottom w:val="double" w:sz="6" w:space="0" w:color="auto"/>
              <w:right w:val="nil"/>
            </w:tcBorders>
            <w:shd w:val="clear" w:color="auto" w:fill="auto"/>
            <w:vAlign w:val="bottom"/>
            <w:hideMark/>
          </w:tcPr>
          <w:p w14:paraId="02982CAF" w14:textId="78E94DAB" w:rsidR="000B63E4" w:rsidRPr="008D7A47" w:rsidRDefault="000B63E4" w:rsidP="006B0CD6">
            <w:pPr>
              <w:spacing w:line="240" w:lineRule="auto"/>
              <w:jc w:val="center"/>
              <w:rPr>
                <w:rFonts w:cstheme="minorHAnsi"/>
                <w:color w:val="000000"/>
                <w:sz w:val="20"/>
              </w:rPr>
            </w:pPr>
          </w:p>
        </w:tc>
        <w:tc>
          <w:tcPr>
            <w:tcW w:w="958" w:type="dxa"/>
            <w:gridSpan w:val="2"/>
            <w:tcBorders>
              <w:top w:val="nil"/>
              <w:left w:val="nil"/>
              <w:bottom w:val="double" w:sz="6" w:space="0" w:color="auto"/>
              <w:right w:val="nil"/>
            </w:tcBorders>
            <w:shd w:val="clear" w:color="auto" w:fill="auto"/>
            <w:vAlign w:val="bottom"/>
            <w:hideMark/>
          </w:tcPr>
          <w:p w14:paraId="22F6ED53"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Residual Moisture (%)</w:t>
            </w:r>
          </w:p>
        </w:tc>
        <w:tc>
          <w:tcPr>
            <w:tcW w:w="1212" w:type="dxa"/>
            <w:tcBorders>
              <w:top w:val="nil"/>
              <w:left w:val="nil"/>
              <w:bottom w:val="double" w:sz="6" w:space="0" w:color="auto"/>
              <w:right w:val="nil"/>
            </w:tcBorders>
            <w:shd w:val="clear" w:color="auto" w:fill="auto"/>
            <w:vAlign w:val="bottom"/>
            <w:hideMark/>
          </w:tcPr>
          <w:p w14:paraId="75FB4206"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LOI Organic Matter (%)</w:t>
            </w:r>
          </w:p>
        </w:tc>
        <w:tc>
          <w:tcPr>
            <w:tcW w:w="1163" w:type="dxa"/>
            <w:tcBorders>
              <w:top w:val="nil"/>
              <w:left w:val="nil"/>
              <w:bottom w:val="double" w:sz="6" w:space="0" w:color="auto"/>
              <w:right w:val="nil"/>
            </w:tcBorders>
            <w:shd w:val="clear" w:color="auto" w:fill="auto"/>
            <w:vAlign w:val="bottom"/>
            <w:hideMark/>
          </w:tcPr>
          <w:p w14:paraId="4320CBDA"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Crystallinity (%)</w:t>
            </w:r>
          </w:p>
        </w:tc>
      </w:tr>
      <w:tr w:rsidR="000B63E4" w:rsidRPr="008D7A47" w14:paraId="4B74F910" w14:textId="77777777" w:rsidTr="000B63E4">
        <w:trPr>
          <w:gridAfter w:val="1"/>
          <w:wAfter w:w="7" w:type="dxa"/>
          <w:trHeight w:val="315"/>
        </w:trPr>
        <w:tc>
          <w:tcPr>
            <w:tcW w:w="1031" w:type="dxa"/>
            <w:tcBorders>
              <w:top w:val="nil"/>
              <w:left w:val="nil"/>
              <w:bottom w:val="nil"/>
              <w:right w:val="nil"/>
            </w:tcBorders>
            <w:shd w:val="clear" w:color="auto" w:fill="auto"/>
            <w:noWrap/>
            <w:vAlign w:val="bottom"/>
            <w:hideMark/>
          </w:tcPr>
          <w:p w14:paraId="1C109DA7" w14:textId="77777777" w:rsidR="000B63E4" w:rsidRPr="008D7A47" w:rsidRDefault="000B63E4" w:rsidP="000B63E4">
            <w:pPr>
              <w:spacing w:line="240" w:lineRule="auto"/>
              <w:jc w:val="both"/>
              <w:rPr>
                <w:rFonts w:cstheme="minorHAnsi"/>
                <w:color w:val="000000"/>
                <w:sz w:val="20"/>
              </w:rPr>
            </w:pPr>
            <w:r w:rsidRPr="008D7A47">
              <w:rPr>
                <w:rFonts w:cstheme="minorHAnsi"/>
                <w:color w:val="000000"/>
                <w:sz w:val="20"/>
              </w:rPr>
              <w:t>Cell 1</w:t>
            </w:r>
          </w:p>
        </w:tc>
        <w:tc>
          <w:tcPr>
            <w:tcW w:w="1114" w:type="dxa"/>
            <w:tcBorders>
              <w:top w:val="nil"/>
              <w:left w:val="nil"/>
              <w:bottom w:val="nil"/>
              <w:right w:val="nil"/>
            </w:tcBorders>
            <w:shd w:val="clear" w:color="auto" w:fill="auto"/>
            <w:noWrap/>
            <w:vAlign w:val="bottom"/>
            <w:hideMark/>
          </w:tcPr>
          <w:p w14:paraId="447CBFD9"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1.6±0.2</w:t>
            </w:r>
          </w:p>
        </w:tc>
        <w:tc>
          <w:tcPr>
            <w:tcW w:w="1275" w:type="dxa"/>
            <w:tcBorders>
              <w:top w:val="nil"/>
              <w:left w:val="nil"/>
              <w:bottom w:val="nil"/>
              <w:right w:val="nil"/>
            </w:tcBorders>
            <w:shd w:val="clear" w:color="auto" w:fill="auto"/>
            <w:noWrap/>
            <w:vAlign w:val="bottom"/>
            <w:hideMark/>
          </w:tcPr>
          <w:p w14:paraId="00D8B9CF"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3.4±1.6</w:t>
            </w:r>
          </w:p>
        </w:tc>
        <w:tc>
          <w:tcPr>
            <w:tcW w:w="1163" w:type="dxa"/>
            <w:tcBorders>
              <w:top w:val="nil"/>
              <w:left w:val="nil"/>
              <w:bottom w:val="nil"/>
              <w:right w:val="nil"/>
            </w:tcBorders>
            <w:shd w:val="clear" w:color="auto" w:fill="auto"/>
            <w:noWrap/>
            <w:vAlign w:val="bottom"/>
            <w:hideMark/>
          </w:tcPr>
          <w:p w14:paraId="155CE2BD"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18.7±0.2</w:t>
            </w:r>
          </w:p>
        </w:tc>
        <w:tc>
          <w:tcPr>
            <w:tcW w:w="267" w:type="dxa"/>
            <w:gridSpan w:val="2"/>
            <w:tcBorders>
              <w:top w:val="nil"/>
              <w:left w:val="nil"/>
              <w:bottom w:val="nil"/>
              <w:right w:val="nil"/>
            </w:tcBorders>
            <w:shd w:val="clear" w:color="auto" w:fill="auto"/>
            <w:noWrap/>
            <w:vAlign w:val="bottom"/>
            <w:hideMark/>
          </w:tcPr>
          <w:p w14:paraId="27732A67" w14:textId="77777777" w:rsidR="000B63E4" w:rsidRPr="008D7A47" w:rsidRDefault="000B63E4" w:rsidP="006B0CD6">
            <w:pPr>
              <w:spacing w:line="240" w:lineRule="auto"/>
              <w:jc w:val="center"/>
              <w:rPr>
                <w:rFonts w:cstheme="minorHAnsi"/>
                <w:color w:val="000000"/>
                <w:sz w:val="20"/>
              </w:rPr>
            </w:pPr>
          </w:p>
        </w:tc>
        <w:tc>
          <w:tcPr>
            <w:tcW w:w="958" w:type="dxa"/>
            <w:gridSpan w:val="2"/>
            <w:tcBorders>
              <w:top w:val="nil"/>
              <w:left w:val="nil"/>
              <w:bottom w:val="nil"/>
              <w:right w:val="nil"/>
            </w:tcBorders>
            <w:shd w:val="clear" w:color="auto" w:fill="auto"/>
            <w:noWrap/>
            <w:vAlign w:val="bottom"/>
            <w:hideMark/>
          </w:tcPr>
          <w:p w14:paraId="082E8A2D"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0.9±0.1</w:t>
            </w:r>
          </w:p>
        </w:tc>
        <w:tc>
          <w:tcPr>
            <w:tcW w:w="1212" w:type="dxa"/>
            <w:tcBorders>
              <w:top w:val="nil"/>
              <w:left w:val="nil"/>
              <w:bottom w:val="nil"/>
              <w:right w:val="nil"/>
            </w:tcBorders>
            <w:shd w:val="clear" w:color="auto" w:fill="auto"/>
            <w:noWrap/>
            <w:vAlign w:val="bottom"/>
            <w:hideMark/>
          </w:tcPr>
          <w:p w14:paraId="7C778685"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5.2±3.1</w:t>
            </w:r>
          </w:p>
        </w:tc>
        <w:tc>
          <w:tcPr>
            <w:tcW w:w="1163" w:type="dxa"/>
            <w:tcBorders>
              <w:top w:val="nil"/>
              <w:left w:val="nil"/>
              <w:bottom w:val="nil"/>
              <w:right w:val="nil"/>
            </w:tcBorders>
            <w:shd w:val="clear" w:color="auto" w:fill="auto"/>
            <w:noWrap/>
            <w:vAlign w:val="bottom"/>
            <w:hideMark/>
          </w:tcPr>
          <w:p w14:paraId="10709E48"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16.0±0.01</w:t>
            </w:r>
          </w:p>
        </w:tc>
      </w:tr>
      <w:tr w:rsidR="000B63E4" w:rsidRPr="008D7A47" w14:paraId="105E1ABF" w14:textId="77777777" w:rsidTr="000B63E4">
        <w:trPr>
          <w:gridAfter w:val="1"/>
          <w:wAfter w:w="7" w:type="dxa"/>
          <w:trHeight w:val="300"/>
        </w:trPr>
        <w:tc>
          <w:tcPr>
            <w:tcW w:w="1031" w:type="dxa"/>
            <w:tcBorders>
              <w:top w:val="nil"/>
              <w:left w:val="nil"/>
              <w:bottom w:val="nil"/>
              <w:right w:val="nil"/>
            </w:tcBorders>
            <w:shd w:val="clear" w:color="auto" w:fill="auto"/>
            <w:noWrap/>
            <w:vAlign w:val="bottom"/>
            <w:hideMark/>
          </w:tcPr>
          <w:p w14:paraId="6183AA89" w14:textId="77777777" w:rsidR="000B63E4" w:rsidRPr="008D7A47" w:rsidRDefault="000B63E4" w:rsidP="000B63E4">
            <w:pPr>
              <w:spacing w:line="240" w:lineRule="auto"/>
              <w:jc w:val="both"/>
              <w:rPr>
                <w:rFonts w:cstheme="minorHAnsi"/>
                <w:color w:val="000000"/>
                <w:sz w:val="20"/>
              </w:rPr>
            </w:pPr>
            <w:r w:rsidRPr="008D7A47">
              <w:rPr>
                <w:rFonts w:cstheme="minorHAnsi"/>
                <w:color w:val="000000"/>
                <w:sz w:val="20"/>
              </w:rPr>
              <w:t>Cell 2N</w:t>
            </w:r>
          </w:p>
        </w:tc>
        <w:tc>
          <w:tcPr>
            <w:tcW w:w="1114" w:type="dxa"/>
            <w:tcBorders>
              <w:top w:val="nil"/>
              <w:left w:val="nil"/>
              <w:bottom w:val="nil"/>
              <w:right w:val="nil"/>
            </w:tcBorders>
            <w:shd w:val="clear" w:color="auto" w:fill="auto"/>
            <w:noWrap/>
            <w:vAlign w:val="bottom"/>
            <w:hideMark/>
          </w:tcPr>
          <w:p w14:paraId="13322DCD"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0.8±0.2</w:t>
            </w:r>
          </w:p>
        </w:tc>
        <w:tc>
          <w:tcPr>
            <w:tcW w:w="1275" w:type="dxa"/>
            <w:tcBorders>
              <w:top w:val="nil"/>
              <w:left w:val="nil"/>
              <w:bottom w:val="nil"/>
              <w:right w:val="nil"/>
            </w:tcBorders>
            <w:shd w:val="clear" w:color="auto" w:fill="auto"/>
            <w:noWrap/>
            <w:vAlign w:val="bottom"/>
            <w:hideMark/>
          </w:tcPr>
          <w:p w14:paraId="0713D7C2"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2.4±1.8</w:t>
            </w:r>
          </w:p>
        </w:tc>
        <w:tc>
          <w:tcPr>
            <w:tcW w:w="1163" w:type="dxa"/>
            <w:tcBorders>
              <w:top w:val="nil"/>
              <w:left w:val="nil"/>
              <w:bottom w:val="nil"/>
              <w:right w:val="nil"/>
            </w:tcBorders>
            <w:shd w:val="clear" w:color="auto" w:fill="auto"/>
            <w:noWrap/>
            <w:vAlign w:val="bottom"/>
            <w:hideMark/>
          </w:tcPr>
          <w:p w14:paraId="1F48EF7E"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60.0±0.5</w:t>
            </w:r>
          </w:p>
        </w:tc>
        <w:tc>
          <w:tcPr>
            <w:tcW w:w="267" w:type="dxa"/>
            <w:gridSpan w:val="2"/>
            <w:tcBorders>
              <w:top w:val="nil"/>
              <w:left w:val="nil"/>
              <w:bottom w:val="nil"/>
              <w:right w:val="nil"/>
            </w:tcBorders>
            <w:shd w:val="clear" w:color="auto" w:fill="auto"/>
            <w:noWrap/>
            <w:vAlign w:val="bottom"/>
            <w:hideMark/>
          </w:tcPr>
          <w:p w14:paraId="4C186939" w14:textId="77777777" w:rsidR="000B63E4" w:rsidRPr="008D7A47" w:rsidRDefault="000B63E4" w:rsidP="006B0CD6">
            <w:pPr>
              <w:spacing w:line="240" w:lineRule="auto"/>
              <w:jc w:val="center"/>
              <w:rPr>
                <w:rFonts w:cstheme="minorHAnsi"/>
                <w:color w:val="000000"/>
                <w:sz w:val="20"/>
              </w:rPr>
            </w:pPr>
          </w:p>
        </w:tc>
        <w:tc>
          <w:tcPr>
            <w:tcW w:w="958" w:type="dxa"/>
            <w:gridSpan w:val="2"/>
            <w:tcBorders>
              <w:top w:val="nil"/>
              <w:left w:val="nil"/>
              <w:bottom w:val="nil"/>
              <w:right w:val="nil"/>
            </w:tcBorders>
            <w:shd w:val="clear" w:color="auto" w:fill="auto"/>
            <w:noWrap/>
            <w:vAlign w:val="bottom"/>
            <w:hideMark/>
          </w:tcPr>
          <w:p w14:paraId="5F898F3D"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0.6±0.2</w:t>
            </w:r>
          </w:p>
        </w:tc>
        <w:tc>
          <w:tcPr>
            <w:tcW w:w="1212" w:type="dxa"/>
            <w:tcBorders>
              <w:top w:val="nil"/>
              <w:left w:val="nil"/>
              <w:bottom w:val="nil"/>
              <w:right w:val="nil"/>
            </w:tcBorders>
            <w:shd w:val="clear" w:color="auto" w:fill="auto"/>
            <w:noWrap/>
            <w:vAlign w:val="bottom"/>
            <w:hideMark/>
          </w:tcPr>
          <w:p w14:paraId="3B4907B4"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1.8±1.0</w:t>
            </w:r>
          </w:p>
        </w:tc>
        <w:tc>
          <w:tcPr>
            <w:tcW w:w="1163" w:type="dxa"/>
            <w:tcBorders>
              <w:top w:val="nil"/>
              <w:left w:val="nil"/>
              <w:bottom w:val="nil"/>
              <w:right w:val="nil"/>
            </w:tcBorders>
            <w:shd w:val="clear" w:color="auto" w:fill="auto"/>
            <w:noWrap/>
            <w:vAlign w:val="bottom"/>
            <w:hideMark/>
          </w:tcPr>
          <w:p w14:paraId="7BB9577C"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73.3±0.3</w:t>
            </w:r>
          </w:p>
        </w:tc>
      </w:tr>
      <w:tr w:rsidR="000B63E4" w:rsidRPr="008D7A47" w14:paraId="6817A77B" w14:textId="77777777" w:rsidTr="000B63E4">
        <w:trPr>
          <w:gridAfter w:val="1"/>
          <w:wAfter w:w="7" w:type="dxa"/>
          <w:trHeight w:val="300"/>
        </w:trPr>
        <w:tc>
          <w:tcPr>
            <w:tcW w:w="1031" w:type="dxa"/>
            <w:tcBorders>
              <w:top w:val="nil"/>
              <w:left w:val="nil"/>
              <w:bottom w:val="single" w:sz="4" w:space="0" w:color="auto"/>
              <w:right w:val="nil"/>
            </w:tcBorders>
            <w:shd w:val="clear" w:color="auto" w:fill="auto"/>
            <w:noWrap/>
            <w:vAlign w:val="bottom"/>
            <w:hideMark/>
          </w:tcPr>
          <w:p w14:paraId="0534DE0B" w14:textId="77777777" w:rsidR="000B63E4" w:rsidRPr="008D7A47" w:rsidRDefault="000B63E4" w:rsidP="000B63E4">
            <w:pPr>
              <w:spacing w:line="240" w:lineRule="auto"/>
              <w:jc w:val="both"/>
              <w:rPr>
                <w:rFonts w:cstheme="minorHAnsi"/>
                <w:color w:val="000000"/>
                <w:sz w:val="20"/>
              </w:rPr>
            </w:pPr>
            <w:r w:rsidRPr="008D7A47">
              <w:rPr>
                <w:rFonts w:cstheme="minorHAnsi"/>
                <w:color w:val="000000"/>
                <w:sz w:val="20"/>
              </w:rPr>
              <w:t>Cell 2S</w:t>
            </w:r>
          </w:p>
        </w:tc>
        <w:tc>
          <w:tcPr>
            <w:tcW w:w="1114" w:type="dxa"/>
            <w:tcBorders>
              <w:top w:val="nil"/>
              <w:left w:val="nil"/>
              <w:bottom w:val="single" w:sz="4" w:space="0" w:color="auto"/>
              <w:right w:val="nil"/>
            </w:tcBorders>
            <w:shd w:val="clear" w:color="auto" w:fill="auto"/>
            <w:noWrap/>
            <w:vAlign w:val="bottom"/>
            <w:hideMark/>
          </w:tcPr>
          <w:p w14:paraId="5836F881"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1.1±0.2</w:t>
            </w:r>
          </w:p>
        </w:tc>
        <w:tc>
          <w:tcPr>
            <w:tcW w:w="1275" w:type="dxa"/>
            <w:tcBorders>
              <w:top w:val="nil"/>
              <w:left w:val="nil"/>
              <w:bottom w:val="single" w:sz="4" w:space="0" w:color="auto"/>
              <w:right w:val="nil"/>
            </w:tcBorders>
            <w:shd w:val="clear" w:color="auto" w:fill="auto"/>
            <w:noWrap/>
            <w:vAlign w:val="bottom"/>
            <w:hideMark/>
          </w:tcPr>
          <w:p w14:paraId="4FE842A8"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2.4±1.7</w:t>
            </w:r>
          </w:p>
        </w:tc>
        <w:tc>
          <w:tcPr>
            <w:tcW w:w="1163" w:type="dxa"/>
            <w:tcBorders>
              <w:top w:val="nil"/>
              <w:left w:val="nil"/>
              <w:bottom w:val="single" w:sz="4" w:space="0" w:color="auto"/>
              <w:right w:val="nil"/>
            </w:tcBorders>
            <w:shd w:val="clear" w:color="auto" w:fill="auto"/>
            <w:noWrap/>
            <w:vAlign w:val="bottom"/>
            <w:hideMark/>
          </w:tcPr>
          <w:p w14:paraId="1C52000C"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41.3±0.6</w:t>
            </w:r>
          </w:p>
        </w:tc>
        <w:tc>
          <w:tcPr>
            <w:tcW w:w="267" w:type="dxa"/>
            <w:gridSpan w:val="2"/>
            <w:tcBorders>
              <w:top w:val="nil"/>
              <w:left w:val="nil"/>
              <w:bottom w:val="single" w:sz="4" w:space="0" w:color="auto"/>
              <w:right w:val="nil"/>
            </w:tcBorders>
            <w:shd w:val="clear" w:color="auto" w:fill="auto"/>
            <w:noWrap/>
            <w:vAlign w:val="bottom"/>
            <w:hideMark/>
          </w:tcPr>
          <w:p w14:paraId="10D89E1C" w14:textId="29558219" w:rsidR="000B63E4" w:rsidRPr="008D7A47" w:rsidRDefault="000B63E4" w:rsidP="006B0CD6">
            <w:pPr>
              <w:spacing w:line="240" w:lineRule="auto"/>
              <w:jc w:val="center"/>
              <w:rPr>
                <w:rFonts w:cstheme="minorHAnsi"/>
                <w:color w:val="000000"/>
                <w:sz w:val="20"/>
              </w:rPr>
            </w:pPr>
          </w:p>
        </w:tc>
        <w:tc>
          <w:tcPr>
            <w:tcW w:w="958" w:type="dxa"/>
            <w:gridSpan w:val="2"/>
            <w:tcBorders>
              <w:top w:val="nil"/>
              <w:left w:val="nil"/>
              <w:bottom w:val="single" w:sz="4" w:space="0" w:color="auto"/>
              <w:right w:val="nil"/>
            </w:tcBorders>
            <w:shd w:val="clear" w:color="auto" w:fill="auto"/>
            <w:noWrap/>
            <w:vAlign w:val="bottom"/>
            <w:hideMark/>
          </w:tcPr>
          <w:p w14:paraId="6136522A"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0.7±0.1</w:t>
            </w:r>
          </w:p>
        </w:tc>
        <w:tc>
          <w:tcPr>
            <w:tcW w:w="1212" w:type="dxa"/>
            <w:tcBorders>
              <w:top w:val="nil"/>
              <w:left w:val="nil"/>
              <w:bottom w:val="single" w:sz="4" w:space="0" w:color="auto"/>
              <w:right w:val="nil"/>
            </w:tcBorders>
            <w:shd w:val="clear" w:color="auto" w:fill="auto"/>
            <w:noWrap/>
            <w:vAlign w:val="bottom"/>
            <w:hideMark/>
          </w:tcPr>
          <w:p w14:paraId="7BFB05B9"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1.7±0.8</w:t>
            </w:r>
          </w:p>
        </w:tc>
        <w:tc>
          <w:tcPr>
            <w:tcW w:w="1163" w:type="dxa"/>
            <w:tcBorders>
              <w:top w:val="nil"/>
              <w:left w:val="nil"/>
              <w:bottom w:val="single" w:sz="4" w:space="0" w:color="auto"/>
              <w:right w:val="nil"/>
            </w:tcBorders>
            <w:shd w:val="clear" w:color="auto" w:fill="auto"/>
            <w:noWrap/>
            <w:vAlign w:val="bottom"/>
            <w:hideMark/>
          </w:tcPr>
          <w:p w14:paraId="68177CB2" w14:textId="77777777" w:rsidR="000B63E4" w:rsidRPr="008D7A47" w:rsidRDefault="000B63E4" w:rsidP="006B0CD6">
            <w:pPr>
              <w:spacing w:line="240" w:lineRule="auto"/>
              <w:jc w:val="center"/>
              <w:rPr>
                <w:rFonts w:cstheme="minorHAnsi"/>
                <w:color w:val="000000"/>
                <w:sz w:val="20"/>
              </w:rPr>
            </w:pPr>
            <w:r w:rsidRPr="008D7A47">
              <w:rPr>
                <w:rFonts w:cstheme="minorHAnsi"/>
                <w:color w:val="000000"/>
                <w:sz w:val="20"/>
              </w:rPr>
              <w:t>84.0±0.3</w:t>
            </w:r>
          </w:p>
        </w:tc>
      </w:tr>
    </w:tbl>
    <w:p w14:paraId="6E810C52" w14:textId="77777777" w:rsidR="000B63E4" w:rsidRPr="008C1627" w:rsidRDefault="000B63E4" w:rsidP="000B63E4">
      <w:pPr>
        <w:spacing w:line="480" w:lineRule="auto"/>
        <w:jc w:val="both"/>
        <w:rPr>
          <w:rFonts w:cstheme="minorHAnsi"/>
        </w:rPr>
      </w:pPr>
    </w:p>
    <w:p w14:paraId="67C2A28B" w14:textId="35CA3A3B" w:rsidR="000B63E4" w:rsidRDefault="000B63E4" w:rsidP="000B63E4">
      <w:pPr>
        <w:spacing w:line="480" w:lineRule="auto"/>
        <w:jc w:val="both"/>
        <w:rPr>
          <w:rFonts w:cstheme="minorHAnsi"/>
        </w:rPr>
      </w:pPr>
      <w:r w:rsidRPr="008C1627">
        <w:rPr>
          <w:rFonts w:cstheme="minorHAnsi"/>
        </w:rPr>
        <w:t>Scanning electron micrographs were collected for each composite sample to support the characterization of the iron oxides via particle morphology and crystalline structures identification. The Zeiss NEON FEG-SEM duel</w:t>
      </w:r>
      <w:r>
        <w:rPr>
          <w:rFonts w:cstheme="minorHAnsi"/>
        </w:rPr>
        <w:t>-</w:t>
      </w:r>
      <w:r w:rsidRPr="008C1627">
        <w:rPr>
          <w:rFonts w:cstheme="minorHAnsi"/>
        </w:rPr>
        <w:t>beam high resolution microscope was used to visualize samples prepared via vapor deposition of Au/</w:t>
      </w:r>
      <w:proofErr w:type="spellStart"/>
      <w:r w:rsidRPr="008C1627">
        <w:rPr>
          <w:rFonts w:cstheme="minorHAnsi"/>
        </w:rPr>
        <w:t>Pd</w:t>
      </w:r>
      <w:proofErr w:type="spellEnd"/>
      <w:r w:rsidRPr="008C1627">
        <w:rPr>
          <w:rFonts w:cstheme="minorHAnsi"/>
        </w:rPr>
        <w:t xml:space="preserve"> on glass microscope slides with non-conductive iron oxides. Samples were observed to shift from amorphous to crystalline between Cell 1 and Cells 2N/2S and with increasi</w:t>
      </w:r>
      <w:r w:rsidR="00317F91">
        <w:rPr>
          <w:rFonts w:cstheme="minorHAnsi"/>
        </w:rPr>
        <w:t>ng depth of material.  Figures 4.7-4</w:t>
      </w:r>
      <w:r w:rsidRPr="008C1627">
        <w:rPr>
          <w:rFonts w:cstheme="minorHAnsi"/>
        </w:rPr>
        <w:t>.9 are examples of SEM</w:t>
      </w:r>
      <w:r>
        <w:rPr>
          <w:rFonts w:cstheme="minorHAnsi"/>
        </w:rPr>
        <w:t xml:space="preserve"> image</w:t>
      </w:r>
      <w:r w:rsidRPr="008C1627">
        <w:rPr>
          <w:rFonts w:cstheme="minorHAnsi"/>
        </w:rPr>
        <w:t>s collected to document this change in morphology</w:t>
      </w:r>
      <w:r>
        <w:rPr>
          <w:rFonts w:cstheme="minorHAnsi"/>
        </w:rPr>
        <w:t>.</w:t>
      </w:r>
    </w:p>
    <w:p w14:paraId="30E298F8" w14:textId="77777777" w:rsidR="000B63E4" w:rsidRDefault="000B63E4" w:rsidP="000B63E4">
      <w:pPr>
        <w:spacing w:line="240" w:lineRule="auto"/>
        <w:jc w:val="both"/>
        <w:rPr>
          <w:rFonts w:cstheme="minorHAnsi"/>
        </w:rPr>
      </w:pPr>
      <w:r w:rsidRPr="008C1627">
        <w:rPr>
          <w:rFonts w:cstheme="minorHAnsi"/>
        </w:rPr>
        <w:lastRenderedPageBreak/>
        <w:t xml:space="preserve"> </w:t>
      </w:r>
      <w:r w:rsidRPr="0066210C">
        <w:rPr>
          <w:rFonts w:cstheme="minorHAnsi"/>
          <w:noProof/>
          <w:sz w:val="20"/>
        </w:rPr>
        <w:drawing>
          <wp:inline distT="0" distB="0" distL="0" distR="0" wp14:anchorId="7FD7C615" wp14:editId="13D70F6A">
            <wp:extent cx="5321735" cy="3086100"/>
            <wp:effectExtent l="0" t="0" r="0" b="0"/>
            <wp:docPr id="73" name="Picture 73" descr="F:\Leah\8-20000x-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eah\8-20000x-03.t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59935" cy="3108252"/>
                    </a:xfrm>
                    <a:prstGeom prst="rect">
                      <a:avLst/>
                    </a:prstGeom>
                    <a:noFill/>
                    <a:ln>
                      <a:noFill/>
                    </a:ln>
                  </pic:spPr>
                </pic:pic>
              </a:graphicData>
            </a:graphic>
          </wp:inline>
        </w:drawing>
      </w:r>
      <w:r w:rsidRPr="008C1627">
        <w:rPr>
          <w:rFonts w:cstheme="minorHAnsi"/>
        </w:rPr>
        <w:br/>
      </w:r>
    </w:p>
    <w:p w14:paraId="00134035" w14:textId="0AC06454" w:rsidR="000B63E4" w:rsidRPr="0066210C" w:rsidRDefault="00317F91" w:rsidP="000B63E4">
      <w:pPr>
        <w:spacing w:line="240" w:lineRule="auto"/>
        <w:jc w:val="both"/>
        <w:rPr>
          <w:rFonts w:cstheme="minorHAnsi"/>
        </w:rPr>
      </w:pPr>
      <w:r>
        <w:rPr>
          <w:rFonts w:cstheme="minorHAnsi"/>
          <w:sz w:val="20"/>
        </w:rPr>
        <w:t>Figure 4</w:t>
      </w:r>
      <w:r w:rsidR="000B63E4" w:rsidRPr="0066210C">
        <w:rPr>
          <w:rFonts w:cstheme="minorHAnsi"/>
          <w:sz w:val="20"/>
        </w:rPr>
        <w:t xml:space="preserve">.7: Amorphous </w:t>
      </w:r>
      <w:proofErr w:type="spellStart"/>
      <w:r w:rsidR="000B63E4" w:rsidRPr="0066210C">
        <w:rPr>
          <w:rFonts w:cstheme="minorHAnsi"/>
          <w:sz w:val="20"/>
        </w:rPr>
        <w:t>Ferrihydrite</w:t>
      </w:r>
      <w:proofErr w:type="spellEnd"/>
      <w:r w:rsidR="000B63E4" w:rsidRPr="0066210C">
        <w:rPr>
          <w:rFonts w:cstheme="minorHAnsi"/>
          <w:sz w:val="20"/>
        </w:rPr>
        <w:t xml:space="preserve"> typical of Cell 1 and Cell 2N/2S top (newest) samples.</w:t>
      </w:r>
    </w:p>
    <w:p w14:paraId="7D92EA1F" w14:textId="77777777" w:rsidR="000B63E4" w:rsidRPr="0066210C" w:rsidRDefault="000B63E4" w:rsidP="000B63E4">
      <w:pPr>
        <w:spacing w:line="240" w:lineRule="auto"/>
        <w:jc w:val="both"/>
        <w:rPr>
          <w:rFonts w:cstheme="minorHAnsi"/>
          <w:sz w:val="20"/>
        </w:rPr>
      </w:pPr>
      <w:r w:rsidRPr="008C1627">
        <w:rPr>
          <w:rFonts w:cstheme="minorHAnsi"/>
        </w:rPr>
        <w:br/>
      </w:r>
      <w:r w:rsidRPr="0066210C">
        <w:rPr>
          <w:rFonts w:cstheme="minorHAnsi"/>
          <w:noProof/>
          <w:sz w:val="20"/>
        </w:rPr>
        <w:drawing>
          <wp:inline distT="0" distB="0" distL="0" distR="0" wp14:anchorId="3C770BAE" wp14:editId="3E07F890">
            <wp:extent cx="5109128" cy="3705225"/>
            <wp:effectExtent l="0" t="0" r="0" b="0"/>
            <wp:docPr id="71" name="Picture 71" descr="F:\Leah\16-20000x-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ah\16-20000x-05.t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31842" cy="3721698"/>
                    </a:xfrm>
                    <a:prstGeom prst="rect">
                      <a:avLst/>
                    </a:prstGeom>
                    <a:noFill/>
                    <a:ln>
                      <a:noFill/>
                    </a:ln>
                  </pic:spPr>
                </pic:pic>
              </a:graphicData>
            </a:graphic>
          </wp:inline>
        </w:drawing>
      </w:r>
    </w:p>
    <w:p w14:paraId="082CA24D" w14:textId="74E6A0A2" w:rsidR="000B63E4" w:rsidRPr="0066210C" w:rsidRDefault="000B63E4" w:rsidP="000B63E4">
      <w:pPr>
        <w:spacing w:line="240" w:lineRule="auto"/>
        <w:jc w:val="both"/>
        <w:rPr>
          <w:rFonts w:cstheme="minorHAnsi"/>
          <w:sz w:val="20"/>
        </w:rPr>
      </w:pPr>
      <w:r w:rsidRPr="0066210C">
        <w:rPr>
          <w:rFonts w:cstheme="minorHAnsi"/>
          <w:sz w:val="20"/>
        </w:rPr>
        <w:t>Figure</w:t>
      </w:r>
      <w:r>
        <w:rPr>
          <w:rFonts w:cstheme="minorHAnsi"/>
          <w:sz w:val="20"/>
        </w:rPr>
        <w:t xml:space="preserve"> </w:t>
      </w:r>
      <w:r w:rsidR="00317F91">
        <w:rPr>
          <w:rFonts w:cstheme="minorHAnsi"/>
          <w:sz w:val="20"/>
        </w:rPr>
        <w:t>4</w:t>
      </w:r>
      <w:r w:rsidRPr="0066210C">
        <w:rPr>
          <w:rFonts w:cstheme="minorHAnsi"/>
          <w:sz w:val="20"/>
        </w:rPr>
        <w:t>.8:  Crystallization forming in older iron oxide materials collected from the bottom of the cores.</w:t>
      </w:r>
    </w:p>
    <w:p w14:paraId="335B089D" w14:textId="77777777" w:rsidR="000B63E4" w:rsidRPr="0066210C" w:rsidRDefault="000B63E4" w:rsidP="000B63E4">
      <w:pPr>
        <w:spacing w:line="240" w:lineRule="auto"/>
        <w:jc w:val="both"/>
        <w:rPr>
          <w:rFonts w:cstheme="minorHAnsi"/>
          <w:sz w:val="20"/>
        </w:rPr>
      </w:pPr>
      <w:r w:rsidRPr="0066210C">
        <w:rPr>
          <w:rFonts w:cstheme="minorHAnsi"/>
          <w:noProof/>
          <w:sz w:val="20"/>
        </w:rPr>
        <w:lastRenderedPageBreak/>
        <w:drawing>
          <wp:inline distT="0" distB="0" distL="0" distR="0" wp14:anchorId="52D78ACC" wp14:editId="31F48FD3">
            <wp:extent cx="4597400" cy="3448050"/>
            <wp:effectExtent l="0" t="0" r="0" b="0"/>
            <wp:docPr id="72" name="Picture 72" descr="F:\Leah\12-80000x-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eah\12-80000x-08.t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37264" cy="3477948"/>
                    </a:xfrm>
                    <a:prstGeom prst="rect">
                      <a:avLst/>
                    </a:prstGeom>
                    <a:noFill/>
                    <a:ln>
                      <a:noFill/>
                    </a:ln>
                  </pic:spPr>
                </pic:pic>
              </a:graphicData>
            </a:graphic>
          </wp:inline>
        </w:drawing>
      </w:r>
    </w:p>
    <w:p w14:paraId="4666420E" w14:textId="4C093B0B" w:rsidR="000B63E4" w:rsidRPr="0066210C" w:rsidRDefault="00317F91" w:rsidP="000B63E4">
      <w:pPr>
        <w:spacing w:line="240" w:lineRule="auto"/>
        <w:jc w:val="both"/>
        <w:rPr>
          <w:rFonts w:cstheme="minorHAnsi"/>
          <w:sz w:val="20"/>
        </w:rPr>
      </w:pPr>
      <w:r>
        <w:rPr>
          <w:rFonts w:cstheme="minorHAnsi"/>
          <w:sz w:val="20"/>
        </w:rPr>
        <w:t>Figure 4</w:t>
      </w:r>
      <w:r w:rsidR="000B63E4" w:rsidRPr="0066210C">
        <w:rPr>
          <w:rFonts w:cstheme="minorHAnsi"/>
          <w:sz w:val="20"/>
        </w:rPr>
        <w:t>.9: Goethite crystallization observed in bottom (oldest samples) 7 years of accumulation.</w:t>
      </w:r>
    </w:p>
    <w:p w14:paraId="5C00F6D0" w14:textId="77777777" w:rsidR="000B63E4" w:rsidRDefault="000B63E4" w:rsidP="000B63E4">
      <w:pPr>
        <w:pStyle w:val="Heading4"/>
        <w:jc w:val="both"/>
      </w:pPr>
    </w:p>
    <w:p w14:paraId="2C0980B3" w14:textId="77777777" w:rsidR="000B63E4" w:rsidRPr="0066210C" w:rsidRDefault="000B63E4" w:rsidP="000B63E4">
      <w:pPr>
        <w:pStyle w:val="Heading4"/>
        <w:jc w:val="both"/>
      </w:pPr>
      <w:r w:rsidRPr="0066210C">
        <w:t>Characterization Comparison</w:t>
      </w:r>
    </w:p>
    <w:p w14:paraId="039B2587" w14:textId="77777777" w:rsidR="000B63E4" w:rsidRPr="0066210C" w:rsidRDefault="000B63E4" w:rsidP="000B63E4">
      <w:pPr>
        <w:jc w:val="both"/>
      </w:pPr>
    </w:p>
    <w:p w14:paraId="71FB5EFE" w14:textId="48C5DB7A" w:rsidR="000B63E4" w:rsidRPr="008C1627" w:rsidRDefault="000B63E4" w:rsidP="000B63E4">
      <w:pPr>
        <w:spacing w:line="480" w:lineRule="auto"/>
        <w:jc w:val="both"/>
        <w:rPr>
          <w:rFonts w:cstheme="minorHAnsi"/>
        </w:rPr>
      </w:pPr>
      <w:r w:rsidRPr="008C1627">
        <w:rPr>
          <w:rFonts w:cstheme="minorHAnsi"/>
        </w:rPr>
        <w:t xml:space="preserve">Iron oxides from the Mayer Ranch Passive Treatment system were previously characterized </w:t>
      </w:r>
      <w:r>
        <w:rPr>
          <w:rFonts w:cstheme="minorHAnsi"/>
        </w:rPr>
        <w:t>(</w:t>
      </w:r>
      <w:r w:rsidRPr="008C1627">
        <w:rPr>
          <w:rFonts w:cstheme="minorHAnsi"/>
        </w:rPr>
        <w:t xml:space="preserve">Neely 2010) for physical and chemical properties as they relate to the reuse of solids in the sorbent industry. A single sample of iron oxides collected from the concrete raceways that convey AMD into the preliminary oxidation cell was found to be promising with respect to phosphorous </w:t>
      </w:r>
      <w:r>
        <w:rPr>
          <w:rFonts w:cstheme="minorHAnsi"/>
        </w:rPr>
        <w:t>sorp</w:t>
      </w:r>
      <w:r w:rsidRPr="008C1627">
        <w:rPr>
          <w:rFonts w:cstheme="minorHAnsi"/>
        </w:rPr>
        <w:t xml:space="preserve">tion </w:t>
      </w:r>
      <w:r w:rsidRPr="008C1627">
        <w:rPr>
          <w:rFonts w:cstheme="minorHAnsi"/>
        </w:rPr>
        <w:fldChar w:fldCharType="begin" w:fldLock="1"/>
      </w:r>
      <w:r w:rsidRPr="008C1627">
        <w:rPr>
          <w:rFonts w:cstheme="minorHAnsi"/>
        </w:rPr>
        <w:instrText>ADDIN CSL_CITATION { "citationItems" : [ { "id" : "ITEM-1", "itemData" : { "author" : [ { "dropping-particle" : "", "family" : "Cody Neely", "given" : "Robert Nairn", "non-dropping-particle" : "", "parse-names" : false, "suffix" : "" } ], "id" : "ITEM-1", "issued" : { "date-parts" : [ [ "2010" ] ] }, "publisher" : "University of Oklahoma", "title" : "Characterization and possible sustainable sorbent use of iron oxides produced by acid mine drainage discharges", "type" : "thesis" }, "uris" : [ "http://www.mendeley.com/documents/?uuid=0c80fcaf-8a7d-4cba-8e91-32d9bef60619" ] } ], "mendeley" : { "formattedCitation" : "(Cody Neely 2010)", "manualFormatting" : "(Neely 2010)", "plainTextFormattedCitation" : "(Cody Neely 2010)", "previouslyFormattedCitation" : "(Cody Neely 2010)" }, "properties" : { "noteIndex" : 0 }, "schema" : "https://github.com/citation-style-language/schema/raw/master/csl-citation.json" }</w:instrText>
      </w:r>
      <w:r w:rsidRPr="008C1627">
        <w:rPr>
          <w:rFonts w:cstheme="minorHAnsi"/>
        </w:rPr>
        <w:fldChar w:fldCharType="separate"/>
      </w:r>
      <w:r w:rsidRPr="008C1627">
        <w:rPr>
          <w:rFonts w:cstheme="minorHAnsi"/>
          <w:noProof/>
        </w:rPr>
        <w:t>(Neely 2010)</w:t>
      </w:r>
      <w:r w:rsidRPr="008C1627">
        <w:rPr>
          <w:rFonts w:cstheme="minorHAnsi"/>
        </w:rPr>
        <w:fldChar w:fldCharType="end"/>
      </w:r>
      <w:r w:rsidR="00317F91">
        <w:rPr>
          <w:rFonts w:cstheme="minorHAnsi"/>
        </w:rPr>
        <w:t>.  Table 4</w:t>
      </w:r>
      <w:r w:rsidRPr="008C1627">
        <w:rPr>
          <w:rFonts w:cstheme="minorHAnsi"/>
        </w:rPr>
        <w:t xml:space="preserve">.4 summarizes the results of the initial characterization with results obtained from the spatially coordinated sampling effort for all three oxidative treatment cells. The main difference between the samples is the location </w:t>
      </w:r>
      <w:r>
        <w:rPr>
          <w:rFonts w:cstheme="minorHAnsi"/>
        </w:rPr>
        <w:t xml:space="preserve">from which </w:t>
      </w:r>
      <w:r w:rsidRPr="008C1627">
        <w:rPr>
          <w:rFonts w:cstheme="minorHAnsi"/>
        </w:rPr>
        <w:t>the sample was collected m, and how long it had been there before collection. The 2010 sample was collected at Cell 1 influent prior to entering the treatment cell, while the 2015 samples were accumulated solids from the bottom of the cell collected over an area and then composited for analysis.</w:t>
      </w:r>
    </w:p>
    <w:p w14:paraId="537823E5" w14:textId="5065AF1C" w:rsidR="000B63E4" w:rsidRPr="008C1627" w:rsidRDefault="00317F91" w:rsidP="000B63E4">
      <w:pPr>
        <w:spacing w:line="360" w:lineRule="auto"/>
        <w:jc w:val="both"/>
        <w:rPr>
          <w:rFonts w:cstheme="minorHAnsi"/>
        </w:rPr>
      </w:pPr>
      <w:r>
        <w:rPr>
          <w:rFonts w:cstheme="minorHAnsi"/>
        </w:rPr>
        <w:lastRenderedPageBreak/>
        <w:t>Table 4</w:t>
      </w:r>
      <w:r w:rsidR="000B63E4" w:rsidRPr="008C1627">
        <w:rPr>
          <w:rFonts w:cstheme="minorHAnsi"/>
        </w:rPr>
        <w:t xml:space="preserve">.4: Comparison of physical properties of iron oxide samples collected from MRPTS </w:t>
      </w:r>
    </w:p>
    <w:tbl>
      <w:tblPr>
        <w:tblW w:w="7830" w:type="dxa"/>
        <w:tblLook w:val="04A0" w:firstRow="1" w:lastRow="0" w:firstColumn="1" w:lastColumn="0" w:noHBand="0" w:noVBand="1"/>
      </w:tblPr>
      <w:tblGrid>
        <w:gridCol w:w="2820"/>
        <w:gridCol w:w="1500"/>
        <w:gridCol w:w="1890"/>
        <w:gridCol w:w="1620"/>
      </w:tblGrid>
      <w:tr w:rsidR="000B63E4" w:rsidRPr="008C1627" w14:paraId="371F8AFE" w14:textId="77777777" w:rsidTr="000B63E4">
        <w:trPr>
          <w:trHeight w:val="315"/>
        </w:trPr>
        <w:tc>
          <w:tcPr>
            <w:tcW w:w="2820" w:type="dxa"/>
            <w:tcBorders>
              <w:top w:val="single" w:sz="4" w:space="0" w:color="auto"/>
              <w:left w:val="nil"/>
              <w:bottom w:val="double" w:sz="6" w:space="0" w:color="auto"/>
              <w:right w:val="nil"/>
            </w:tcBorders>
            <w:shd w:val="clear" w:color="auto" w:fill="auto"/>
            <w:noWrap/>
            <w:vAlign w:val="bottom"/>
            <w:hideMark/>
          </w:tcPr>
          <w:p w14:paraId="4305D824" w14:textId="77777777" w:rsidR="000B63E4" w:rsidRPr="008C1627" w:rsidRDefault="000B63E4" w:rsidP="000B63E4">
            <w:pPr>
              <w:jc w:val="both"/>
              <w:rPr>
                <w:rFonts w:cstheme="minorHAnsi"/>
                <w:color w:val="000000"/>
              </w:rPr>
            </w:pPr>
            <w:r w:rsidRPr="008C1627">
              <w:rPr>
                <w:rFonts w:cstheme="minorHAnsi"/>
                <w:color w:val="000000"/>
              </w:rPr>
              <w:t>Physical Properties</w:t>
            </w:r>
          </w:p>
        </w:tc>
        <w:tc>
          <w:tcPr>
            <w:tcW w:w="1500" w:type="dxa"/>
            <w:tcBorders>
              <w:top w:val="single" w:sz="4" w:space="0" w:color="auto"/>
              <w:left w:val="nil"/>
              <w:bottom w:val="double" w:sz="6" w:space="0" w:color="auto"/>
              <w:right w:val="nil"/>
            </w:tcBorders>
            <w:shd w:val="clear" w:color="auto" w:fill="auto"/>
            <w:noWrap/>
            <w:vAlign w:val="bottom"/>
            <w:hideMark/>
          </w:tcPr>
          <w:p w14:paraId="5241AFA6" w14:textId="77777777" w:rsidR="000B63E4" w:rsidRPr="008C1627" w:rsidRDefault="000B63E4" w:rsidP="006B0CD6">
            <w:pPr>
              <w:jc w:val="center"/>
              <w:rPr>
                <w:rFonts w:cstheme="minorHAnsi"/>
                <w:color w:val="000000"/>
              </w:rPr>
            </w:pPr>
            <w:r w:rsidRPr="008C1627">
              <w:rPr>
                <w:rFonts w:cstheme="minorHAnsi"/>
                <w:color w:val="000000"/>
              </w:rPr>
              <w:t>Neely 2010 (Cell 1)</w:t>
            </w:r>
          </w:p>
        </w:tc>
        <w:tc>
          <w:tcPr>
            <w:tcW w:w="3510" w:type="dxa"/>
            <w:gridSpan w:val="2"/>
            <w:tcBorders>
              <w:top w:val="single" w:sz="4" w:space="0" w:color="auto"/>
              <w:left w:val="nil"/>
              <w:bottom w:val="double" w:sz="6" w:space="0" w:color="auto"/>
              <w:right w:val="nil"/>
            </w:tcBorders>
            <w:shd w:val="clear" w:color="auto" w:fill="auto"/>
            <w:noWrap/>
            <w:vAlign w:val="bottom"/>
            <w:hideMark/>
          </w:tcPr>
          <w:p w14:paraId="3CFC5397" w14:textId="56AFC388" w:rsidR="000B63E4" w:rsidRPr="008C1627" w:rsidRDefault="000B63E4" w:rsidP="006B0CD6">
            <w:pPr>
              <w:jc w:val="center"/>
              <w:rPr>
                <w:rFonts w:cstheme="minorHAnsi"/>
                <w:color w:val="000000"/>
              </w:rPr>
            </w:pPr>
            <w:proofErr w:type="spellStart"/>
            <w:r w:rsidRPr="008C1627">
              <w:rPr>
                <w:rFonts w:cstheme="minorHAnsi"/>
                <w:color w:val="000000"/>
              </w:rPr>
              <w:t>Oxenford</w:t>
            </w:r>
            <w:proofErr w:type="spellEnd"/>
            <w:r w:rsidRPr="008C1627">
              <w:rPr>
                <w:rFonts w:cstheme="minorHAnsi"/>
                <w:color w:val="000000"/>
              </w:rPr>
              <w:t xml:space="preserve"> 2015 </w:t>
            </w:r>
            <w:r w:rsidRPr="008C1627">
              <w:rPr>
                <w:rFonts w:cstheme="minorHAnsi"/>
                <w:color w:val="000000"/>
              </w:rPr>
              <w:br/>
              <w:t xml:space="preserve">          (Cell 1)                  (C2N/C2S)</w:t>
            </w:r>
          </w:p>
        </w:tc>
      </w:tr>
      <w:tr w:rsidR="000B63E4" w:rsidRPr="008C1627" w14:paraId="08562E25" w14:textId="77777777" w:rsidTr="000B63E4">
        <w:trPr>
          <w:trHeight w:val="315"/>
        </w:trPr>
        <w:tc>
          <w:tcPr>
            <w:tcW w:w="2820" w:type="dxa"/>
            <w:tcBorders>
              <w:top w:val="nil"/>
              <w:left w:val="nil"/>
              <w:bottom w:val="nil"/>
              <w:right w:val="nil"/>
            </w:tcBorders>
            <w:shd w:val="clear" w:color="auto" w:fill="auto"/>
            <w:noWrap/>
            <w:vAlign w:val="bottom"/>
            <w:hideMark/>
          </w:tcPr>
          <w:p w14:paraId="50240285" w14:textId="77777777" w:rsidR="000B63E4" w:rsidRPr="008C1627" w:rsidRDefault="000B63E4" w:rsidP="000B63E4">
            <w:pPr>
              <w:jc w:val="both"/>
              <w:rPr>
                <w:rFonts w:cstheme="minorHAnsi"/>
                <w:color w:val="000000"/>
              </w:rPr>
            </w:pPr>
            <w:r w:rsidRPr="008C1627">
              <w:rPr>
                <w:rFonts w:cstheme="minorHAnsi"/>
                <w:color w:val="000000"/>
              </w:rPr>
              <w:t>Crystallinity (%)</w:t>
            </w:r>
          </w:p>
        </w:tc>
        <w:tc>
          <w:tcPr>
            <w:tcW w:w="1500" w:type="dxa"/>
            <w:tcBorders>
              <w:top w:val="nil"/>
              <w:left w:val="nil"/>
              <w:bottom w:val="nil"/>
              <w:right w:val="nil"/>
            </w:tcBorders>
            <w:shd w:val="clear" w:color="auto" w:fill="auto"/>
            <w:noWrap/>
            <w:vAlign w:val="bottom"/>
            <w:hideMark/>
          </w:tcPr>
          <w:p w14:paraId="108196C4" w14:textId="77777777" w:rsidR="000B63E4" w:rsidRPr="008C1627" w:rsidRDefault="000B63E4" w:rsidP="006B0CD6">
            <w:pPr>
              <w:jc w:val="center"/>
              <w:rPr>
                <w:rFonts w:cstheme="minorHAnsi"/>
                <w:color w:val="000000"/>
              </w:rPr>
            </w:pPr>
            <w:r w:rsidRPr="008C1627">
              <w:rPr>
                <w:rFonts w:cstheme="minorHAnsi"/>
                <w:color w:val="000000"/>
              </w:rPr>
              <w:t>74.7</w:t>
            </w:r>
          </w:p>
        </w:tc>
        <w:tc>
          <w:tcPr>
            <w:tcW w:w="1890" w:type="dxa"/>
            <w:tcBorders>
              <w:top w:val="nil"/>
              <w:left w:val="nil"/>
              <w:bottom w:val="nil"/>
              <w:right w:val="nil"/>
            </w:tcBorders>
            <w:shd w:val="clear" w:color="auto" w:fill="auto"/>
            <w:noWrap/>
            <w:vAlign w:val="bottom"/>
            <w:hideMark/>
          </w:tcPr>
          <w:p w14:paraId="568186A3" w14:textId="77777777" w:rsidR="000B63E4" w:rsidRPr="008C1627" w:rsidRDefault="000B63E4" w:rsidP="006B0CD6">
            <w:pPr>
              <w:jc w:val="center"/>
              <w:rPr>
                <w:rFonts w:cstheme="minorHAnsi"/>
                <w:color w:val="000000"/>
              </w:rPr>
            </w:pPr>
            <w:r w:rsidRPr="008C1627">
              <w:rPr>
                <w:rFonts w:cstheme="minorHAnsi"/>
                <w:color w:val="000000"/>
              </w:rPr>
              <w:t>17.4</w:t>
            </w:r>
          </w:p>
        </w:tc>
        <w:tc>
          <w:tcPr>
            <w:tcW w:w="1620" w:type="dxa"/>
            <w:tcBorders>
              <w:top w:val="nil"/>
              <w:left w:val="nil"/>
              <w:bottom w:val="nil"/>
              <w:right w:val="nil"/>
            </w:tcBorders>
            <w:shd w:val="clear" w:color="auto" w:fill="auto"/>
            <w:noWrap/>
            <w:vAlign w:val="bottom"/>
            <w:hideMark/>
          </w:tcPr>
          <w:p w14:paraId="42170636" w14:textId="77777777" w:rsidR="000B63E4" w:rsidRPr="008C1627" w:rsidRDefault="000B63E4" w:rsidP="006B0CD6">
            <w:pPr>
              <w:jc w:val="center"/>
              <w:rPr>
                <w:rFonts w:cstheme="minorHAnsi"/>
                <w:color w:val="000000"/>
              </w:rPr>
            </w:pPr>
            <w:r w:rsidRPr="008C1627">
              <w:rPr>
                <w:rFonts w:cstheme="minorHAnsi"/>
                <w:color w:val="000000"/>
              </w:rPr>
              <w:t>64.5</w:t>
            </w:r>
          </w:p>
        </w:tc>
      </w:tr>
      <w:tr w:rsidR="000B63E4" w:rsidRPr="008C1627" w14:paraId="4748A3E0" w14:textId="77777777" w:rsidTr="000B63E4">
        <w:trPr>
          <w:trHeight w:val="300"/>
        </w:trPr>
        <w:tc>
          <w:tcPr>
            <w:tcW w:w="2820" w:type="dxa"/>
            <w:tcBorders>
              <w:top w:val="nil"/>
              <w:left w:val="nil"/>
              <w:bottom w:val="nil"/>
              <w:right w:val="nil"/>
            </w:tcBorders>
            <w:shd w:val="clear" w:color="auto" w:fill="auto"/>
            <w:noWrap/>
            <w:vAlign w:val="bottom"/>
            <w:hideMark/>
          </w:tcPr>
          <w:p w14:paraId="6D3503D3" w14:textId="77777777" w:rsidR="000B63E4" w:rsidRPr="008C1627" w:rsidRDefault="000B63E4" w:rsidP="000B63E4">
            <w:pPr>
              <w:jc w:val="both"/>
              <w:rPr>
                <w:rFonts w:cstheme="minorHAnsi"/>
                <w:color w:val="000000"/>
              </w:rPr>
            </w:pPr>
            <w:r w:rsidRPr="008C1627">
              <w:rPr>
                <w:rFonts w:cstheme="minorHAnsi"/>
                <w:color w:val="000000"/>
              </w:rPr>
              <w:t>Mean particle size (µm)</w:t>
            </w:r>
          </w:p>
        </w:tc>
        <w:tc>
          <w:tcPr>
            <w:tcW w:w="1500" w:type="dxa"/>
            <w:tcBorders>
              <w:top w:val="nil"/>
              <w:left w:val="nil"/>
              <w:bottom w:val="nil"/>
              <w:right w:val="nil"/>
            </w:tcBorders>
            <w:shd w:val="clear" w:color="auto" w:fill="auto"/>
            <w:noWrap/>
            <w:vAlign w:val="bottom"/>
            <w:hideMark/>
          </w:tcPr>
          <w:p w14:paraId="25E0B34F" w14:textId="77777777" w:rsidR="000B63E4" w:rsidRPr="008C1627" w:rsidRDefault="000B63E4" w:rsidP="006B0CD6">
            <w:pPr>
              <w:jc w:val="center"/>
              <w:rPr>
                <w:rFonts w:cstheme="minorHAnsi"/>
                <w:color w:val="000000"/>
              </w:rPr>
            </w:pPr>
            <w:r w:rsidRPr="008C1627">
              <w:rPr>
                <w:rFonts w:cstheme="minorHAnsi"/>
                <w:color w:val="000000"/>
              </w:rPr>
              <w:t>94</w:t>
            </w:r>
          </w:p>
        </w:tc>
        <w:tc>
          <w:tcPr>
            <w:tcW w:w="1890" w:type="dxa"/>
            <w:tcBorders>
              <w:top w:val="nil"/>
              <w:left w:val="nil"/>
              <w:bottom w:val="nil"/>
              <w:right w:val="nil"/>
            </w:tcBorders>
            <w:shd w:val="clear" w:color="auto" w:fill="auto"/>
            <w:noWrap/>
            <w:vAlign w:val="bottom"/>
            <w:hideMark/>
          </w:tcPr>
          <w:p w14:paraId="384BA8B4" w14:textId="77777777" w:rsidR="000B63E4" w:rsidRPr="008C1627" w:rsidRDefault="000B63E4" w:rsidP="006B0CD6">
            <w:pPr>
              <w:jc w:val="center"/>
              <w:rPr>
                <w:rFonts w:cstheme="minorHAnsi"/>
                <w:color w:val="000000"/>
              </w:rPr>
            </w:pPr>
            <w:r w:rsidRPr="008C1627">
              <w:rPr>
                <w:rFonts w:cstheme="minorHAnsi"/>
                <w:color w:val="000000"/>
              </w:rPr>
              <w:t>11.7</w:t>
            </w:r>
          </w:p>
        </w:tc>
        <w:tc>
          <w:tcPr>
            <w:tcW w:w="1620" w:type="dxa"/>
            <w:tcBorders>
              <w:top w:val="nil"/>
              <w:left w:val="nil"/>
              <w:bottom w:val="nil"/>
              <w:right w:val="nil"/>
            </w:tcBorders>
            <w:shd w:val="clear" w:color="auto" w:fill="auto"/>
            <w:noWrap/>
            <w:vAlign w:val="bottom"/>
            <w:hideMark/>
          </w:tcPr>
          <w:p w14:paraId="4993D469" w14:textId="77777777" w:rsidR="000B63E4" w:rsidRPr="008C1627" w:rsidRDefault="000B63E4" w:rsidP="006B0CD6">
            <w:pPr>
              <w:jc w:val="center"/>
              <w:rPr>
                <w:rFonts w:cstheme="minorHAnsi"/>
                <w:color w:val="000000"/>
              </w:rPr>
            </w:pPr>
            <w:r w:rsidRPr="008C1627">
              <w:rPr>
                <w:rFonts w:cstheme="minorHAnsi"/>
                <w:color w:val="000000"/>
              </w:rPr>
              <w:t>19.0</w:t>
            </w:r>
          </w:p>
        </w:tc>
      </w:tr>
      <w:tr w:rsidR="000B63E4" w:rsidRPr="008C1627" w14:paraId="26AA12F4" w14:textId="77777777" w:rsidTr="000B63E4">
        <w:trPr>
          <w:trHeight w:val="300"/>
        </w:trPr>
        <w:tc>
          <w:tcPr>
            <w:tcW w:w="2820" w:type="dxa"/>
            <w:tcBorders>
              <w:top w:val="nil"/>
              <w:left w:val="nil"/>
              <w:bottom w:val="nil"/>
              <w:right w:val="nil"/>
            </w:tcBorders>
            <w:shd w:val="clear" w:color="auto" w:fill="auto"/>
            <w:noWrap/>
            <w:vAlign w:val="bottom"/>
            <w:hideMark/>
          </w:tcPr>
          <w:p w14:paraId="48C39926" w14:textId="77777777" w:rsidR="000B63E4" w:rsidRPr="008C1627" w:rsidRDefault="000B63E4" w:rsidP="000B63E4">
            <w:pPr>
              <w:jc w:val="both"/>
              <w:rPr>
                <w:rFonts w:cstheme="minorHAnsi"/>
                <w:color w:val="000000"/>
              </w:rPr>
            </w:pPr>
            <w:r w:rsidRPr="008C1627">
              <w:rPr>
                <w:rFonts w:cstheme="minorHAnsi"/>
                <w:color w:val="000000"/>
              </w:rPr>
              <w:t>D60/D10</w:t>
            </w:r>
          </w:p>
        </w:tc>
        <w:tc>
          <w:tcPr>
            <w:tcW w:w="1500" w:type="dxa"/>
            <w:tcBorders>
              <w:top w:val="nil"/>
              <w:left w:val="nil"/>
              <w:bottom w:val="nil"/>
              <w:right w:val="nil"/>
            </w:tcBorders>
            <w:shd w:val="clear" w:color="auto" w:fill="auto"/>
            <w:noWrap/>
            <w:vAlign w:val="bottom"/>
            <w:hideMark/>
          </w:tcPr>
          <w:p w14:paraId="12D7194E" w14:textId="77777777" w:rsidR="000B63E4" w:rsidRPr="008C1627" w:rsidRDefault="000B63E4" w:rsidP="006B0CD6">
            <w:pPr>
              <w:jc w:val="center"/>
              <w:rPr>
                <w:rFonts w:cstheme="minorHAnsi"/>
                <w:color w:val="000000"/>
              </w:rPr>
            </w:pPr>
            <w:r w:rsidRPr="008C1627">
              <w:rPr>
                <w:rFonts w:cstheme="minorHAnsi"/>
                <w:color w:val="000000"/>
              </w:rPr>
              <w:t>1.65</w:t>
            </w:r>
          </w:p>
        </w:tc>
        <w:tc>
          <w:tcPr>
            <w:tcW w:w="1890" w:type="dxa"/>
            <w:tcBorders>
              <w:top w:val="nil"/>
              <w:left w:val="nil"/>
              <w:bottom w:val="nil"/>
              <w:right w:val="nil"/>
            </w:tcBorders>
            <w:shd w:val="clear" w:color="auto" w:fill="auto"/>
            <w:noWrap/>
            <w:vAlign w:val="bottom"/>
            <w:hideMark/>
          </w:tcPr>
          <w:p w14:paraId="60F27849" w14:textId="77777777" w:rsidR="000B63E4" w:rsidRPr="008C1627" w:rsidRDefault="000B63E4" w:rsidP="006B0CD6">
            <w:pPr>
              <w:jc w:val="center"/>
              <w:rPr>
                <w:rFonts w:cstheme="minorHAnsi"/>
                <w:color w:val="000000"/>
              </w:rPr>
            </w:pPr>
            <w:r w:rsidRPr="008C1627">
              <w:rPr>
                <w:rFonts w:cstheme="minorHAnsi"/>
                <w:color w:val="000000"/>
              </w:rPr>
              <w:t>14.3</w:t>
            </w:r>
          </w:p>
        </w:tc>
        <w:tc>
          <w:tcPr>
            <w:tcW w:w="1620" w:type="dxa"/>
            <w:tcBorders>
              <w:top w:val="nil"/>
              <w:left w:val="nil"/>
              <w:bottom w:val="nil"/>
              <w:right w:val="nil"/>
            </w:tcBorders>
            <w:shd w:val="clear" w:color="auto" w:fill="auto"/>
            <w:noWrap/>
            <w:vAlign w:val="bottom"/>
            <w:hideMark/>
          </w:tcPr>
          <w:p w14:paraId="50FD7624" w14:textId="77777777" w:rsidR="000B63E4" w:rsidRPr="008C1627" w:rsidRDefault="000B63E4" w:rsidP="006B0CD6">
            <w:pPr>
              <w:jc w:val="center"/>
              <w:rPr>
                <w:rFonts w:cstheme="minorHAnsi"/>
                <w:color w:val="000000"/>
              </w:rPr>
            </w:pPr>
            <w:r w:rsidRPr="008C1627">
              <w:rPr>
                <w:rFonts w:cstheme="minorHAnsi"/>
                <w:color w:val="000000"/>
              </w:rPr>
              <w:t>11.74</w:t>
            </w:r>
          </w:p>
        </w:tc>
      </w:tr>
      <w:tr w:rsidR="000B63E4" w:rsidRPr="008C1627" w14:paraId="4BAE8C02" w14:textId="77777777" w:rsidTr="000B63E4">
        <w:trPr>
          <w:trHeight w:val="345"/>
        </w:trPr>
        <w:tc>
          <w:tcPr>
            <w:tcW w:w="2820" w:type="dxa"/>
            <w:tcBorders>
              <w:top w:val="nil"/>
              <w:left w:val="nil"/>
              <w:bottom w:val="nil"/>
              <w:right w:val="nil"/>
            </w:tcBorders>
            <w:shd w:val="clear" w:color="auto" w:fill="auto"/>
            <w:noWrap/>
            <w:vAlign w:val="bottom"/>
            <w:hideMark/>
          </w:tcPr>
          <w:p w14:paraId="65A5E63E" w14:textId="77777777" w:rsidR="000B63E4" w:rsidRPr="008C1627" w:rsidRDefault="000B63E4" w:rsidP="000B63E4">
            <w:pPr>
              <w:jc w:val="both"/>
              <w:rPr>
                <w:rFonts w:cstheme="minorHAnsi"/>
                <w:color w:val="000000"/>
              </w:rPr>
            </w:pPr>
            <w:r w:rsidRPr="008C1627">
              <w:rPr>
                <w:rFonts w:cstheme="minorHAnsi"/>
                <w:color w:val="000000"/>
              </w:rPr>
              <w:t>Surface Area (m</w:t>
            </w:r>
            <w:r w:rsidRPr="008C1627">
              <w:rPr>
                <w:rFonts w:cstheme="minorHAnsi"/>
                <w:color w:val="000000"/>
                <w:vertAlign w:val="superscript"/>
              </w:rPr>
              <w:t>2</w:t>
            </w:r>
            <w:r w:rsidRPr="008C1627">
              <w:rPr>
                <w:rFonts w:cstheme="minorHAnsi"/>
                <w:color w:val="000000"/>
              </w:rPr>
              <w:t>/g)</w:t>
            </w:r>
          </w:p>
        </w:tc>
        <w:tc>
          <w:tcPr>
            <w:tcW w:w="1500" w:type="dxa"/>
            <w:tcBorders>
              <w:top w:val="nil"/>
              <w:left w:val="nil"/>
              <w:bottom w:val="nil"/>
              <w:right w:val="nil"/>
            </w:tcBorders>
            <w:shd w:val="clear" w:color="auto" w:fill="auto"/>
            <w:noWrap/>
            <w:vAlign w:val="bottom"/>
            <w:hideMark/>
          </w:tcPr>
          <w:p w14:paraId="287EBCEE" w14:textId="77777777" w:rsidR="000B63E4" w:rsidRPr="008C1627" w:rsidRDefault="000B63E4" w:rsidP="006B0CD6">
            <w:pPr>
              <w:jc w:val="center"/>
              <w:rPr>
                <w:rFonts w:cstheme="minorHAnsi"/>
                <w:color w:val="000000"/>
              </w:rPr>
            </w:pPr>
            <w:r w:rsidRPr="008C1627">
              <w:rPr>
                <w:rFonts w:cstheme="minorHAnsi"/>
                <w:color w:val="000000"/>
              </w:rPr>
              <w:t>270 (BET)</w:t>
            </w:r>
          </w:p>
        </w:tc>
        <w:tc>
          <w:tcPr>
            <w:tcW w:w="1890" w:type="dxa"/>
            <w:tcBorders>
              <w:top w:val="nil"/>
              <w:left w:val="nil"/>
              <w:bottom w:val="nil"/>
              <w:right w:val="nil"/>
            </w:tcBorders>
            <w:shd w:val="clear" w:color="auto" w:fill="auto"/>
            <w:noWrap/>
            <w:vAlign w:val="bottom"/>
            <w:hideMark/>
          </w:tcPr>
          <w:p w14:paraId="2122B939" w14:textId="77777777" w:rsidR="000B63E4" w:rsidRPr="008C1627" w:rsidRDefault="000B63E4" w:rsidP="006B0CD6">
            <w:pPr>
              <w:jc w:val="center"/>
              <w:rPr>
                <w:rFonts w:cstheme="minorHAnsi"/>
                <w:color w:val="000000"/>
              </w:rPr>
            </w:pPr>
            <w:r w:rsidRPr="008C1627">
              <w:rPr>
                <w:rFonts w:cstheme="minorHAnsi"/>
                <w:color w:val="000000"/>
              </w:rPr>
              <w:t>244</w:t>
            </w:r>
            <w:r>
              <w:rPr>
                <w:rFonts w:cstheme="minorHAnsi"/>
                <w:color w:val="000000"/>
              </w:rPr>
              <w:t xml:space="preserve"> </w:t>
            </w:r>
            <w:r w:rsidRPr="008C1627">
              <w:rPr>
                <w:rFonts w:cstheme="minorHAnsi"/>
                <w:color w:val="000000"/>
              </w:rPr>
              <w:t>(LISST)</w:t>
            </w:r>
          </w:p>
        </w:tc>
        <w:tc>
          <w:tcPr>
            <w:tcW w:w="1620" w:type="dxa"/>
            <w:tcBorders>
              <w:top w:val="nil"/>
              <w:left w:val="nil"/>
              <w:bottom w:val="nil"/>
              <w:right w:val="nil"/>
            </w:tcBorders>
            <w:shd w:val="clear" w:color="auto" w:fill="auto"/>
            <w:noWrap/>
            <w:vAlign w:val="bottom"/>
            <w:hideMark/>
          </w:tcPr>
          <w:p w14:paraId="4C28937A" w14:textId="77777777" w:rsidR="000B63E4" w:rsidRPr="008C1627" w:rsidRDefault="000B63E4" w:rsidP="006B0CD6">
            <w:pPr>
              <w:jc w:val="center"/>
              <w:rPr>
                <w:rFonts w:cstheme="minorHAnsi"/>
                <w:color w:val="000000"/>
              </w:rPr>
            </w:pPr>
            <w:r w:rsidRPr="008C1627">
              <w:rPr>
                <w:rFonts w:cstheme="minorHAnsi"/>
                <w:color w:val="000000"/>
              </w:rPr>
              <w:t>162</w:t>
            </w:r>
            <w:r>
              <w:rPr>
                <w:rFonts w:cstheme="minorHAnsi"/>
                <w:color w:val="000000"/>
              </w:rPr>
              <w:t xml:space="preserve"> </w:t>
            </w:r>
            <w:r w:rsidRPr="008C1627">
              <w:rPr>
                <w:rFonts w:cstheme="minorHAnsi"/>
                <w:color w:val="000000"/>
              </w:rPr>
              <w:t>(LISST)</w:t>
            </w:r>
          </w:p>
        </w:tc>
      </w:tr>
      <w:tr w:rsidR="000B63E4" w:rsidRPr="008C1627" w14:paraId="002972B5" w14:textId="77777777" w:rsidTr="000B63E4">
        <w:trPr>
          <w:trHeight w:val="300"/>
        </w:trPr>
        <w:tc>
          <w:tcPr>
            <w:tcW w:w="2820" w:type="dxa"/>
            <w:tcBorders>
              <w:top w:val="nil"/>
              <w:left w:val="nil"/>
              <w:bottom w:val="nil"/>
              <w:right w:val="nil"/>
            </w:tcBorders>
            <w:shd w:val="clear" w:color="auto" w:fill="auto"/>
            <w:noWrap/>
            <w:vAlign w:val="bottom"/>
            <w:hideMark/>
          </w:tcPr>
          <w:p w14:paraId="023DF6A8" w14:textId="23445BF4" w:rsidR="000B63E4" w:rsidRPr="008C1627" w:rsidRDefault="000B63E4" w:rsidP="006B0CD6">
            <w:pPr>
              <w:jc w:val="both"/>
              <w:rPr>
                <w:rFonts w:cstheme="minorHAnsi"/>
                <w:color w:val="000000"/>
              </w:rPr>
            </w:pPr>
            <w:r w:rsidRPr="008C1627">
              <w:rPr>
                <w:rFonts w:cstheme="minorHAnsi"/>
                <w:color w:val="000000"/>
              </w:rPr>
              <w:t>C</w:t>
            </w:r>
            <w:r w:rsidR="006B0CD6">
              <w:rPr>
                <w:rFonts w:cstheme="minorHAnsi"/>
                <w:color w:val="000000"/>
              </w:rPr>
              <w:t xml:space="preserve">olor </w:t>
            </w:r>
          </w:p>
        </w:tc>
        <w:tc>
          <w:tcPr>
            <w:tcW w:w="1500" w:type="dxa"/>
            <w:tcBorders>
              <w:top w:val="nil"/>
              <w:left w:val="nil"/>
              <w:bottom w:val="nil"/>
              <w:right w:val="nil"/>
            </w:tcBorders>
            <w:shd w:val="clear" w:color="auto" w:fill="auto"/>
            <w:noWrap/>
            <w:vAlign w:val="bottom"/>
            <w:hideMark/>
          </w:tcPr>
          <w:p w14:paraId="1E2C3AEA" w14:textId="77777777" w:rsidR="000B63E4" w:rsidRPr="008C1627" w:rsidRDefault="000B63E4" w:rsidP="006B0CD6">
            <w:pPr>
              <w:jc w:val="center"/>
              <w:rPr>
                <w:rFonts w:cstheme="minorHAnsi"/>
                <w:color w:val="000000"/>
              </w:rPr>
            </w:pPr>
            <w:r w:rsidRPr="008C1627">
              <w:rPr>
                <w:rFonts w:cstheme="minorHAnsi"/>
                <w:color w:val="000000"/>
              </w:rPr>
              <w:t>Yellowish Red</w:t>
            </w:r>
          </w:p>
        </w:tc>
        <w:tc>
          <w:tcPr>
            <w:tcW w:w="1890" w:type="dxa"/>
            <w:tcBorders>
              <w:top w:val="nil"/>
              <w:left w:val="nil"/>
              <w:bottom w:val="nil"/>
              <w:right w:val="nil"/>
            </w:tcBorders>
            <w:shd w:val="clear" w:color="auto" w:fill="auto"/>
            <w:noWrap/>
            <w:vAlign w:val="bottom"/>
            <w:hideMark/>
          </w:tcPr>
          <w:p w14:paraId="21DCD91C" w14:textId="77777777" w:rsidR="000B63E4" w:rsidRPr="008C1627" w:rsidRDefault="000B63E4" w:rsidP="006B0CD6">
            <w:pPr>
              <w:jc w:val="center"/>
              <w:rPr>
                <w:rFonts w:cstheme="minorHAnsi"/>
                <w:color w:val="000000"/>
              </w:rPr>
            </w:pPr>
            <w:r w:rsidRPr="008C1627">
              <w:rPr>
                <w:rFonts w:cstheme="minorHAnsi"/>
                <w:color w:val="000000"/>
              </w:rPr>
              <w:t>Yellowish Red</w:t>
            </w:r>
          </w:p>
        </w:tc>
        <w:tc>
          <w:tcPr>
            <w:tcW w:w="1620" w:type="dxa"/>
            <w:tcBorders>
              <w:top w:val="nil"/>
              <w:left w:val="nil"/>
              <w:bottom w:val="nil"/>
              <w:right w:val="nil"/>
            </w:tcBorders>
            <w:shd w:val="clear" w:color="auto" w:fill="auto"/>
            <w:noWrap/>
            <w:vAlign w:val="bottom"/>
            <w:hideMark/>
          </w:tcPr>
          <w:p w14:paraId="3081D732" w14:textId="77777777" w:rsidR="000B63E4" w:rsidRPr="008C1627" w:rsidRDefault="000B63E4" w:rsidP="006B0CD6">
            <w:pPr>
              <w:jc w:val="center"/>
              <w:rPr>
                <w:rFonts w:cstheme="minorHAnsi"/>
                <w:color w:val="000000"/>
              </w:rPr>
            </w:pPr>
            <w:r w:rsidRPr="008C1627">
              <w:rPr>
                <w:rFonts w:cstheme="minorHAnsi"/>
                <w:color w:val="000000"/>
              </w:rPr>
              <w:t>Yellowish Red</w:t>
            </w:r>
          </w:p>
        </w:tc>
      </w:tr>
      <w:tr w:rsidR="000B63E4" w:rsidRPr="008C1627" w14:paraId="7314884F" w14:textId="77777777" w:rsidTr="000B63E4">
        <w:trPr>
          <w:trHeight w:val="300"/>
        </w:trPr>
        <w:tc>
          <w:tcPr>
            <w:tcW w:w="2820" w:type="dxa"/>
            <w:tcBorders>
              <w:top w:val="nil"/>
              <w:left w:val="nil"/>
              <w:bottom w:val="nil"/>
              <w:right w:val="nil"/>
            </w:tcBorders>
            <w:shd w:val="clear" w:color="auto" w:fill="auto"/>
            <w:noWrap/>
            <w:vAlign w:val="bottom"/>
            <w:hideMark/>
          </w:tcPr>
          <w:p w14:paraId="51223F8D" w14:textId="77777777" w:rsidR="000B63E4" w:rsidRPr="008C1627" w:rsidRDefault="000B63E4" w:rsidP="000B63E4">
            <w:pPr>
              <w:jc w:val="both"/>
              <w:rPr>
                <w:rFonts w:cstheme="minorHAnsi"/>
                <w:color w:val="000000"/>
              </w:rPr>
            </w:pPr>
            <w:r w:rsidRPr="008C1627">
              <w:rPr>
                <w:rFonts w:cstheme="minorHAnsi"/>
                <w:color w:val="000000"/>
              </w:rPr>
              <w:t>Organic Content (%)</w:t>
            </w:r>
          </w:p>
        </w:tc>
        <w:tc>
          <w:tcPr>
            <w:tcW w:w="1500" w:type="dxa"/>
            <w:tcBorders>
              <w:top w:val="nil"/>
              <w:left w:val="nil"/>
              <w:bottom w:val="nil"/>
              <w:right w:val="nil"/>
            </w:tcBorders>
            <w:shd w:val="clear" w:color="auto" w:fill="auto"/>
            <w:noWrap/>
            <w:vAlign w:val="bottom"/>
            <w:hideMark/>
          </w:tcPr>
          <w:p w14:paraId="29ECEE19" w14:textId="77777777" w:rsidR="000B63E4" w:rsidRPr="008C1627" w:rsidRDefault="000B63E4" w:rsidP="006B0CD6">
            <w:pPr>
              <w:jc w:val="center"/>
              <w:rPr>
                <w:rFonts w:cstheme="minorHAnsi"/>
                <w:color w:val="000000"/>
              </w:rPr>
            </w:pPr>
            <w:r w:rsidRPr="008C1627">
              <w:rPr>
                <w:rFonts w:cstheme="minorHAnsi"/>
                <w:color w:val="000000"/>
              </w:rPr>
              <w:t>1.0</w:t>
            </w:r>
          </w:p>
        </w:tc>
        <w:tc>
          <w:tcPr>
            <w:tcW w:w="1890" w:type="dxa"/>
            <w:tcBorders>
              <w:top w:val="nil"/>
              <w:left w:val="nil"/>
              <w:bottom w:val="nil"/>
              <w:right w:val="nil"/>
            </w:tcBorders>
            <w:shd w:val="clear" w:color="auto" w:fill="auto"/>
            <w:noWrap/>
            <w:vAlign w:val="bottom"/>
            <w:hideMark/>
          </w:tcPr>
          <w:p w14:paraId="01771033" w14:textId="77777777" w:rsidR="000B63E4" w:rsidRPr="008C1627" w:rsidRDefault="000B63E4" w:rsidP="006B0CD6">
            <w:pPr>
              <w:jc w:val="center"/>
              <w:rPr>
                <w:rFonts w:cstheme="minorHAnsi"/>
                <w:color w:val="000000"/>
              </w:rPr>
            </w:pPr>
            <w:r w:rsidRPr="008C1627">
              <w:rPr>
                <w:rFonts w:cstheme="minorHAnsi"/>
                <w:color w:val="000000"/>
              </w:rPr>
              <w:t>4.3</w:t>
            </w:r>
          </w:p>
        </w:tc>
        <w:tc>
          <w:tcPr>
            <w:tcW w:w="1620" w:type="dxa"/>
            <w:tcBorders>
              <w:top w:val="nil"/>
              <w:left w:val="nil"/>
              <w:bottom w:val="nil"/>
              <w:right w:val="nil"/>
            </w:tcBorders>
            <w:shd w:val="clear" w:color="auto" w:fill="auto"/>
            <w:noWrap/>
            <w:vAlign w:val="bottom"/>
            <w:hideMark/>
          </w:tcPr>
          <w:p w14:paraId="4FB52335" w14:textId="77777777" w:rsidR="000B63E4" w:rsidRPr="008C1627" w:rsidRDefault="000B63E4" w:rsidP="006B0CD6">
            <w:pPr>
              <w:jc w:val="center"/>
              <w:rPr>
                <w:rFonts w:cstheme="minorHAnsi"/>
                <w:color w:val="000000"/>
              </w:rPr>
            </w:pPr>
            <w:r w:rsidRPr="008C1627">
              <w:rPr>
                <w:rFonts w:cstheme="minorHAnsi"/>
                <w:color w:val="000000"/>
              </w:rPr>
              <w:t>2.1</w:t>
            </w:r>
          </w:p>
        </w:tc>
      </w:tr>
      <w:tr w:rsidR="000B63E4" w:rsidRPr="008C1627" w14:paraId="5F59785C" w14:textId="77777777" w:rsidTr="000B63E4">
        <w:trPr>
          <w:trHeight w:val="300"/>
        </w:trPr>
        <w:tc>
          <w:tcPr>
            <w:tcW w:w="2820" w:type="dxa"/>
            <w:tcBorders>
              <w:top w:val="nil"/>
              <w:left w:val="nil"/>
              <w:bottom w:val="single" w:sz="4" w:space="0" w:color="auto"/>
              <w:right w:val="nil"/>
            </w:tcBorders>
            <w:shd w:val="clear" w:color="auto" w:fill="auto"/>
            <w:noWrap/>
            <w:vAlign w:val="bottom"/>
            <w:hideMark/>
          </w:tcPr>
          <w:p w14:paraId="75BE451E" w14:textId="77777777" w:rsidR="000B63E4" w:rsidRPr="008C1627" w:rsidRDefault="000B63E4" w:rsidP="000B63E4">
            <w:pPr>
              <w:jc w:val="both"/>
              <w:rPr>
                <w:rFonts w:cstheme="minorHAnsi"/>
                <w:color w:val="000000"/>
              </w:rPr>
            </w:pPr>
            <w:r w:rsidRPr="008C1627">
              <w:rPr>
                <w:rFonts w:cstheme="minorHAnsi"/>
                <w:color w:val="000000"/>
              </w:rPr>
              <w:t>Mineral phase</w:t>
            </w:r>
          </w:p>
        </w:tc>
        <w:tc>
          <w:tcPr>
            <w:tcW w:w="1500" w:type="dxa"/>
            <w:tcBorders>
              <w:top w:val="nil"/>
              <w:left w:val="nil"/>
              <w:bottom w:val="single" w:sz="4" w:space="0" w:color="auto"/>
              <w:right w:val="nil"/>
            </w:tcBorders>
            <w:shd w:val="clear" w:color="auto" w:fill="auto"/>
            <w:noWrap/>
            <w:vAlign w:val="bottom"/>
            <w:hideMark/>
          </w:tcPr>
          <w:p w14:paraId="1F6E8B02" w14:textId="77777777" w:rsidR="000B63E4" w:rsidRPr="008C1627" w:rsidRDefault="000B63E4" w:rsidP="006B0CD6">
            <w:pPr>
              <w:jc w:val="center"/>
              <w:rPr>
                <w:rFonts w:cstheme="minorHAnsi"/>
                <w:color w:val="000000"/>
              </w:rPr>
            </w:pPr>
            <w:r w:rsidRPr="008C1627">
              <w:rPr>
                <w:rFonts w:cstheme="minorHAnsi"/>
                <w:color w:val="000000"/>
              </w:rPr>
              <w:t>Goethite</w:t>
            </w:r>
          </w:p>
        </w:tc>
        <w:tc>
          <w:tcPr>
            <w:tcW w:w="1890" w:type="dxa"/>
            <w:tcBorders>
              <w:top w:val="nil"/>
              <w:left w:val="nil"/>
              <w:bottom w:val="single" w:sz="4" w:space="0" w:color="auto"/>
              <w:right w:val="nil"/>
            </w:tcBorders>
            <w:shd w:val="clear" w:color="auto" w:fill="auto"/>
            <w:noWrap/>
            <w:vAlign w:val="bottom"/>
            <w:hideMark/>
          </w:tcPr>
          <w:p w14:paraId="6ED78FFC" w14:textId="77777777" w:rsidR="000B63E4" w:rsidRPr="008C1627" w:rsidRDefault="000B63E4" w:rsidP="006B0CD6">
            <w:pPr>
              <w:jc w:val="center"/>
              <w:rPr>
                <w:rFonts w:cstheme="minorHAnsi"/>
                <w:color w:val="000000"/>
              </w:rPr>
            </w:pPr>
            <w:r w:rsidRPr="008C1627">
              <w:rPr>
                <w:rFonts w:cstheme="minorHAnsi"/>
                <w:color w:val="000000"/>
              </w:rPr>
              <w:t>Goethite</w:t>
            </w:r>
          </w:p>
        </w:tc>
        <w:tc>
          <w:tcPr>
            <w:tcW w:w="1620" w:type="dxa"/>
            <w:tcBorders>
              <w:top w:val="nil"/>
              <w:left w:val="nil"/>
              <w:bottom w:val="single" w:sz="4" w:space="0" w:color="auto"/>
              <w:right w:val="nil"/>
            </w:tcBorders>
            <w:shd w:val="clear" w:color="auto" w:fill="auto"/>
            <w:noWrap/>
            <w:vAlign w:val="bottom"/>
            <w:hideMark/>
          </w:tcPr>
          <w:p w14:paraId="5EBBA298" w14:textId="77777777" w:rsidR="000B63E4" w:rsidRPr="008C1627" w:rsidRDefault="000B63E4" w:rsidP="006B0CD6">
            <w:pPr>
              <w:jc w:val="center"/>
              <w:rPr>
                <w:rFonts w:cstheme="minorHAnsi"/>
                <w:color w:val="000000"/>
              </w:rPr>
            </w:pPr>
            <w:r w:rsidRPr="008C1627">
              <w:rPr>
                <w:rFonts w:cstheme="minorHAnsi"/>
                <w:color w:val="000000"/>
              </w:rPr>
              <w:t>Goethite</w:t>
            </w:r>
          </w:p>
        </w:tc>
      </w:tr>
    </w:tbl>
    <w:p w14:paraId="066B44C8" w14:textId="77777777" w:rsidR="000B63E4" w:rsidRPr="008C1627" w:rsidRDefault="000B63E4" w:rsidP="000B63E4">
      <w:pPr>
        <w:spacing w:line="360" w:lineRule="auto"/>
        <w:jc w:val="both"/>
        <w:rPr>
          <w:rFonts w:cstheme="minorHAnsi"/>
        </w:rPr>
      </w:pPr>
    </w:p>
    <w:p w14:paraId="5C3A5A96" w14:textId="77777777" w:rsidR="000B63E4" w:rsidRPr="008C1627" w:rsidRDefault="000B63E4" w:rsidP="000B63E4">
      <w:pPr>
        <w:spacing w:line="480" w:lineRule="auto"/>
        <w:jc w:val="both"/>
        <w:rPr>
          <w:rFonts w:cstheme="minorHAnsi"/>
        </w:rPr>
      </w:pPr>
      <w:r w:rsidRPr="008C1627">
        <w:rPr>
          <w:rFonts w:cstheme="minorHAnsi"/>
        </w:rPr>
        <w:t xml:space="preserve">The crystallinity of the 2010 samples is consistent with the crystallinity observed in the surface flow wetlands rather than within Cell 1. Differences in mean particle size and uniformity are likely due to differences in preparation and measurement techniques. Higher values for surface area were expected for the 2010 dataset due to the use of a nitrogen gas sorption technique (BET) to include pore volumes versus the using the algorithms to calculate surface areas from laser </w:t>
      </w:r>
      <w:proofErr w:type="spellStart"/>
      <w:r w:rsidRPr="008C1627">
        <w:rPr>
          <w:rFonts w:cstheme="minorHAnsi"/>
        </w:rPr>
        <w:t>diffractometry</w:t>
      </w:r>
      <w:proofErr w:type="spellEnd"/>
      <w:r w:rsidRPr="008C1627">
        <w:rPr>
          <w:rFonts w:cstheme="minorHAnsi"/>
        </w:rPr>
        <w:t xml:space="preserve"> measurements accounting for external surface only. A higher percentage of organic matter in the iron oxide samples collected from within the treatment cells is consistent with the presence of vegetative matter on the edge and in the planted zones of the cells. The 2010 sample was collected from a location that would have little to no organic matter present outside of detritus falling into the channel, or alg</w:t>
      </w:r>
      <w:r>
        <w:rPr>
          <w:rFonts w:cstheme="minorHAnsi"/>
        </w:rPr>
        <w:t>a</w:t>
      </w:r>
      <w:r w:rsidRPr="008C1627">
        <w:rPr>
          <w:rFonts w:cstheme="minorHAnsi"/>
        </w:rPr>
        <w:t>e growth within the channel (minimal). All the samples were identified to have goethite as their principle mineral phase.  It is expected that the bulk material accumulating in Cells</w:t>
      </w:r>
      <w:r>
        <w:rPr>
          <w:rFonts w:cstheme="minorHAnsi"/>
        </w:rPr>
        <w:t xml:space="preserve"> </w:t>
      </w:r>
      <w:r w:rsidRPr="008C1627">
        <w:rPr>
          <w:rFonts w:cstheme="minorHAnsi"/>
        </w:rPr>
        <w:t xml:space="preserve">1 and 2N/2S would be similar in their sorption properties with those detailed by Neely (2010), yet additional testing is required for confirmation. </w:t>
      </w:r>
    </w:p>
    <w:p w14:paraId="45B21398" w14:textId="77777777" w:rsidR="000B63E4" w:rsidRPr="008C1627" w:rsidRDefault="000B63E4" w:rsidP="000B63E4">
      <w:pPr>
        <w:pStyle w:val="Heading1"/>
        <w:jc w:val="both"/>
      </w:pPr>
      <w:r w:rsidRPr="008C1627">
        <w:lastRenderedPageBreak/>
        <w:t>Tracer Study</w:t>
      </w:r>
    </w:p>
    <w:p w14:paraId="5BA685A9" w14:textId="77777777" w:rsidR="000B63E4" w:rsidRPr="008C1627" w:rsidRDefault="000B63E4" w:rsidP="000B63E4">
      <w:pPr>
        <w:spacing w:before="100" w:beforeAutospacing="1" w:after="100" w:afterAutospacing="1" w:line="480" w:lineRule="auto"/>
        <w:jc w:val="both"/>
        <w:rPr>
          <w:rFonts w:cstheme="minorHAnsi"/>
        </w:rPr>
      </w:pPr>
      <w:proofErr w:type="spellStart"/>
      <w:r w:rsidRPr="008C1627">
        <w:rPr>
          <w:rFonts w:cstheme="minorHAnsi"/>
        </w:rPr>
        <w:t>Rhodamine</w:t>
      </w:r>
      <w:proofErr w:type="spellEnd"/>
      <w:r w:rsidRPr="008C1627">
        <w:rPr>
          <w:rFonts w:cstheme="minorHAnsi"/>
        </w:rPr>
        <w:t xml:space="preserve"> WT tracer studies were used to evaluate the hydraulic retention time of the oxidative unit with respect to system design. Cells 2N/2S were evaluated just after the treatment system came online in 2009, and they were re-evaluated in 2015 after the system matured through seven years of operation. The hydraulic retention time (HRT) of Cell 1 was determined in the 2015 tracer study by measuring the concentration of </w:t>
      </w:r>
      <w:proofErr w:type="spellStart"/>
      <w:r w:rsidRPr="008C1627">
        <w:rPr>
          <w:rFonts w:cstheme="minorHAnsi"/>
        </w:rPr>
        <w:t>rhodamine</w:t>
      </w:r>
      <w:proofErr w:type="spellEnd"/>
      <w:r w:rsidRPr="008C1627">
        <w:rPr>
          <w:rFonts w:cstheme="minorHAnsi"/>
        </w:rPr>
        <w:t xml:space="preserve"> dye in the cell effluent over time.  If the HRT is significantly shorter or longer than prescribed by design, it can result in operational inefficiencies translating into compromised performance or excessive system footprint.  Tracer studies are based on the principle of tracking a target </w:t>
      </w:r>
      <w:proofErr w:type="spellStart"/>
      <w:r w:rsidRPr="008C1627">
        <w:rPr>
          <w:rFonts w:cstheme="minorHAnsi"/>
        </w:rPr>
        <w:t>analyte</w:t>
      </w:r>
      <w:proofErr w:type="spellEnd"/>
      <w:r w:rsidRPr="008C1627">
        <w:rPr>
          <w:rFonts w:cstheme="minorHAnsi"/>
        </w:rPr>
        <w:t xml:space="preserve"> as it moves through the system of study and documenting its time of travel and conservative mass recovery (</w:t>
      </w:r>
      <w:r w:rsidRPr="008C1627">
        <w:rPr>
          <w:rFonts w:cstheme="minorHAnsi"/>
        </w:rPr>
        <w:fldChar w:fldCharType="begin" w:fldLock="1"/>
      </w:r>
      <w:r w:rsidRPr="008C1627">
        <w:rPr>
          <w:rFonts w:cstheme="minorHAnsi"/>
        </w:rPr>
        <w:instrText>ADDIN CSL_CITATION { "citationItems" : [ { "id" : "ITEM-1", "itemData" : { "DOI" : "10.1672/0277-5212(2005)025[0008:AEOTTI]2.0.CO;2", "ISBN" : "0277-5212", "ISSN" : "0277-5212", "abstract" : "Rhodamine-WT and LiCl were compared for their suitability as hydraulic tracers in wetlands. Using outdoor mesocosms, we found lithium to be more conservative than rhodamine-WT when initial concentrations were 4.9 to 64 \u03bcg/L for rhodamine-WT and 28\u2013516 \u03bcg/L for Li++ (1:6 to 1:8 (wt/wt) ratio of rhodamine-WT to Li++). At higher initial concentrations (i.e., 100 \u03bcg/L for rhodamine-WT and 1000 \u03bcg/L for Li++), both tracers returned more than 95%% of the injected amount in submerged aquatic vegetation-dominated mesocosms; rhodamine-WT was returned at only 74\u201375%% in cattail-dominated mesocosms. Batch studies using different sediment substrates exposed to direct sunlight and shade indicated that Li++ was less affected by adsorption and microbial processes than was rhodamine-WT at low initial tracer concentrations of each (4.9 and 19.4 \u03bcg/L for rhodamine-WT and 28 and 106 \u03bcg/L for Li++). Both rhodamine-WT and Li++ desorb back to the water column in small amounts. The extent of adsorption losses by rhodamine-WT depended on the organic matter content of the sediment and the extent of photolysis. Even though rhodamine-WT was not as stable as LiCl at initial concentrations less than 60 \u03bcg/L, the reduction in the recoveries did not affect the accuracy of key hydraulic parameters (hydraulic retention time, dispersion, tanks-in-series, and wetland dispersion numbers) derived from the method of moments analysis as long as a discernible concentration-time response still existed. This is because the tracer losses were approximately zero-order and irreversible.", "author" : [ { "dropping-particle" : "", "family" : "Dierberg", "given" : "Forrest E.", "non-dropping-particle" : "", "parse-names" : false, "suffix" : "" }, { "dropping-particle" : "", "family" : "DeBusk", "given" : "Thomas A.", "non-dropping-particle" : "", "parse-names" : false, "suffix" : "" } ], "container-title" : "Wetlands", "id" : "ITEM-1", "issue" : "1", "issued" : { "date-parts" : [ [ "2005" ] ] }, "page" : "8-25", "title" : "An evaluation of two tracers in surface-flow wetlands: Rhodamine-WT and lithium", "type" : "article-journal", "volume" : "25" }, "uris" : [ "http://www.mendeley.com/documents/?uuid=9507ac4b-137c-4e82-93b3-f0b21b0b73b1" ] } ], "mendeley" : { "formattedCitation" : "(Dierberg and DeBusk 2005)", "manualFormatting" : "Dierberg and DeBusk 2005)", "plainTextFormattedCitation" : "(Dierberg and DeBusk 2005)", "previouslyFormattedCitation" : "(Dierberg and DeBusk 2005)" }, "properties" : { "noteIndex" : 0 }, "schema" : "https://github.com/citation-style-language/schema/raw/master/csl-citation.json" }</w:instrText>
      </w:r>
      <w:r w:rsidRPr="008C1627">
        <w:rPr>
          <w:rFonts w:cstheme="minorHAnsi"/>
        </w:rPr>
        <w:fldChar w:fldCharType="separate"/>
      </w:r>
      <w:r w:rsidRPr="008C1627">
        <w:rPr>
          <w:rFonts w:cstheme="minorHAnsi"/>
          <w:noProof/>
        </w:rPr>
        <w:t>Dierberg and DeBusk 2005)</w:t>
      </w:r>
      <w:r w:rsidRPr="008C1627">
        <w:rPr>
          <w:rFonts w:cstheme="minorHAnsi"/>
        </w:rPr>
        <w:fldChar w:fldCharType="end"/>
      </w:r>
      <w:r w:rsidRPr="008C1627">
        <w:rPr>
          <w:rFonts w:cstheme="minorHAnsi"/>
        </w:rPr>
        <w:t xml:space="preserve">. </w:t>
      </w:r>
    </w:p>
    <w:p w14:paraId="1E627D43" w14:textId="20581A4B" w:rsidR="000B63E4" w:rsidRPr="008C1627" w:rsidRDefault="00317F91" w:rsidP="000B63E4">
      <w:pPr>
        <w:spacing w:before="100" w:beforeAutospacing="1" w:after="100" w:afterAutospacing="1"/>
        <w:jc w:val="both"/>
        <w:rPr>
          <w:rFonts w:cstheme="minorHAnsi"/>
        </w:rPr>
      </w:pPr>
      <w:r>
        <w:rPr>
          <w:rFonts w:cstheme="minorHAnsi"/>
        </w:rPr>
        <w:t>Table 4</w:t>
      </w:r>
      <w:r w:rsidR="000B63E4" w:rsidRPr="008C1627">
        <w:rPr>
          <w:rFonts w:cstheme="minorHAnsi"/>
        </w:rPr>
        <w:t xml:space="preserve">.5: Summary of </w:t>
      </w:r>
      <w:proofErr w:type="spellStart"/>
      <w:r w:rsidR="000B63E4" w:rsidRPr="008C1627">
        <w:rPr>
          <w:rFonts w:cstheme="minorHAnsi"/>
        </w:rPr>
        <w:t>Rhodamine</w:t>
      </w:r>
      <w:proofErr w:type="spellEnd"/>
      <w:r w:rsidR="000B63E4" w:rsidRPr="008C1627">
        <w:rPr>
          <w:rFonts w:cstheme="minorHAnsi"/>
        </w:rPr>
        <w:t xml:space="preserve"> Tracer Dye Characteristics </w:t>
      </w:r>
      <w:r w:rsidR="000B63E4" w:rsidRPr="008C1627">
        <w:rPr>
          <w:rFonts w:cstheme="minorHAnsi"/>
        </w:rPr>
        <w:fldChar w:fldCharType="begin" w:fldLock="1"/>
      </w:r>
      <w:r w:rsidR="000B63E4" w:rsidRPr="008C1627">
        <w:rPr>
          <w:rFonts w:cstheme="minorHAnsi"/>
        </w:rPr>
        <w:instrText>ADDIN CSL_CITATION { "citationItems" : [ { "id" : "ITEM-1", "itemData" : { "author" : [ { "dropping-particle" : "", "family" : "Environmental", "given" : "YSI", "non-dropping-particle" : "", "parse-names" : false, "suffix" : "" } ], "id" : "ITEM-1", "issued" : { "date-parts" : [ [ "2001" ] ] }, "number-of-pages" : "1-8", "title" : "Water tracing , in situ dye fluorometry and the YSI 6130 Rhodamine WT Sensor", "type" : "report" }, "uris" : [ "http://www.mendeley.com/documents/?uuid=2741717f-9d91-4b32-af97-fbbee2e46ed3" ] }, { "id" : "ITEM-2", "itemData" : { "DOI" : "10.1672/0277-5212(2005)025[0008:AEOTTI]2.0.CO;2", "ISBN" : "0277-5212", "ISSN" : "0277-5212", "abstract" : "Rhodamine-WT and LiCl were compared for their suitability as hydraulic tracers in wetlands. Using outdoor mesocosms, we found lithium to be more conservative than rhodamine-WT when initial concentrations were 4.9 to 64 \u03bcg/L for rhodamine-WT and 28\u2013516 \u03bcg/L for Li++ (1:6 to 1:8 (wt/wt) ratio of rhodamine-WT to Li++). At higher initial concentrations (i.e., 100 \u03bcg/L for rhodamine-WT and 1000 \u03bcg/L for Li++), both tracers returned more than 95%% of the injected amount in submerged aquatic vegetation-dominated mesocosms; rhodamine-WT was returned at only 74\u201375%% in cattail-dominated mesocosms. Batch studies using different sediment substrates exposed to direct sunlight and shade indicated that Li++ was less affected by adsorption and microbial processes than was rhodamine-WT at low initial tracer concentrations of each (4.9 and 19.4 \u03bcg/L for rhodamine-WT and 28 and 106 \u03bcg/L for Li++). Both rhodamine-WT and Li++ desorb back to the water column in small amounts. The extent of adsorption losses by rhodamine-WT depended on the organic matter content of the sediment and the extent of photolysis. Even though rhodamine-WT was not as stable as LiCl at initial concentrations less than 60 \u03bcg/L, the reduction in the recoveries did not affect the accuracy of key hydraulic parameters (hydraulic retention time, dispersion, tanks-in-series, and wetland dispersion numbers) derived from the method of moments analysis as long as a discernible concentration-time response still existed. This is because the tracer losses were approximately zero-order and irreversible.", "author" : [ { "dropping-particle" : "", "family" : "Dierberg", "given" : "Forrest E.", "non-dropping-particle" : "", "parse-names" : false, "suffix" : "" }, { "dropping-particle" : "", "family" : "DeBusk", "given" : "Thomas A.", "non-dropping-particle" : "", "parse-names" : false, "suffix" : "" } ], "container-title" : "Wetlands", "id" : "ITEM-2", "issue" : "1", "issued" : { "date-parts" : [ [ "2005" ] ] }, "page" : "8-25", "title" : "An evaluation of two tracers in surface-flow wetlands: Rhodamine-WT and lithium", "type" : "article-journal", "volume" : "25" }, "uris" : [ "http://www.mendeley.com/documents/?uuid=9507ac4b-137c-4e82-93b3-f0b21b0b73b1" ] } ], "mendeley" : { "formattedCitation" : "(Environmental 2001; Dierberg and DeBusk 2005)", "plainTextFormattedCitation" : "(Environmental 2001; Dierberg and DeBusk 2005)", "previouslyFormattedCitation" : "(Environmental 2001; Dierberg and DeBusk 2005)" }, "properties" : { "noteIndex" : 0 }, "schema" : "https://github.com/citation-style-language/schema/raw/master/csl-citation.json" }</w:instrText>
      </w:r>
      <w:r w:rsidR="000B63E4" w:rsidRPr="008C1627">
        <w:rPr>
          <w:rFonts w:cstheme="minorHAnsi"/>
        </w:rPr>
        <w:fldChar w:fldCharType="separate"/>
      </w:r>
      <w:r w:rsidR="000B63E4" w:rsidRPr="008C1627">
        <w:rPr>
          <w:rFonts w:cstheme="minorHAnsi"/>
          <w:noProof/>
        </w:rPr>
        <w:t>(Environmental 2001; Dierberg and DeBusk 2005)</w:t>
      </w:r>
      <w:r w:rsidR="000B63E4" w:rsidRPr="008C1627">
        <w:rPr>
          <w:rFonts w:cstheme="minorHAnsi"/>
        </w:rPr>
        <w:fldChar w:fldCharType="end"/>
      </w:r>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0"/>
        <w:gridCol w:w="6810"/>
      </w:tblGrid>
      <w:tr w:rsidR="000B63E4" w:rsidRPr="008C1627" w14:paraId="114C8024" w14:textId="77777777" w:rsidTr="000B63E4">
        <w:tc>
          <w:tcPr>
            <w:tcW w:w="1470" w:type="dxa"/>
            <w:tcBorders>
              <w:top w:val="single" w:sz="4" w:space="0" w:color="auto"/>
              <w:bottom w:val="double" w:sz="4" w:space="0" w:color="auto"/>
            </w:tcBorders>
          </w:tcPr>
          <w:p w14:paraId="436C3726" w14:textId="77777777" w:rsidR="000B63E4" w:rsidRPr="008C1627" w:rsidRDefault="000B63E4" w:rsidP="000B63E4">
            <w:pPr>
              <w:jc w:val="both"/>
              <w:rPr>
                <w:rFonts w:cstheme="minorHAnsi"/>
              </w:rPr>
            </w:pPr>
            <w:r w:rsidRPr="008C1627">
              <w:rPr>
                <w:rFonts w:cstheme="minorHAnsi"/>
              </w:rPr>
              <w:t>Characteristic</w:t>
            </w:r>
          </w:p>
        </w:tc>
        <w:tc>
          <w:tcPr>
            <w:tcW w:w="6810" w:type="dxa"/>
            <w:tcBorders>
              <w:top w:val="single" w:sz="4" w:space="0" w:color="auto"/>
              <w:bottom w:val="double" w:sz="4" w:space="0" w:color="auto"/>
            </w:tcBorders>
          </w:tcPr>
          <w:p w14:paraId="298C9568" w14:textId="77777777" w:rsidR="000B63E4" w:rsidRPr="008C1627" w:rsidRDefault="000B63E4" w:rsidP="000B63E4">
            <w:pPr>
              <w:jc w:val="both"/>
              <w:rPr>
                <w:rFonts w:cstheme="minorHAnsi"/>
              </w:rPr>
            </w:pPr>
            <w:proofErr w:type="spellStart"/>
            <w:r w:rsidRPr="008C1627">
              <w:rPr>
                <w:rFonts w:cstheme="minorHAnsi"/>
              </w:rPr>
              <w:t>Rhodamine</w:t>
            </w:r>
            <w:proofErr w:type="spellEnd"/>
          </w:p>
        </w:tc>
      </w:tr>
      <w:tr w:rsidR="000B63E4" w:rsidRPr="008C1627" w14:paraId="4F205A19" w14:textId="77777777" w:rsidTr="000B63E4">
        <w:tc>
          <w:tcPr>
            <w:tcW w:w="1470" w:type="dxa"/>
            <w:tcBorders>
              <w:top w:val="double" w:sz="4" w:space="0" w:color="auto"/>
            </w:tcBorders>
          </w:tcPr>
          <w:p w14:paraId="3EDC91E3" w14:textId="77777777" w:rsidR="000B63E4" w:rsidRPr="008C1627" w:rsidRDefault="000B63E4" w:rsidP="000B63E4">
            <w:pPr>
              <w:jc w:val="both"/>
              <w:rPr>
                <w:rFonts w:cstheme="minorHAnsi"/>
              </w:rPr>
            </w:pPr>
            <w:r w:rsidRPr="008C1627">
              <w:rPr>
                <w:rFonts w:cstheme="minorHAnsi"/>
              </w:rPr>
              <w:t>Tracer Type</w:t>
            </w:r>
          </w:p>
        </w:tc>
        <w:tc>
          <w:tcPr>
            <w:tcW w:w="6810" w:type="dxa"/>
            <w:tcBorders>
              <w:top w:val="double" w:sz="4" w:space="0" w:color="auto"/>
            </w:tcBorders>
          </w:tcPr>
          <w:p w14:paraId="2ED57CC5" w14:textId="77777777" w:rsidR="000B63E4" w:rsidRPr="008C1627" w:rsidRDefault="000B63E4" w:rsidP="000B63E4">
            <w:pPr>
              <w:jc w:val="both"/>
              <w:rPr>
                <w:rFonts w:cstheme="minorHAnsi"/>
              </w:rPr>
            </w:pPr>
            <w:r w:rsidRPr="008C1627">
              <w:rPr>
                <w:rFonts w:cstheme="minorHAnsi"/>
              </w:rPr>
              <w:t>Dye with optical detection, visual confirmation of deployment and progress.</w:t>
            </w:r>
          </w:p>
        </w:tc>
      </w:tr>
      <w:tr w:rsidR="000B63E4" w:rsidRPr="008C1627" w14:paraId="229435CB" w14:textId="77777777" w:rsidTr="000B63E4">
        <w:tc>
          <w:tcPr>
            <w:tcW w:w="1470" w:type="dxa"/>
          </w:tcPr>
          <w:p w14:paraId="272D4454" w14:textId="77777777" w:rsidR="000B63E4" w:rsidRPr="008C1627" w:rsidRDefault="000B63E4" w:rsidP="000B63E4">
            <w:pPr>
              <w:jc w:val="both"/>
              <w:rPr>
                <w:rFonts w:cstheme="minorHAnsi"/>
              </w:rPr>
            </w:pPr>
            <w:r w:rsidRPr="008C1627">
              <w:rPr>
                <w:rFonts w:cstheme="minorHAnsi"/>
              </w:rPr>
              <w:t>Detection</w:t>
            </w:r>
          </w:p>
        </w:tc>
        <w:tc>
          <w:tcPr>
            <w:tcW w:w="6810" w:type="dxa"/>
          </w:tcPr>
          <w:p w14:paraId="0EA31CCA" w14:textId="77777777" w:rsidR="000B63E4" w:rsidRPr="008C1627" w:rsidRDefault="000B63E4" w:rsidP="000B63E4">
            <w:pPr>
              <w:jc w:val="both"/>
              <w:rPr>
                <w:rFonts w:cstheme="minorHAnsi"/>
              </w:rPr>
            </w:pPr>
            <w:r w:rsidRPr="008C1627">
              <w:rPr>
                <w:rFonts w:cstheme="minorHAnsi"/>
              </w:rPr>
              <w:t>In field – continuous monitoring. Excitation at 555</w:t>
            </w:r>
            <w:r>
              <w:rPr>
                <w:rFonts w:cstheme="minorHAnsi"/>
              </w:rPr>
              <w:t xml:space="preserve"> </w:t>
            </w:r>
            <w:r w:rsidRPr="008C1627">
              <w:rPr>
                <w:rFonts w:cstheme="minorHAnsi"/>
              </w:rPr>
              <w:t>nm, emission 580</w:t>
            </w:r>
            <w:r>
              <w:rPr>
                <w:rFonts w:cstheme="minorHAnsi"/>
              </w:rPr>
              <w:t xml:space="preserve"> </w:t>
            </w:r>
            <w:r w:rsidRPr="008C1627">
              <w:rPr>
                <w:rFonts w:cstheme="minorHAnsi"/>
              </w:rPr>
              <w:t>nm</w:t>
            </w:r>
          </w:p>
        </w:tc>
      </w:tr>
      <w:tr w:rsidR="000B63E4" w:rsidRPr="008C1627" w14:paraId="5A90A1B9" w14:textId="77777777" w:rsidTr="000B63E4">
        <w:tc>
          <w:tcPr>
            <w:tcW w:w="1470" w:type="dxa"/>
          </w:tcPr>
          <w:p w14:paraId="2AE0805E" w14:textId="77777777" w:rsidR="000B63E4" w:rsidRPr="008C1627" w:rsidRDefault="000B63E4" w:rsidP="000B63E4">
            <w:pPr>
              <w:jc w:val="both"/>
              <w:rPr>
                <w:rFonts w:cstheme="minorHAnsi"/>
              </w:rPr>
            </w:pPr>
            <w:r w:rsidRPr="008C1627">
              <w:rPr>
                <w:rFonts w:cstheme="minorHAnsi"/>
              </w:rPr>
              <w:t>Conservation</w:t>
            </w:r>
          </w:p>
        </w:tc>
        <w:tc>
          <w:tcPr>
            <w:tcW w:w="6810" w:type="dxa"/>
          </w:tcPr>
          <w:p w14:paraId="01A964E7" w14:textId="77777777" w:rsidR="000B63E4" w:rsidRPr="008C1627" w:rsidRDefault="000B63E4" w:rsidP="000B63E4">
            <w:pPr>
              <w:jc w:val="both"/>
              <w:rPr>
                <w:rFonts w:cstheme="minorHAnsi"/>
              </w:rPr>
            </w:pPr>
            <w:r w:rsidRPr="008C1627">
              <w:rPr>
                <w:rFonts w:cstheme="minorHAnsi"/>
              </w:rPr>
              <w:t>Non-conservative – loss principally due to irreversible sorption (zero order kinetics)</w:t>
            </w:r>
          </w:p>
        </w:tc>
      </w:tr>
      <w:tr w:rsidR="000B63E4" w:rsidRPr="008C1627" w14:paraId="0A92D0EE" w14:textId="77777777" w:rsidTr="000B63E4">
        <w:tc>
          <w:tcPr>
            <w:tcW w:w="1470" w:type="dxa"/>
          </w:tcPr>
          <w:p w14:paraId="79990BB3" w14:textId="77777777" w:rsidR="000B63E4" w:rsidRPr="008C1627" w:rsidRDefault="000B63E4" w:rsidP="000B63E4">
            <w:pPr>
              <w:jc w:val="both"/>
              <w:rPr>
                <w:rFonts w:cstheme="minorHAnsi"/>
              </w:rPr>
            </w:pPr>
            <w:r w:rsidRPr="008C1627">
              <w:rPr>
                <w:rFonts w:cstheme="minorHAnsi"/>
              </w:rPr>
              <w:t>Interferences</w:t>
            </w:r>
          </w:p>
        </w:tc>
        <w:tc>
          <w:tcPr>
            <w:tcW w:w="6810" w:type="dxa"/>
          </w:tcPr>
          <w:p w14:paraId="7F62C0FE" w14:textId="77777777" w:rsidR="000B63E4" w:rsidRPr="008C1627" w:rsidRDefault="000B63E4" w:rsidP="000B63E4">
            <w:pPr>
              <w:jc w:val="both"/>
              <w:rPr>
                <w:rFonts w:cstheme="minorHAnsi"/>
              </w:rPr>
            </w:pPr>
            <w:r w:rsidRPr="008C1627">
              <w:rPr>
                <w:rFonts w:cstheme="minorHAnsi"/>
              </w:rPr>
              <w:t>Orange iron oxides</w:t>
            </w:r>
          </w:p>
        </w:tc>
      </w:tr>
      <w:tr w:rsidR="000B63E4" w:rsidRPr="008C1627" w14:paraId="4C88E917" w14:textId="77777777" w:rsidTr="000B63E4">
        <w:tc>
          <w:tcPr>
            <w:tcW w:w="1470" w:type="dxa"/>
          </w:tcPr>
          <w:p w14:paraId="3D65E94B" w14:textId="77777777" w:rsidR="000B63E4" w:rsidRPr="008C1627" w:rsidRDefault="000B63E4" w:rsidP="000B63E4">
            <w:pPr>
              <w:jc w:val="both"/>
              <w:rPr>
                <w:rFonts w:cstheme="minorHAnsi"/>
              </w:rPr>
            </w:pPr>
            <w:r w:rsidRPr="008C1627">
              <w:rPr>
                <w:rFonts w:cstheme="minorHAnsi"/>
              </w:rPr>
              <w:t>Deployment</w:t>
            </w:r>
          </w:p>
        </w:tc>
        <w:tc>
          <w:tcPr>
            <w:tcW w:w="6810" w:type="dxa"/>
          </w:tcPr>
          <w:p w14:paraId="09B3A9E2" w14:textId="77777777" w:rsidR="000B63E4" w:rsidRPr="008C1627" w:rsidRDefault="000B63E4" w:rsidP="000B63E4">
            <w:pPr>
              <w:jc w:val="both"/>
              <w:rPr>
                <w:rFonts w:cstheme="minorHAnsi"/>
              </w:rPr>
            </w:pPr>
            <w:r w:rsidRPr="008C1627">
              <w:rPr>
                <w:rFonts w:cstheme="minorHAnsi"/>
              </w:rPr>
              <w:t>Solution, mixing required to accommodate specific gravity</w:t>
            </w:r>
          </w:p>
        </w:tc>
      </w:tr>
      <w:tr w:rsidR="000B63E4" w:rsidRPr="008C1627" w14:paraId="2FD147FE" w14:textId="77777777" w:rsidTr="000B63E4">
        <w:tc>
          <w:tcPr>
            <w:tcW w:w="1470" w:type="dxa"/>
            <w:tcBorders>
              <w:bottom w:val="single" w:sz="4" w:space="0" w:color="auto"/>
            </w:tcBorders>
          </w:tcPr>
          <w:p w14:paraId="3B62F4B7" w14:textId="77777777" w:rsidR="000B63E4" w:rsidRPr="008C1627" w:rsidRDefault="000B63E4" w:rsidP="000B63E4">
            <w:pPr>
              <w:jc w:val="both"/>
              <w:rPr>
                <w:rFonts w:cstheme="minorHAnsi"/>
              </w:rPr>
            </w:pPr>
            <w:r w:rsidRPr="008C1627">
              <w:rPr>
                <w:rFonts w:cstheme="minorHAnsi"/>
              </w:rPr>
              <w:t>Downstream</w:t>
            </w:r>
          </w:p>
        </w:tc>
        <w:tc>
          <w:tcPr>
            <w:tcW w:w="6810" w:type="dxa"/>
            <w:tcBorders>
              <w:bottom w:val="single" w:sz="4" w:space="0" w:color="auto"/>
            </w:tcBorders>
          </w:tcPr>
          <w:p w14:paraId="5E52F6C2" w14:textId="77777777" w:rsidR="000B63E4" w:rsidRPr="008C1627" w:rsidRDefault="000B63E4" w:rsidP="000B63E4">
            <w:pPr>
              <w:jc w:val="both"/>
              <w:rPr>
                <w:rFonts w:cstheme="minorHAnsi"/>
              </w:rPr>
            </w:pPr>
            <w:r w:rsidRPr="008C1627">
              <w:rPr>
                <w:rFonts w:cstheme="minorHAnsi"/>
              </w:rPr>
              <w:t>Attenuation via sorption and photolysis</w:t>
            </w:r>
          </w:p>
        </w:tc>
      </w:tr>
    </w:tbl>
    <w:p w14:paraId="0AC3BB1C" w14:textId="66D1737E" w:rsidR="000B63E4" w:rsidRPr="008C1627" w:rsidRDefault="000B63E4" w:rsidP="000B63E4">
      <w:pPr>
        <w:spacing w:before="100" w:beforeAutospacing="1" w:after="100" w:afterAutospacing="1" w:line="480" w:lineRule="auto"/>
        <w:jc w:val="both"/>
        <w:rPr>
          <w:rFonts w:cstheme="minorHAnsi"/>
        </w:rPr>
      </w:pPr>
      <w:r w:rsidRPr="008C1627">
        <w:rPr>
          <w:rFonts w:cstheme="minorHAnsi"/>
        </w:rPr>
        <w:t xml:space="preserve">The tracer dye </w:t>
      </w:r>
      <w:proofErr w:type="spellStart"/>
      <w:r w:rsidRPr="008C1627">
        <w:rPr>
          <w:rFonts w:cstheme="minorHAnsi"/>
        </w:rPr>
        <w:t>rhodamine</w:t>
      </w:r>
      <w:proofErr w:type="spellEnd"/>
      <w:r w:rsidRPr="008C1627">
        <w:rPr>
          <w:rFonts w:cstheme="minorHAnsi"/>
        </w:rPr>
        <w:t xml:space="preserve"> WT was selected due to its unique spectral characteristics to minimize interferences from turbidity and phytoplankton (chlorophyll a) and the availability of </w:t>
      </w:r>
      <w:r w:rsidRPr="008C1627">
        <w:rPr>
          <w:rFonts w:cstheme="minorHAnsi"/>
          <w:i/>
        </w:rPr>
        <w:t>in situ</w:t>
      </w:r>
      <w:r w:rsidRPr="008C1627">
        <w:rPr>
          <w:rFonts w:cstheme="minorHAnsi"/>
        </w:rPr>
        <w:t xml:space="preserve"> continuous monitoring in real time with a YSI 6130 </w:t>
      </w:r>
      <w:proofErr w:type="spellStart"/>
      <w:r w:rsidRPr="008C1627">
        <w:rPr>
          <w:rFonts w:cstheme="minorHAnsi"/>
        </w:rPr>
        <w:t>rhodamine</w:t>
      </w:r>
      <w:proofErr w:type="spellEnd"/>
      <w:r w:rsidRPr="008C1627">
        <w:rPr>
          <w:rFonts w:cstheme="minorHAnsi"/>
        </w:rPr>
        <w:t xml:space="preserve"> probe (Range: 0-200 </w:t>
      </w:r>
      <w:proofErr w:type="spellStart"/>
      <w:r w:rsidRPr="008C1627">
        <w:rPr>
          <w:rFonts w:cstheme="minorHAnsi"/>
        </w:rPr>
        <w:t>ug</w:t>
      </w:r>
      <w:proofErr w:type="spellEnd"/>
      <w:r w:rsidRPr="008C1627">
        <w:rPr>
          <w:rFonts w:cstheme="minorHAnsi"/>
        </w:rPr>
        <w:t xml:space="preserve">/L; Resolution: 0.1 </w:t>
      </w:r>
      <w:proofErr w:type="spellStart"/>
      <w:r w:rsidRPr="008C1627">
        <w:rPr>
          <w:rFonts w:cstheme="minorHAnsi"/>
        </w:rPr>
        <w:t>ug</w:t>
      </w:r>
      <w:proofErr w:type="spellEnd"/>
      <w:r w:rsidRPr="008C1627">
        <w:rPr>
          <w:rFonts w:cstheme="minorHAnsi"/>
        </w:rPr>
        <w:t xml:space="preserve">/L; Accuracy: +/-5% reading or 1 </w:t>
      </w:r>
      <w:proofErr w:type="spellStart"/>
      <w:r w:rsidRPr="008C1627">
        <w:rPr>
          <w:rFonts w:cstheme="minorHAnsi"/>
        </w:rPr>
        <w:t>ug</w:t>
      </w:r>
      <w:proofErr w:type="spellEnd"/>
      <w:r w:rsidRPr="008C1627">
        <w:rPr>
          <w:rFonts w:cstheme="minorHAnsi"/>
        </w:rPr>
        <w:t>/L, whichever is greater)</w:t>
      </w:r>
      <w:r w:rsidRPr="008C1627">
        <w:rPr>
          <w:rFonts w:cstheme="minorHAnsi"/>
        </w:rPr>
        <w:fldChar w:fldCharType="begin" w:fldLock="1"/>
      </w:r>
      <w:r w:rsidRPr="008C1627">
        <w:rPr>
          <w:rFonts w:cstheme="minorHAnsi"/>
        </w:rPr>
        <w:instrText>ADDIN CSL_CITATION { "citationItems" : [ { "id" : "ITEM-1", "itemData" : { "author" : [ { "dropping-particle" : "", "family" : "Environmental", "given" : "YSI", "non-dropping-particle" : "", "parse-names" : false, "suffix" : "" } ], "id" : "ITEM-1", "issued" : { "date-parts" : [ [ "2001" ] ] }, "number-of-pages" : "1-8", "title" : "Water tracing , in situ dye fluorometry and the YSI 6130 Rhodamine WT Sensor", "type" : "report" }, "uris" : [ "http://www.mendeley.com/documents/?uuid=2741717f-9d91-4b32-af97-fbbee2e46ed3" ] } ], "mendeley" : { "formattedCitation" : "(Environmental 2001)", "plainTextFormattedCitation" : "(Environmental 2001)", "previouslyFormattedCitation" : "(Environmental 2001)" }, "properties" : { "noteIndex" : 0 }, "schema" : "https://github.com/citation-style-language/schema/raw/master/csl-citation.json" }</w:instrText>
      </w:r>
      <w:r w:rsidRPr="008C1627">
        <w:rPr>
          <w:rFonts w:cstheme="minorHAnsi"/>
        </w:rPr>
        <w:fldChar w:fldCharType="separate"/>
      </w:r>
      <w:r w:rsidRPr="008C1627">
        <w:rPr>
          <w:rFonts w:cstheme="minorHAnsi"/>
          <w:noProof/>
        </w:rPr>
        <w:t>(</w:t>
      </w:r>
      <w:r w:rsidR="006B0CD6">
        <w:rPr>
          <w:rFonts w:cstheme="minorHAnsi"/>
          <w:noProof/>
        </w:rPr>
        <w:t>Fondriest</w:t>
      </w:r>
      <w:r w:rsidRPr="008C1627">
        <w:rPr>
          <w:rFonts w:cstheme="minorHAnsi"/>
          <w:noProof/>
        </w:rPr>
        <w:t xml:space="preserve"> 2001)</w:t>
      </w:r>
      <w:r w:rsidRPr="008C1627">
        <w:rPr>
          <w:rFonts w:cstheme="minorHAnsi"/>
        </w:rPr>
        <w:fldChar w:fldCharType="end"/>
      </w:r>
      <w:r w:rsidRPr="008C1627">
        <w:rPr>
          <w:rFonts w:cstheme="minorHAnsi"/>
        </w:rPr>
        <w:t xml:space="preserve">. </w:t>
      </w:r>
      <w:proofErr w:type="spellStart"/>
      <w:r w:rsidRPr="008C1627">
        <w:rPr>
          <w:rFonts w:cstheme="minorHAnsi"/>
        </w:rPr>
        <w:t>Rhodamine</w:t>
      </w:r>
      <w:proofErr w:type="spellEnd"/>
      <w:r w:rsidRPr="008C1627">
        <w:rPr>
          <w:rFonts w:cstheme="minorHAnsi"/>
        </w:rPr>
        <w:t xml:space="preserve"> sensors were calibrated using a 100 mg/L standard and were deployed at the effluent </w:t>
      </w:r>
      <w:proofErr w:type="spellStart"/>
      <w:r w:rsidRPr="008C1627">
        <w:rPr>
          <w:rFonts w:cstheme="minorHAnsi"/>
        </w:rPr>
        <w:t>AgriDrains</w:t>
      </w:r>
      <w:proofErr w:type="spellEnd"/>
      <w:r w:rsidRPr="008C1627">
        <w:rPr>
          <w:rFonts w:cstheme="minorHAnsi"/>
        </w:rPr>
        <w:t xml:space="preserve"> of Cell 1, Cell2N, and Cell 2S. </w:t>
      </w:r>
    </w:p>
    <w:p w14:paraId="11EDE0DD" w14:textId="5FF6C599" w:rsidR="000B63E4" w:rsidRPr="008C1627" w:rsidRDefault="000B63E4" w:rsidP="000B63E4">
      <w:pPr>
        <w:spacing w:before="100" w:beforeAutospacing="1" w:after="100" w:afterAutospacing="1" w:line="480" w:lineRule="auto"/>
        <w:jc w:val="both"/>
        <w:rPr>
          <w:rFonts w:cstheme="minorHAnsi"/>
        </w:rPr>
      </w:pPr>
      <w:r w:rsidRPr="008C1627">
        <w:rPr>
          <w:rFonts w:cstheme="minorHAnsi"/>
        </w:rPr>
        <w:lastRenderedPageBreak/>
        <w:t xml:space="preserve">The principle limitation to using </w:t>
      </w:r>
      <w:proofErr w:type="spellStart"/>
      <w:r w:rsidRPr="008C1627">
        <w:rPr>
          <w:rFonts w:cstheme="minorHAnsi"/>
        </w:rPr>
        <w:t>Rhodamine</w:t>
      </w:r>
      <w:proofErr w:type="spellEnd"/>
      <w:r w:rsidRPr="008C1627">
        <w:rPr>
          <w:rFonts w:cstheme="minorHAnsi"/>
        </w:rPr>
        <w:t xml:space="preserve"> WT as a tracer dye is its loss via sorption to organic matter </w:t>
      </w:r>
      <w:r w:rsidRPr="008C1627">
        <w:rPr>
          <w:rFonts w:cstheme="minorHAnsi"/>
        </w:rPr>
        <w:fldChar w:fldCharType="begin" w:fldLock="1"/>
      </w:r>
      <w:r w:rsidRPr="008C1627">
        <w:rPr>
          <w:rFonts w:cstheme="minorHAnsi"/>
        </w:rPr>
        <w:instrText>ADDIN CSL_CITATION { "citationItems" : [ { "id" : "ITEM-1", "itemData" : { "DOI" : "10.1672/0277-5212(2005)025[0008:AEOTTI]2.0.CO;2", "ISBN" : "0277-5212", "ISSN" : "0277-5212", "abstract" : "Rhodamine-WT and LiCl were compared for their suitability as hydraulic tracers in wetlands. Using outdoor mesocosms, we found lithium to be more conservative than rhodamine-WT when initial concentrations were 4.9 to 64 \u03bcg/L for rhodamine-WT and 28\u2013516 \u03bcg/L for Li++ (1:6 to 1:8 (wt/wt) ratio of rhodamine-WT to Li++). At higher initial concentrations (i.e., 100 \u03bcg/L for rhodamine-WT and 1000 \u03bcg/L for Li++), both tracers returned more than 95%% of the injected amount in submerged aquatic vegetation-dominated mesocosms; rhodamine-WT was returned at only 74\u201375%% in cattail-dominated mesocosms. Batch studies using different sediment substrates exposed to direct sunlight and shade indicated that Li++ was less affected by adsorption and microbial processes than was rhodamine-WT at low initial tracer concentrations of each (4.9 and 19.4 \u03bcg/L for rhodamine-WT and 28 and 106 \u03bcg/L for Li++). Both rhodamine-WT and Li++ desorb back to the water column in small amounts. The extent of adsorption losses by rhodamine-WT depended on the organic matter content of the sediment and the extent of photolysis. Even though rhodamine-WT was not as stable as LiCl at initial concentrations less than 60 \u03bcg/L, the reduction in the recoveries did not affect the accuracy of key hydraulic parameters (hydraulic retention time, dispersion, tanks-in-series, and wetland dispersion numbers) derived from the method of moments analysis as long as a discernible concentration-time response still existed. This is because the tracer losses were approximately zero-order and irreversible.", "author" : [ { "dropping-particle" : "", "family" : "Dierberg", "given" : "Forrest E.", "non-dropping-particle" : "", "parse-names" : false, "suffix" : "" }, { "dropping-particle" : "", "family" : "DeBusk", "given" : "Thomas A.", "non-dropping-particle" : "", "parse-names" : false, "suffix" : "" } ], "container-title" : "Wetlands", "id" : "ITEM-1", "issue" : "1", "issued" : { "date-parts" : [ [ "2005" ] ] }, "page" : "8-25", "title" : "An evaluation of two tracers in surface-flow wetlands: Rhodamine-WT and lithium", "type" : "article-journal", "volume" : "25" }, "uris" : [ "http://www.mendeley.com/documents/?uuid=9507ac4b-137c-4e82-93b3-f0b21b0b73b1" ] } ], "mendeley" : { "formattedCitation" : "(Dierberg and DeBusk 2005)", "plainTextFormattedCitation" : "(Dierberg and DeBusk 2005)", "previouslyFormattedCitation" : "(Dierberg and DeBusk 2005)" }, "properties" : { "noteIndex" : 0 }, "schema" : "https://github.com/citation-style-language/schema/raw/master/csl-citation.json" }</w:instrText>
      </w:r>
      <w:r w:rsidRPr="008C1627">
        <w:rPr>
          <w:rFonts w:cstheme="minorHAnsi"/>
        </w:rPr>
        <w:fldChar w:fldCharType="separate"/>
      </w:r>
      <w:r w:rsidRPr="008C1627">
        <w:rPr>
          <w:rFonts w:cstheme="minorHAnsi"/>
          <w:noProof/>
        </w:rPr>
        <w:t>(Dierberg and DeBusk 2005)</w:t>
      </w:r>
      <w:r w:rsidRPr="008C1627">
        <w:rPr>
          <w:rFonts w:cstheme="minorHAnsi"/>
        </w:rPr>
        <w:fldChar w:fldCharType="end"/>
      </w:r>
      <w:r w:rsidRPr="008C1627">
        <w:rPr>
          <w:rFonts w:cstheme="minorHAnsi"/>
        </w:rPr>
        <w:t xml:space="preserve"> and to iron oxides</w:t>
      </w:r>
      <w:r w:rsidR="006B0CD6">
        <w:rPr>
          <w:rFonts w:cstheme="minorHAnsi"/>
        </w:rPr>
        <w:t xml:space="preserve"> </w:t>
      </w:r>
      <w:r w:rsidRPr="008C1627">
        <w:rPr>
          <w:rFonts w:cstheme="minorHAnsi"/>
        </w:rPr>
        <w:t xml:space="preserve">limiting its mass recovery. </w:t>
      </w:r>
      <w:proofErr w:type="spellStart"/>
      <w:r w:rsidRPr="008C1627">
        <w:rPr>
          <w:rFonts w:cstheme="minorHAnsi"/>
        </w:rPr>
        <w:t>Rhodamine</w:t>
      </w:r>
      <w:proofErr w:type="spellEnd"/>
      <w:r w:rsidRPr="008C1627">
        <w:rPr>
          <w:rFonts w:cstheme="minorHAnsi"/>
        </w:rPr>
        <w:t xml:space="preserve"> was introduced to the system at each of the seeps in a synchronized, volume</w:t>
      </w:r>
      <w:r>
        <w:rPr>
          <w:rFonts w:cstheme="minorHAnsi"/>
        </w:rPr>
        <w:t>-</w:t>
      </w:r>
      <w:r w:rsidRPr="008C1627">
        <w:rPr>
          <w:rFonts w:cstheme="minorHAnsi"/>
        </w:rPr>
        <w:t>weighted addition based on loading contribution of each seep to the system (Seep A (30%), Seep B (60%), and Seep D (10%)). A total of 3800</w:t>
      </w:r>
      <w:r>
        <w:rPr>
          <w:rFonts w:cstheme="minorHAnsi"/>
        </w:rPr>
        <w:t xml:space="preserve"> </w:t>
      </w:r>
      <w:r w:rsidRPr="008C1627">
        <w:rPr>
          <w:rFonts w:cstheme="minorHAnsi"/>
        </w:rPr>
        <w:t xml:space="preserve">mL of </w:t>
      </w:r>
      <w:proofErr w:type="spellStart"/>
      <w:r w:rsidRPr="008C1627">
        <w:rPr>
          <w:rFonts w:cstheme="minorHAnsi"/>
        </w:rPr>
        <w:t>Rhodamine</w:t>
      </w:r>
      <w:proofErr w:type="spellEnd"/>
      <w:r w:rsidRPr="008C1627">
        <w:rPr>
          <w:rFonts w:cstheme="minorHAnsi"/>
        </w:rPr>
        <w:t xml:space="preserve"> WT was added to the system where the seeps emerge and discharge and run down</w:t>
      </w:r>
      <w:r>
        <w:rPr>
          <w:rFonts w:cstheme="minorHAnsi"/>
        </w:rPr>
        <w:t xml:space="preserve"> </w:t>
      </w:r>
      <w:r w:rsidRPr="008C1627">
        <w:rPr>
          <w:rFonts w:cstheme="minorHAnsi"/>
        </w:rPr>
        <w:t xml:space="preserve">channels before spilling into Cell 1 for the most realistic representation of loading. There were no additional amounts of </w:t>
      </w:r>
      <w:proofErr w:type="spellStart"/>
      <w:r w:rsidRPr="008C1627">
        <w:rPr>
          <w:rFonts w:cstheme="minorHAnsi"/>
        </w:rPr>
        <w:t>rhodamine</w:t>
      </w:r>
      <w:proofErr w:type="spellEnd"/>
      <w:r w:rsidRPr="008C1627">
        <w:rPr>
          <w:rFonts w:cstheme="minorHAnsi"/>
        </w:rPr>
        <w:t xml:space="preserve"> added to the system beyond the initial dosing. Thus</w:t>
      </w:r>
      <w:r>
        <w:rPr>
          <w:rFonts w:cstheme="minorHAnsi"/>
        </w:rPr>
        <w:t>,</w:t>
      </w:r>
      <w:r w:rsidRPr="008C1627">
        <w:rPr>
          <w:rFonts w:cstheme="minorHAnsi"/>
        </w:rPr>
        <w:t xml:space="preserve"> the tracer that was transported out of Cell 1 bec</w:t>
      </w:r>
      <w:r>
        <w:rPr>
          <w:rFonts w:cstheme="minorHAnsi"/>
        </w:rPr>
        <w:t>ame</w:t>
      </w:r>
      <w:r w:rsidRPr="008C1627">
        <w:rPr>
          <w:rFonts w:cstheme="minorHAnsi"/>
        </w:rPr>
        <w:t xml:space="preserve"> the mass loading for the Cell 2N/2S tracer study. Photographs and spot checks with a portable </w:t>
      </w:r>
      <w:proofErr w:type="spellStart"/>
      <w:r w:rsidRPr="008C1627">
        <w:rPr>
          <w:rFonts w:cstheme="minorHAnsi"/>
        </w:rPr>
        <w:t>rhodamine</w:t>
      </w:r>
      <w:proofErr w:type="spellEnd"/>
      <w:r w:rsidRPr="008C1627">
        <w:rPr>
          <w:rFonts w:cstheme="minorHAnsi"/>
        </w:rPr>
        <w:t xml:space="preserve"> sensor were used to document progress while the continuous monitoring sensors logged concentration undisturbed for the duration of the study. </w:t>
      </w:r>
      <w:proofErr w:type="spellStart"/>
      <w:r w:rsidRPr="008C1627">
        <w:rPr>
          <w:rFonts w:cstheme="minorHAnsi"/>
        </w:rPr>
        <w:t>Rhodamine</w:t>
      </w:r>
      <w:proofErr w:type="spellEnd"/>
      <w:r w:rsidRPr="008C1627">
        <w:rPr>
          <w:rFonts w:cstheme="minorHAnsi"/>
        </w:rPr>
        <w:t xml:space="preserve"> concentration (µg/mL) was logged over time and plotted via Excel to determine the area under the curve. The hydraulic retention time was determined as the point in which 70% of the area under the curve had been accounted for</w:t>
      </w:r>
      <w:r w:rsidR="006B0CD6">
        <w:rPr>
          <w:rFonts w:cstheme="minorHAnsi"/>
        </w:rPr>
        <w:t xml:space="preserve"> (Kruse et al 2009)</w:t>
      </w:r>
      <w:r w:rsidRPr="008C1627">
        <w:rPr>
          <w:rFonts w:cstheme="minorHAnsi"/>
        </w:rPr>
        <w:t xml:space="preserve">.  </w:t>
      </w:r>
    </w:p>
    <w:p w14:paraId="6DD840E5" w14:textId="77777777" w:rsidR="000B63E4" w:rsidRDefault="000B63E4" w:rsidP="000B63E4">
      <w:pPr>
        <w:pStyle w:val="Heading4"/>
        <w:jc w:val="both"/>
      </w:pPr>
      <w:r w:rsidRPr="008C1627">
        <w:t>Tracer Study Results</w:t>
      </w:r>
    </w:p>
    <w:p w14:paraId="1C3E7D64" w14:textId="77777777" w:rsidR="000B63E4" w:rsidRPr="00383626" w:rsidRDefault="000B63E4" w:rsidP="000B63E4">
      <w:pPr>
        <w:jc w:val="both"/>
      </w:pPr>
    </w:p>
    <w:p w14:paraId="245D23E5" w14:textId="17E425DE" w:rsidR="000B63E4" w:rsidRDefault="000B63E4" w:rsidP="000B63E4">
      <w:pPr>
        <w:spacing w:before="100" w:beforeAutospacing="1" w:after="100" w:afterAutospacing="1" w:line="480" w:lineRule="auto"/>
        <w:jc w:val="both"/>
        <w:rPr>
          <w:rFonts w:cstheme="minorHAnsi"/>
        </w:rPr>
      </w:pPr>
      <w:r>
        <w:rPr>
          <w:rFonts w:cstheme="minorHAnsi"/>
        </w:rPr>
        <w:t>For the tracer study, t</w:t>
      </w:r>
      <w:r w:rsidRPr="008C1627">
        <w:rPr>
          <w:rFonts w:cstheme="minorHAnsi"/>
        </w:rPr>
        <w:t xml:space="preserve">he influent flow to the MRPTS was determined to be 151 L/min (Seep A), 265 L/min (Seep B), and 28 L/min </w:t>
      </w:r>
      <w:r>
        <w:rPr>
          <w:rFonts w:cstheme="minorHAnsi"/>
        </w:rPr>
        <w:t>(</w:t>
      </w:r>
      <w:r w:rsidRPr="008C1627">
        <w:rPr>
          <w:rFonts w:cstheme="minorHAnsi"/>
        </w:rPr>
        <w:t>Seep D</w:t>
      </w:r>
      <w:r>
        <w:rPr>
          <w:rFonts w:cstheme="minorHAnsi"/>
        </w:rPr>
        <w:t>)</w:t>
      </w:r>
      <w:r w:rsidRPr="008C1627">
        <w:rPr>
          <w:rFonts w:cstheme="minorHAnsi"/>
        </w:rPr>
        <w:t xml:space="preserve"> for a combined total flow of 444 L/min into Cell 1. The density of </w:t>
      </w:r>
      <w:proofErr w:type="spellStart"/>
      <w:r w:rsidRPr="008C1627">
        <w:rPr>
          <w:rFonts w:cstheme="minorHAnsi"/>
        </w:rPr>
        <w:t>rhodamine</w:t>
      </w:r>
      <w:proofErr w:type="spellEnd"/>
      <w:r w:rsidRPr="008C1627">
        <w:rPr>
          <w:rFonts w:cstheme="minorHAnsi"/>
        </w:rPr>
        <w:t xml:space="preserve"> WT concentrate is 1.16 g/mL so with 3800 mL loaded, </w:t>
      </w:r>
      <w:r>
        <w:rPr>
          <w:rFonts w:cstheme="minorHAnsi"/>
        </w:rPr>
        <w:t>an</w:t>
      </w:r>
      <w:r w:rsidRPr="008C1627">
        <w:rPr>
          <w:rFonts w:cstheme="minorHAnsi"/>
        </w:rPr>
        <w:t xml:space="preserve"> equivalent mass of 4,048</w:t>
      </w:r>
      <w:r>
        <w:rPr>
          <w:rFonts w:cstheme="minorHAnsi"/>
        </w:rPr>
        <w:t xml:space="preserve"> </w:t>
      </w:r>
      <w:r w:rsidRPr="008C1627">
        <w:rPr>
          <w:rFonts w:cstheme="minorHAnsi"/>
        </w:rPr>
        <w:t xml:space="preserve">g of </w:t>
      </w:r>
      <w:proofErr w:type="spellStart"/>
      <w:r w:rsidRPr="008C1627">
        <w:rPr>
          <w:rFonts w:cstheme="minorHAnsi"/>
        </w:rPr>
        <w:t>rhodamine</w:t>
      </w:r>
      <w:proofErr w:type="spellEnd"/>
      <w:r w:rsidRPr="008C1627">
        <w:rPr>
          <w:rFonts w:cstheme="minorHAnsi"/>
        </w:rPr>
        <w:t xml:space="preserve"> dye</w:t>
      </w:r>
      <w:r>
        <w:rPr>
          <w:rFonts w:cstheme="minorHAnsi"/>
        </w:rPr>
        <w:t xml:space="preserve"> was added</w:t>
      </w:r>
      <w:r w:rsidRPr="008C1627">
        <w:rPr>
          <w:rFonts w:cstheme="minorHAnsi"/>
        </w:rPr>
        <w:t>. A 20</w:t>
      </w:r>
      <w:r>
        <w:rPr>
          <w:rFonts w:cstheme="minorHAnsi"/>
        </w:rPr>
        <w:t>-</w:t>
      </w:r>
      <w:r w:rsidRPr="008C1627">
        <w:rPr>
          <w:rFonts w:cstheme="minorHAnsi"/>
        </w:rPr>
        <w:t>L bucket was used to dilute the concentration to a density that is more consistent with the influent water quality to prevent mixing issues. Dye was observed to short circuit past the mixing zone of section 1 of Cell 1 through contact with the landmass at the edge of the cell and pass into section 2 of the cell within minutes of its introduction. Figure</w:t>
      </w:r>
      <w:r>
        <w:rPr>
          <w:rFonts w:cstheme="minorHAnsi"/>
        </w:rPr>
        <w:t>s</w:t>
      </w:r>
      <w:r w:rsidR="00317F91">
        <w:rPr>
          <w:rFonts w:cstheme="minorHAnsi"/>
        </w:rPr>
        <w:t xml:space="preserve"> 4</w:t>
      </w:r>
      <w:r w:rsidRPr="008C1627">
        <w:rPr>
          <w:rFonts w:cstheme="minorHAnsi"/>
        </w:rPr>
        <w:t xml:space="preserve">.10 </w:t>
      </w:r>
      <w:r w:rsidR="00317F91">
        <w:rPr>
          <w:rFonts w:cstheme="minorHAnsi"/>
        </w:rPr>
        <w:t>and 4</w:t>
      </w:r>
      <w:r>
        <w:rPr>
          <w:rFonts w:cstheme="minorHAnsi"/>
        </w:rPr>
        <w:t xml:space="preserve">.11 </w:t>
      </w:r>
      <w:r w:rsidRPr="008C1627">
        <w:rPr>
          <w:rFonts w:cstheme="minorHAnsi"/>
        </w:rPr>
        <w:t xml:space="preserve">include photos taken just after the </w:t>
      </w:r>
      <w:r w:rsidRPr="008C1627">
        <w:rPr>
          <w:rFonts w:cstheme="minorHAnsi"/>
        </w:rPr>
        <w:lastRenderedPageBreak/>
        <w:t xml:space="preserve">introduction of the </w:t>
      </w:r>
      <w:proofErr w:type="spellStart"/>
      <w:r w:rsidRPr="008C1627">
        <w:rPr>
          <w:rFonts w:cstheme="minorHAnsi"/>
        </w:rPr>
        <w:t>rhodamine</w:t>
      </w:r>
      <w:proofErr w:type="spellEnd"/>
      <w:r w:rsidRPr="008C1627">
        <w:rPr>
          <w:rFonts w:cstheme="minorHAnsi"/>
        </w:rPr>
        <w:t xml:space="preserve"> dye.</w:t>
      </w:r>
      <w:r w:rsidR="00317F91">
        <w:rPr>
          <w:rFonts w:cstheme="minorHAnsi"/>
        </w:rPr>
        <w:t xml:space="preserve"> Figure 4</w:t>
      </w:r>
      <w:r>
        <w:rPr>
          <w:rFonts w:cstheme="minorHAnsi"/>
        </w:rPr>
        <w:t>.11 is a series of photographs indicating qualitative observation of tracer dye short-circuiting as dye introduced at the see</w:t>
      </w:r>
      <w:r w:rsidR="006B0CD6">
        <w:rPr>
          <w:rFonts w:cstheme="minorHAnsi"/>
        </w:rPr>
        <w:t xml:space="preserve">ps headed to the </w:t>
      </w:r>
      <w:r>
        <w:rPr>
          <w:rFonts w:cstheme="minorHAnsi"/>
        </w:rPr>
        <w:t xml:space="preserve">Section 2 U-bend of Cell 1 rather than mixing in Section 1 as anticipated.  </w:t>
      </w:r>
    </w:p>
    <w:p w14:paraId="2436D55F" w14:textId="77777777" w:rsidR="000B63E4" w:rsidRPr="008C1627" w:rsidRDefault="000B63E4" w:rsidP="000B63E4">
      <w:pPr>
        <w:spacing w:before="100" w:beforeAutospacing="1" w:after="100" w:afterAutospacing="1"/>
        <w:jc w:val="both"/>
        <w:rPr>
          <w:rFonts w:cstheme="minorHAnsi"/>
        </w:rPr>
      </w:pPr>
      <w:r w:rsidRPr="008C1627">
        <w:rPr>
          <w:rFonts w:cstheme="minorHAnsi"/>
          <w:noProof/>
        </w:rPr>
        <w:drawing>
          <wp:inline distT="0" distB="0" distL="0" distR="0" wp14:anchorId="0E3E51B8" wp14:editId="62735E26">
            <wp:extent cx="5025390" cy="2784366"/>
            <wp:effectExtent l="0" t="0" r="3810" b="0"/>
            <wp:docPr id="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068514" cy="2808260"/>
                    </a:xfrm>
                    <a:prstGeom prst="rect">
                      <a:avLst/>
                    </a:prstGeom>
                  </pic:spPr>
                </pic:pic>
              </a:graphicData>
            </a:graphic>
          </wp:inline>
        </w:drawing>
      </w:r>
    </w:p>
    <w:p w14:paraId="66A4546F" w14:textId="7F6BF9C6" w:rsidR="000B63E4" w:rsidRPr="006B0CD6" w:rsidRDefault="00317F91" w:rsidP="000B63E4">
      <w:pPr>
        <w:spacing w:before="100" w:beforeAutospacing="1" w:after="100" w:afterAutospacing="1"/>
        <w:jc w:val="both"/>
        <w:rPr>
          <w:rFonts w:cstheme="minorHAnsi"/>
          <w:sz w:val="20"/>
        </w:rPr>
      </w:pPr>
      <w:r>
        <w:rPr>
          <w:rFonts w:cstheme="minorHAnsi"/>
          <w:sz w:val="20"/>
        </w:rPr>
        <w:t>Figure 4</w:t>
      </w:r>
      <w:r w:rsidR="000B63E4" w:rsidRPr="006B0CD6">
        <w:rPr>
          <w:rFonts w:cstheme="minorHAnsi"/>
          <w:sz w:val="20"/>
        </w:rPr>
        <w:t xml:space="preserve">.10: Introduction of </w:t>
      </w:r>
      <w:proofErr w:type="spellStart"/>
      <w:r w:rsidR="000B63E4" w:rsidRPr="006B0CD6">
        <w:rPr>
          <w:rFonts w:cstheme="minorHAnsi"/>
          <w:sz w:val="20"/>
        </w:rPr>
        <w:t>rhodamine</w:t>
      </w:r>
      <w:proofErr w:type="spellEnd"/>
      <w:r w:rsidR="000B63E4" w:rsidRPr="006B0CD6">
        <w:rPr>
          <w:rFonts w:cstheme="minorHAnsi"/>
          <w:sz w:val="20"/>
        </w:rPr>
        <w:t xml:space="preserve"> tracer dye at Seep A of the MRPTS. Note higher than design water levels as influent concrete channel is flooded, with water ponding around the seep box. Rust lines on the box indicate historic water levels over the course of seven years of system operation.</w:t>
      </w:r>
    </w:p>
    <w:p w14:paraId="494805A2" w14:textId="77777777" w:rsidR="000B63E4" w:rsidRDefault="000B63E4" w:rsidP="000B63E4">
      <w:pPr>
        <w:spacing w:after="0" w:line="240" w:lineRule="auto"/>
        <w:jc w:val="both"/>
        <w:rPr>
          <w:noProof/>
        </w:rPr>
      </w:pPr>
      <w:r w:rsidRPr="00BA19D9">
        <w:rPr>
          <w:noProof/>
        </w:rPr>
        <w:t xml:space="preserve"> </w:t>
      </w:r>
      <w:r>
        <w:rPr>
          <w:noProof/>
        </w:rPr>
        <w:drawing>
          <wp:inline distT="0" distB="0" distL="0" distR="0" wp14:anchorId="1496AE6B" wp14:editId="2C862163">
            <wp:extent cx="5100051" cy="2400300"/>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18816" t="31043" r="19082" b="16966"/>
                    <a:stretch/>
                  </pic:blipFill>
                  <pic:spPr bwMode="auto">
                    <a:xfrm>
                      <a:off x="0" y="0"/>
                      <a:ext cx="5135379" cy="2416927"/>
                    </a:xfrm>
                    <a:prstGeom prst="rect">
                      <a:avLst/>
                    </a:prstGeom>
                    <a:ln>
                      <a:noFill/>
                    </a:ln>
                    <a:extLst>
                      <a:ext uri="{53640926-AAD7-44D8-BBD7-CCE9431645EC}">
                        <a14:shadowObscured xmlns:a14="http://schemas.microsoft.com/office/drawing/2010/main"/>
                      </a:ext>
                    </a:extLst>
                  </pic:spPr>
                </pic:pic>
              </a:graphicData>
            </a:graphic>
          </wp:inline>
        </w:drawing>
      </w:r>
    </w:p>
    <w:p w14:paraId="6B0CF37D" w14:textId="193848A7" w:rsidR="000B63E4" w:rsidRDefault="00317F91" w:rsidP="000B63E4">
      <w:pPr>
        <w:spacing w:after="0" w:line="240" w:lineRule="auto"/>
        <w:jc w:val="both"/>
        <w:rPr>
          <w:rFonts w:cstheme="minorHAnsi"/>
          <w:sz w:val="20"/>
        </w:rPr>
      </w:pPr>
      <w:r>
        <w:rPr>
          <w:rFonts w:cstheme="minorHAnsi"/>
          <w:sz w:val="20"/>
        </w:rPr>
        <w:t>Figure 4</w:t>
      </w:r>
      <w:r w:rsidR="000B63E4" w:rsidRPr="00BA19D9">
        <w:rPr>
          <w:rFonts w:cstheme="minorHAnsi"/>
          <w:sz w:val="20"/>
        </w:rPr>
        <w:t>.11: Tracer dye short circuiting into section 2 after introduction to the MRPTS.</w:t>
      </w:r>
    </w:p>
    <w:p w14:paraId="34A9AFDB" w14:textId="2FB63AF9" w:rsidR="006B0CD6" w:rsidRDefault="006B0CD6" w:rsidP="000B63E4">
      <w:pPr>
        <w:spacing w:after="0" w:line="240" w:lineRule="auto"/>
        <w:jc w:val="both"/>
        <w:rPr>
          <w:rFonts w:cstheme="minorHAnsi"/>
          <w:sz w:val="20"/>
        </w:rPr>
      </w:pPr>
    </w:p>
    <w:p w14:paraId="7D012464" w14:textId="0DB375C9" w:rsidR="00CF30DC" w:rsidRDefault="00CF30DC" w:rsidP="000B63E4">
      <w:pPr>
        <w:spacing w:after="0" w:line="240" w:lineRule="auto"/>
        <w:jc w:val="both"/>
        <w:rPr>
          <w:rFonts w:cstheme="minorHAnsi"/>
          <w:sz w:val="20"/>
        </w:rPr>
      </w:pPr>
    </w:p>
    <w:p w14:paraId="38BA55BE" w14:textId="3EEB291B" w:rsidR="00CF30DC" w:rsidRDefault="00CF30DC" w:rsidP="000B63E4">
      <w:pPr>
        <w:spacing w:after="0" w:line="240" w:lineRule="auto"/>
        <w:jc w:val="both"/>
        <w:rPr>
          <w:rFonts w:cstheme="minorHAnsi"/>
          <w:sz w:val="20"/>
        </w:rPr>
      </w:pPr>
    </w:p>
    <w:p w14:paraId="44837BE9" w14:textId="0FFBD50B" w:rsidR="00CF30DC" w:rsidRPr="00CF30DC" w:rsidRDefault="00CF30DC" w:rsidP="00CF30DC">
      <w:pPr>
        <w:spacing w:before="100" w:beforeAutospacing="1" w:after="100" w:afterAutospacing="1" w:line="480" w:lineRule="auto"/>
        <w:jc w:val="both"/>
        <w:rPr>
          <w:rFonts w:cstheme="minorHAnsi"/>
        </w:rPr>
      </w:pPr>
      <w:r w:rsidRPr="008C1627">
        <w:rPr>
          <w:rFonts w:cstheme="minorHAnsi"/>
        </w:rPr>
        <w:lastRenderedPageBreak/>
        <w:t xml:space="preserve">Low concentrations of </w:t>
      </w:r>
      <w:proofErr w:type="spellStart"/>
      <w:r w:rsidRPr="008C1627">
        <w:rPr>
          <w:rFonts w:cstheme="minorHAnsi"/>
        </w:rPr>
        <w:t>rhodamine</w:t>
      </w:r>
      <w:proofErr w:type="spellEnd"/>
      <w:r w:rsidRPr="008C1627">
        <w:rPr>
          <w:rFonts w:cstheme="minorHAnsi"/>
        </w:rPr>
        <w:t xml:space="preserve"> were detectable at the effluent of Cell 1 within 30 minutes of tracer introduction. Tracer clean out of </w:t>
      </w:r>
      <w:r>
        <w:rPr>
          <w:rFonts w:cstheme="minorHAnsi"/>
        </w:rPr>
        <w:t>s</w:t>
      </w:r>
      <w:r w:rsidRPr="008C1627">
        <w:rPr>
          <w:rFonts w:cstheme="minorHAnsi"/>
        </w:rPr>
        <w:t xml:space="preserve">eep raceways </w:t>
      </w:r>
      <w:r>
        <w:rPr>
          <w:rFonts w:cstheme="minorHAnsi"/>
        </w:rPr>
        <w:t xml:space="preserve">was </w:t>
      </w:r>
      <w:r w:rsidRPr="008C1627">
        <w:rPr>
          <w:rFonts w:cstheme="minorHAnsi"/>
        </w:rPr>
        <w:t>confirmed v</w:t>
      </w:r>
      <w:r w:rsidR="00317F91">
        <w:rPr>
          <w:rFonts w:cstheme="minorHAnsi"/>
        </w:rPr>
        <w:t>isually 12 hours later (Figure 4</w:t>
      </w:r>
      <w:r w:rsidRPr="008C1627">
        <w:rPr>
          <w:rFonts w:cstheme="minorHAnsi"/>
        </w:rPr>
        <w:t>.12</w:t>
      </w:r>
      <w:r>
        <w:rPr>
          <w:rFonts w:cstheme="minorHAnsi"/>
        </w:rPr>
        <w:t>)</w:t>
      </w:r>
    </w:p>
    <w:p w14:paraId="1016EB60" w14:textId="77777777" w:rsidR="000B63E4" w:rsidRDefault="000B63E4" w:rsidP="000B63E4">
      <w:pPr>
        <w:spacing w:after="0" w:line="240" w:lineRule="auto"/>
        <w:jc w:val="both"/>
        <w:rPr>
          <w:rFonts w:cstheme="minorHAnsi"/>
        </w:rPr>
      </w:pPr>
      <w:r w:rsidRPr="008C1627">
        <w:rPr>
          <w:rFonts w:cstheme="minorHAnsi"/>
          <w:noProof/>
        </w:rPr>
        <w:drawing>
          <wp:inline distT="0" distB="0" distL="0" distR="0" wp14:anchorId="75285BA1" wp14:editId="4C12987B">
            <wp:extent cx="5139690" cy="3106629"/>
            <wp:effectExtent l="0" t="0" r="3810" b="0"/>
            <wp:docPr id="2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175501" cy="3128274"/>
                    </a:xfrm>
                    <a:prstGeom prst="rect">
                      <a:avLst/>
                    </a:prstGeom>
                  </pic:spPr>
                </pic:pic>
              </a:graphicData>
            </a:graphic>
          </wp:inline>
        </w:drawing>
      </w:r>
    </w:p>
    <w:p w14:paraId="5A5080BD" w14:textId="57820B6F" w:rsidR="000B63E4" w:rsidRDefault="00317F91" w:rsidP="000B63E4">
      <w:pPr>
        <w:spacing w:after="0" w:line="240" w:lineRule="auto"/>
        <w:jc w:val="both"/>
        <w:rPr>
          <w:rFonts w:cstheme="minorHAnsi"/>
          <w:sz w:val="20"/>
        </w:rPr>
      </w:pPr>
      <w:r>
        <w:rPr>
          <w:rFonts w:cstheme="minorHAnsi"/>
          <w:sz w:val="20"/>
        </w:rPr>
        <w:t>Figure 4</w:t>
      </w:r>
      <w:r w:rsidR="000B63E4" w:rsidRPr="006B0CD6">
        <w:rPr>
          <w:rFonts w:cstheme="minorHAnsi"/>
          <w:sz w:val="20"/>
        </w:rPr>
        <w:t xml:space="preserve">.12: MRPTS Influent Seep with no signs of </w:t>
      </w:r>
      <w:proofErr w:type="spellStart"/>
      <w:r w:rsidR="000B63E4" w:rsidRPr="006B0CD6">
        <w:rPr>
          <w:rFonts w:cstheme="minorHAnsi"/>
          <w:sz w:val="20"/>
        </w:rPr>
        <w:t>rhodamine</w:t>
      </w:r>
      <w:proofErr w:type="spellEnd"/>
      <w:r w:rsidR="000B63E4" w:rsidRPr="006B0CD6">
        <w:rPr>
          <w:rFonts w:cstheme="minorHAnsi"/>
          <w:sz w:val="20"/>
        </w:rPr>
        <w:t xml:space="preserve"> dye loss.</w:t>
      </w:r>
    </w:p>
    <w:p w14:paraId="16700AD6" w14:textId="32B06901" w:rsidR="00CF30DC" w:rsidRDefault="00CF30DC" w:rsidP="000B63E4">
      <w:pPr>
        <w:spacing w:after="0" w:line="240" w:lineRule="auto"/>
        <w:jc w:val="both"/>
        <w:rPr>
          <w:rFonts w:cstheme="minorHAnsi"/>
          <w:sz w:val="20"/>
        </w:rPr>
      </w:pPr>
    </w:p>
    <w:p w14:paraId="3EA3CE1A" w14:textId="165125EE" w:rsidR="00CF30DC" w:rsidRDefault="00CF30DC" w:rsidP="00CF30DC">
      <w:pPr>
        <w:spacing w:before="100" w:beforeAutospacing="1" w:after="100" w:afterAutospacing="1" w:line="480" w:lineRule="auto"/>
        <w:jc w:val="both"/>
        <w:rPr>
          <w:rFonts w:cstheme="minorHAnsi"/>
        </w:rPr>
      </w:pPr>
      <w:r w:rsidRPr="008C1627">
        <w:rPr>
          <w:rFonts w:cstheme="minorHAnsi"/>
        </w:rPr>
        <w:t xml:space="preserve">Peak </w:t>
      </w:r>
      <w:proofErr w:type="spellStart"/>
      <w:r w:rsidRPr="008C1627">
        <w:rPr>
          <w:rFonts w:cstheme="minorHAnsi"/>
        </w:rPr>
        <w:t>rhodamine</w:t>
      </w:r>
      <w:proofErr w:type="spellEnd"/>
      <w:r w:rsidRPr="008C1627">
        <w:rPr>
          <w:rFonts w:cstheme="minorHAnsi"/>
        </w:rPr>
        <w:t xml:space="preserve"> was measured at Cell 1 Out </w:t>
      </w:r>
      <w:proofErr w:type="spellStart"/>
      <w:r w:rsidRPr="008C1627">
        <w:rPr>
          <w:rFonts w:cstheme="minorHAnsi"/>
        </w:rPr>
        <w:t>AgriDrain</w:t>
      </w:r>
      <w:proofErr w:type="spellEnd"/>
      <w:r w:rsidRPr="008C1627">
        <w:rPr>
          <w:rFonts w:cstheme="minorHAnsi"/>
        </w:rPr>
        <w:t xml:space="preserve"> in 1.5 days while the hydraulic retention time determined </w:t>
      </w:r>
      <w:r w:rsidR="00317F91">
        <w:rPr>
          <w:rFonts w:cstheme="minorHAnsi"/>
        </w:rPr>
        <w:t>to be 5.75 days. (Figure 4</w:t>
      </w:r>
      <w:r>
        <w:rPr>
          <w:rFonts w:cstheme="minorHAnsi"/>
        </w:rPr>
        <w:t>.13</w:t>
      </w:r>
      <w:r w:rsidR="00317F91">
        <w:rPr>
          <w:rFonts w:cstheme="minorHAnsi"/>
        </w:rPr>
        <w:t>; Table 4</w:t>
      </w:r>
      <w:r w:rsidRPr="008C1627">
        <w:rPr>
          <w:rFonts w:cstheme="minorHAnsi"/>
        </w:rPr>
        <w:t xml:space="preserve">.7).  </w:t>
      </w:r>
      <w:proofErr w:type="spellStart"/>
      <w:r w:rsidRPr="008C1627">
        <w:rPr>
          <w:rFonts w:cstheme="minorHAnsi"/>
        </w:rPr>
        <w:t>Rhodamine</w:t>
      </w:r>
      <w:proofErr w:type="spellEnd"/>
      <w:r w:rsidRPr="008C1627">
        <w:rPr>
          <w:rFonts w:cstheme="minorHAnsi"/>
        </w:rPr>
        <w:t xml:space="preserve"> was detected in Cells 2N/2S within two days of its introduction into the passive treatment system. </w:t>
      </w:r>
      <w:proofErr w:type="spellStart"/>
      <w:r w:rsidRPr="008C1627">
        <w:rPr>
          <w:rFonts w:cstheme="minorHAnsi"/>
        </w:rPr>
        <w:t>Rhodamine</w:t>
      </w:r>
      <w:proofErr w:type="spellEnd"/>
      <w:r w:rsidRPr="008C1627">
        <w:rPr>
          <w:rFonts w:cstheme="minorHAnsi"/>
        </w:rPr>
        <w:t xml:space="preserve"> sensors placed in the </w:t>
      </w:r>
      <w:proofErr w:type="spellStart"/>
      <w:r w:rsidRPr="008C1627">
        <w:rPr>
          <w:rFonts w:cstheme="minorHAnsi"/>
        </w:rPr>
        <w:t>AgriDrain</w:t>
      </w:r>
      <w:proofErr w:type="spellEnd"/>
      <w:r w:rsidRPr="008C1627">
        <w:rPr>
          <w:rFonts w:cstheme="minorHAnsi"/>
        </w:rPr>
        <w:t xml:space="preserve"> for C2Nout and C2Sout were used to monitor the export of tracer dye into the vertical flow bioreactors. </w:t>
      </w:r>
      <w:r>
        <w:rPr>
          <w:rFonts w:cstheme="minorHAnsi"/>
        </w:rPr>
        <w:t xml:space="preserve"> Storm activity began on Day 6 </w:t>
      </w:r>
      <w:r w:rsidRPr="008C1627">
        <w:rPr>
          <w:rFonts w:cstheme="minorHAnsi"/>
        </w:rPr>
        <w:t xml:space="preserve">of the tracer study and yielded over six centimeters of rainfall overnight, and approximately 9.5 cm over a continuous six-day period (11/26-12/01). This rainfall further increased already high water levels within the treatment system, and led to poor system drainage for all cells above C3N/C3S which are flow restricted due to the hydraulic conductivity of vertical flow through </w:t>
      </w:r>
      <w:r>
        <w:rPr>
          <w:rFonts w:cstheme="minorHAnsi"/>
        </w:rPr>
        <w:t>the organic layer</w:t>
      </w:r>
      <w:r w:rsidRPr="008C1627">
        <w:rPr>
          <w:rFonts w:cstheme="minorHAnsi"/>
        </w:rPr>
        <w:t>. Water stacked into C2N and C2S due to the rate</w:t>
      </w:r>
      <w:r>
        <w:rPr>
          <w:rFonts w:cstheme="minorHAnsi"/>
        </w:rPr>
        <w:t>-</w:t>
      </w:r>
      <w:r w:rsidRPr="008C1627">
        <w:rPr>
          <w:rFonts w:cstheme="minorHAnsi"/>
        </w:rPr>
        <w:t xml:space="preserve">limited outlet extending </w:t>
      </w:r>
      <w:r w:rsidRPr="008C1627">
        <w:rPr>
          <w:rFonts w:cstheme="minorHAnsi"/>
        </w:rPr>
        <w:lastRenderedPageBreak/>
        <w:t>the duration of tracer retention within each cell.  The design hydraulic retention time for C2N / C2S is 3.5 days, and the University of Oklahoma</w:t>
      </w:r>
      <w:r>
        <w:rPr>
          <w:rFonts w:cstheme="minorHAnsi"/>
        </w:rPr>
        <w:t xml:space="preserve"> Capstone students</w:t>
      </w:r>
      <w:r w:rsidRPr="008C1627">
        <w:rPr>
          <w:rFonts w:cstheme="minorHAnsi"/>
        </w:rPr>
        <w:t xml:space="preserve"> measured the HRT via a tracer study in 2009 to be 2.7 days. This indicates that the surface flow wetlands </w:t>
      </w:r>
      <w:r>
        <w:rPr>
          <w:rFonts w:cstheme="minorHAnsi"/>
        </w:rPr>
        <w:t>were not fully vegetated, which is consistent with what one would expect for February 2009 within the first year of operation</w:t>
      </w:r>
      <w:r w:rsidRPr="008C1627">
        <w:rPr>
          <w:rFonts w:cstheme="minorHAnsi"/>
        </w:rPr>
        <w:t xml:space="preserve">.  The 2015 tracer study returned a 9-day HRT for C2N/C2S due to storm activity, and </w:t>
      </w:r>
      <w:r>
        <w:rPr>
          <w:rFonts w:cstheme="minorHAnsi"/>
        </w:rPr>
        <w:t xml:space="preserve">artificially-increased </w:t>
      </w:r>
      <w:r w:rsidRPr="008C1627">
        <w:rPr>
          <w:rFonts w:cstheme="minorHAnsi"/>
        </w:rPr>
        <w:t xml:space="preserve">hydraulic retention during the study. The peak HRT for both surface flow wetlands is equivalent with the design retention time (3.5 days) with C2N (4.3 days) and C2S (3.7 days) prior to storm activity. </w:t>
      </w:r>
    </w:p>
    <w:p w14:paraId="34B91FF5" w14:textId="507EF619" w:rsidR="00CF30DC" w:rsidRPr="00CF30DC" w:rsidRDefault="00CF30DC" w:rsidP="00CF30DC">
      <w:pPr>
        <w:spacing w:before="100" w:beforeAutospacing="1" w:after="100" w:afterAutospacing="1" w:line="480" w:lineRule="auto"/>
        <w:jc w:val="both"/>
        <w:rPr>
          <w:rFonts w:cstheme="minorHAnsi"/>
        </w:rPr>
      </w:pPr>
      <w:r w:rsidRPr="008C1627">
        <w:rPr>
          <w:rFonts w:cstheme="minorHAnsi"/>
        </w:rPr>
        <w:t>Figure 5.13 features photographs of tracer dye entering C2S with pre-existing high water conditions as well as a qualitative comparison of water elevations between C2N and C3N post storm. The storm-influenced tracer study comparison for the oxidati</w:t>
      </w:r>
      <w:r w:rsidR="00317F91">
        <w:rPr>
          <w:rFonts w:cstheme="minorHAnsi"/>
        </w:rPr>
        <w:t>ve unit is summarized in Table 4.7. Figure 4</w:t>
      </w:r>
      <w:r w:rsidRPr="008C1627">
        <w:rPr>
          <w:rFonts w:cstheme="minorHAnsi"/>
        </w:rPr>
        <w:t xml:space="preserve">.14 is a comparison of the </w:t>
      </w:r>
      <w:proofErr w:type="spellStart"/>
      <w:r w:rsidRPr="008C1627">
        <w:rPr>
          <w:rFonts w:cstheme="minorHAnsi"/>
        </w:rPr>
        <w:t>rhodamine</w:t>
      </w:r>
      <w:proofErr w:type="spellEnd"/>
      <w:r w:rsidRPr="008C1627">
        <w:rPr>
          <w:rFonts w:cstheme="minorHAnsi"/>
        </w:rPr>
        <w:t xml:space="preserve"> transport profiles for C2N and C2S.</w:t>
      </w:r>
      <w:r>
        <w:rPr>
          <w:rFonts w:cstheme="minorHAnsi"/>
        </w:rPr>
        <w:t xml:space="preserve"> The </w:t>
      </w:r>
      <w:proofErr w:type="spellStart"/>
      <w:r>
        <w:rPr>
          <w:rFonts w:cstheme="minorHAnsi"/>
        </w:rPr>
        <w:t>rhodamine</w:t>
      </w:r>
      <w:proofErr w:type="spellEnd"/>
      <w:r>
        <w:rPr>
          <w:rFonts w:cstheme="minorHAnsi"/>
        </w:rPr>
        <w:t xml:space="preserve"> transport profiles for C2N and C2S are equivalent, but the hydraulic retention time of the cell is much longer than design. </w:t>
      </w:r>
    </w:p>
    <w:p w14:paraId="6F9901EB" w14:textId="1A98890B" w:rsidR="000B63E4" w:rsidRPr="008C1627" w:rsidRDefault="00CF30DC" w:rsidP="000B63E4">
      <w:pPr>
        <w:spacing w:before="100" w:beforeAutospacing="1" w:after="100" w:afterAutospacing="1"/>
        <w:jc w:val="both"/>
        <w:rPr>
          <w:rFonts w:cstheme="minorHAnsi"/>
        </w:rPr>
      </w:pPr>
      <w:r w:rsidRPr="008C1627">
        <w:rPr>
          <w:rFonts w:cstheme="minorHAnsi"/>
          <w:noProof/>
        </w:rPr>
        <mc:AlternateContent>
          <mc:Choice Requires="wps">
            <w:drawing>
              <wp:anchor distT="0" distB="0" distL="114300" distR="114300" simplePos="0" relativeHeight="251673600" behindDoc="0" locked="0" layoutInCell="1" allowOverlap="1" wp14:anchorId="23D8925D" wp14:editId="14F66D7D">
                <wp:simplePos x="0" y="0"/>
                <wp:positionH relativeFrom="column">
                  <wp:posOffset>2289810</wp:posOffset>
                </wp:positionH>
                <wp:positionV relativeFrom="paragraph">
                  <wp:posOffset>3174</wp:posOffset>
                </wp:positionV>
                <wp:extent cx="1710690" cy="2276475"/>
                <wp:effectExtent l="0" t="0" r="22860" b="28575"/>
                <wp:wrapNone/>
                <wp:docPr id="84" name="Rectangle 84"/>
                <wp:cNvGraphicFramePr/>
                <a:graphic xmlns:a="http://schemas.openxmlformats.org/drawingml/2006/main">
                  <a:graphicData uri="http://schemas.microsoft.com/office/word/2010/wordprocessingShape">
                    <wps:wsp>
                      <wps:cNvSpPr/>
                      <wps:spPr>
                        <a:xfrm>
                          <a:off x="0" y="0"/>
                          <a:ext cx="1710690" cy="2276475"/>
                        </a:xfrm>
                        <a:prstGeom prst="rect">
                          <a:avLst/>
                        </a:prstGeom>
                        <a:solidFill>
                          <a:schemeClr val="bg1">
                            <a:lumMod val="75000"/>
                            <a:alpha val="30000"/>
                          </a:schemeClr>
                        </a:solidFill>
                        <a:ln>
                          <a:solidFill>
                            <a:schemeClr val="accent1">
                              <a:shade val="50000"/>
                              <a:alpha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w:pict>
              <v:rect w14:anchorId="3A25AA3F" id="Rectangle 84" o:spid="_x0000_s1026" style="position:absolute;margin-left:180.3pt;margin-top:.25pt;width:134.7pt;height:17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vGsgIAACYGAAAOAAAAZHJzL2Uyb0RvYy54bWysVG1P2zAQ/j5p/8Hy95GkKxQqUlSBmCax&#10;gYCJz67jNJFsn2e7Tbtfv7OdhFeBNO1L4nt77u6x707PdkqSrbCuBV3S4iCnRGgOVavXJf11f/nl&#10;mBLnma6YBC1KuheOni0+fzrtzFxMoAFZCUsQRLt5Z0raeG/mWeZ4IxRzB2CERmMNVjGPol1nlWUd&#10;oiuZTfL8KOvAVsYCF86h9iIZ6SLi17Xg/rqunfBElhRr8/Fr43cVvtnilM3Xlpmm5X0Z7B+qUKzV&#10;mHSEumCekY1tX0GplltwUPsDDiqDum65iD1gN0X+opu7hhkRe0FynBlpcv8Plv/c3ljSViU9nlKi&#10;mcI7ukXWmF5LQVCHBHXGzdHvztzYXnJ4DN3uaqvCH/sgu0jqfiRV7DzhqCxmRX50gtxztE0ms6Pp&#10;7DCgZo/hxjr/TYAi4VBSi/kjmWx75XxyHVxCNgeyrS5bKaMQXoo4l5ZsGd7xal3EULlRP6BKutlh&#10;nvc3zaRpWNJ+RWXUYiHxuQWQWNYzfKk/Ssk4F9qntK5hlUj4IenrrNNB+15WtIW0WSA+UR1Pfi9F&#10;KEbqW1HjnSG5k9jsWH7K/FFBr1JHwIBcI6kjdt/Rc34H7HQrvX8IFXHYxuD8vcJS8BgRM4P2Y7Bq&#10;Ndi3ACTS3GdO/gNJiZrA0gqqPb5oC2nUneGXLb6qK+b8DbM42/gScV/5a/zUErqSQn+ipAH75y19&#10;8MeRQyslHe6KkrrfG2YFJfK7xmE8KabTsFyiMD2cTVCwTy2rpxa9UeeAT7XAzWh4PAZ/L4djbUE9&#10;4FpbhqxoYppj7pJybwfh3KcdhouRi+UyuuFCMcxf6TvDA3hgNUzN/e6BWdOPlsep/AnDXmHzFxOW&#10;fEOkhuXGQ93G8Xvktecbl1GclH5xhm33VI5ej+t98RcAAP//AwBQSwMEFAAGAAgAAAAhABGhDbPe&#10;AAAACAEAAA8AAABkcnMvZG93bnJldi54bWxMj8FOwzAQRO9I/IO1SNyoXapYNI1TIQQHJKRCAPXq&#10;xiYOxOvIdtPw9ywnOO7MaPZNtZ39wCYbUx9QwXIhgFlsg+mxU/D2+nB1AyxljUYPAa2Cb5tgW5+f&#10;Vbo04YQvdmpyx6gEU6kVuJzHkvPUOut1WoTRInkfIXqd6YwdN1GfqNwP/FoIyb3ukT44Pdo7Z9uv&#10;5ugV7Pj90n0+Pr/HddNm+TQV+2k3KnV5Md9ugGU7578w/OITOtTEdAhHNIkNClZSSIoqKICRLVeC&#10;ph1IL9YCeF3x/wPqHwAAAP//AwBQSwECLQAUAAYACAAAACEAtoM4kv4AAADhAQAAEwAAAAAAAAAA&#10;AAAAAAAAAAAAW0NvbnRlbnRfVHlwZXNdLnhtbFBLAQItABQABgAIAAAAIQA4/SH/1gAAAJQBAAAL&#10;AAAAAAAAAAAAAAAAAC8BAABfcmVscy8ucmVsc1BLAQItABQABgAIAAAAIQBdPevGsgIAACYGAAAO&#10;AAAAAAAAAAAAAAAAAC4CAABkcnMvZTJvRG9jLnhtbFBLAQItABQABgAIAAAAIQARoQ2z3gAAAAgB&#10;AAAPAAAAAAAAAAAAAAAAAAwFAABkcnMvZG93bnJldi54bWxQSwUGAAAAAAQABADzAAAAFwYAAAAA&#10;" fillcolor="#bfbfbf [2412]" strokecolor="#1f4d78 [1604]" strokeweight="1pt">
                <v:fill opacity="19789f"/>
                <v:stroke opacity="26214f"/>
              </v:rect>
            </w:pict>
          </mc:Fallback>
        </mc:AlternateContent>
      </w:r>
      <w:r w:rsidR="000B63E4" w:rsidRPr="008C1627">
        <w:rPr>
          <w:rFonts w:cstheme="minorHAnsi"/>
          <w:noProof/>
        </w:rPr>
        <w:drawing>
          <wp:inline distT="0" distB="0" distL="0" distR="0" wp14:anchorId="638A9E4E" wp14:editId="1C7E69EE">
            <wp:extent cx="5139690" cy="2276475"/>
            <wp:effectExtent l="0" t="0" r="3810" b="9525"/>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BEB752D" w14:textId="42DA9D6F" w:rsidR="000B63E4" w:rsidRPr="008C1627" w:rsidRDefault="00317F91" w:rsidP="000B63E4">
      <w:pPr>
        <w:spacing w:before="100" w:beforeAutospacing="1" w:after="100" w:afterAutospacing="1"/>
        <w:jc w:val="both"/>
        <w:rPr>
          <w:rFonts w:cstheme="minorHAnsi"/>
        </w:rPr>
      </w:pPr>
      <w:r>
        <w:rPr>
          <w:rFonts w:cstheme="minorHAnsi"/>
          <w:sz w:val="20"/>
        </w:rPr>
        <w:t>Figure 4</w:t>
      </w:r>
      <w:r w:rsidR="000B63E4">
        <w:rPr>
          <w:rFonts w:cstheme="minorHAnsi"/>
          <w:sz w:val="20"/>
        </w:rPr>
        <w:t>.13</w:t>
      </w:r>
      <w:r w:rsidR="000B63E4" w:rsidRPr="00BA19D9">
        <w:rPr>
          <w:rFonts w:cstheme="minorHAnsi"/>
          <w:sz w:val="20"/>
        </w:rPr>
        <w:t xml:space="preserve">: </w:t>
      </w:r>
      <w:proofErr w:type="spellStart"/>
      <w:r w:rsidR="000B63E4" w:rsidRPr="00BA19D9">
        <w:rPr>
          <w:rFonts w:cstheme="minorHAnsi"/>
          <w:sz w:val="20"/>
        </w:rPr>
        <w:t>Rhodamine</w:t>
      </w:r>
      <w:proofErr w:type="spellEnd"/>
      <w:r w:rsidR="000B63E4" w:rsidRPr="00BA19D9">
        <w:rPr>
          <w:rFonts w:cstheme="minorHAnsi"/>
          <w:sz w:val="20"/>
        </w:rPr>
        <w:t xml:space="preserve"> transport profile at C1Out (Cell 1 Effluent November 2015). Grey shading indicates a series of high intensity, long duration storm</w:t>
      </w:r>
      <w:r>
        <w:rPr>
          <w:rFonts w:cstheme="minorHAnsi"/>
          <w:sz w:val="20"/>
        </w:rPr>
        <w:t>s summarized in Table 4</w:t>
      </w:r>
      <w:r w:rsidR="000B63E4" w:rsidRPr="00BA19D9">
        <w:rPr>
          <w:rFonts w:cstheme="minorHAnsi"/>
          <w:sz w:val="20"/>
        </w:rPr>
        <w:t>.6.</w:t>
      </w:r>
      <w:r w:rsidR="000B63E4" w:rsidRPr="008C1627">
        <w:rPr>
          <w:rFonts w:cstheme="minorHAnsi"/>
        </w:rPr>
        <w:t xml:space="preserve"> </w:t>
      </w:r>
    </w:p>
    <w:p w14:paraId="211BB5AA" w14:textId="77777777" w:rsidR="000B63E4" w:rsidRDefault="000B63E4" w:rsidP="000B63E4">
      <w:pPr>
        <w:spacing w:before="100" w:beforeAutospacing="1" w:after="100" w:afterAutospacing="1" w:line="240" w:lineRule="auto"/>
        <w:jc w:val="both"/>
        <w:rPr>
          <w:rFonts w:cstheme="minorHAnsi"/>
        </w:rPr>
      </w:pPr>
      <w:r>
        <w:rPr>
          <w:noProof/>
        </w:rPr>
        <w:lastRenderedPageBreak/>
        <w:drawing>
          <wp:inline distT="0" distB="0" distL="0" distR="0" wp14:anchorId="7B1D7BAD" wp14:editId="351E947C">
            <wp:extent cx="5139690" cy="2125225"/>
            <wp:effectExtent l="0" t="0" r="381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17531" t="37608" r="18827" b="17609"/>
                    <a:stretch/>
                  </pic:blipFill>
                  <pic:spPr bwMode="auto">
                    <a:xfrm>
                      <a:off x="0" y="0"/>
                      <a:ext cx="5201549" cy="2150803"/>
                    </a:xfrm>
                    <a:prstGeom prst="rect">
                      <a:avLst/>
                    </a:prstGeom>
                    <a:ln>
                      <a:noFill/>
                    </a:ln>
                    <a:extLst>
                      <a:ext uri="{53640926-AAD7-44D8-BBD7-CCE9431645EC}">
                        <a14:shadowObscured xmlns:a14="http://schemas.microsoft.com/office/drawing/2010/main"/>
                      </a:ext>
                    </a:extLst>
                  </pic:spPr>
                </pic:pic>
              </a:graphicData>
            </a:graphic>
          </wp:inline>
        </w:drawing>
      </w:r>
    </w:p>
    <w:p w14:paraId="3F14FFD8" w14:textId="6C1FC5A4" w:rsidR="000B63E4" w:rsidRDefault="00317F91" w:rsidP="000B63E4">
      <w:pPr>
        <w:spacing w:after="0" w:line="240" w:lineRule="auto"/>
        <w:jc w:val="both"/>
        <w:rPr>
          <w:rFonts w:cstheme="minorHAnsi"/>
        </w:rPr>
      </w:pPr>
      <w:r>
        <w:rPr>
          <w:rFonts w:cstheme="minorHAnsi"/>
          <w:sz w:val="20"/>
        </w:rPr>
        <w:t>Figure 4</w:t>
      </w:r>
      <w:r w:rsidR="000B63E4" w:rsidRPr="00DB505A">
        <w:rPr>
          <w:rFonts w:cstheme="minorHAnsi"/>
          <w:sz w:val="20"/>
        </w:rPr>
        <w:t xml:space="preserve">.14: Transport of </w:t>
      </w:r>
      <w:proofErr w:type="spellStart"/>
      <w:r w:rsidR="000B63E4" w:rsidRPr="00DB505A">
        <w:rPr>
          <w:rFonts w:cstheme="minorHAnsi"/>
          <w:sz w:val="20"/>
        </w:rPr>
        <w:t>Rhodamine</w:t>
      </w:r>
      <w:proofErr w:type="spellEnd"/>
      <w:r w:rsidR="000B63E4" w:rsidRPr="00DB505A">
        <w:rPr>
          <w:rFonts w:cstheme="minorHAnsi"/>
          <w:sz w:val="20"/>
        </w:rPr>
        <w:t xml:space="preserve"> across C2S with high water conditions. Side by side comparison of water levels and </w:t>
      </w:r>
      <w:proofErr w:type="spellStart"/>
      <w:r w:rsidR="000B63E4" w:rsidRPr="00DB505A">
        <w:rPr>
          <w:rFonts w:cstheme="minorHAnsi"/>
          <w:sz w:val="20"/>
        </w:rPr>
        <w:t>rhodamine</w:t>
      </w:r>
      <w:proofErr w:type="spellEnd"/>
      <w:r w:rsidR="000B63E4" w:rsidRPr="00DB505A">
        <w:rPr>
          <w:rFonts w:cstheme="minorHAnsi"/>
          <w:sz w:val="20"/>
        </w:rPr>
        <w:t xml:space="preserve"> color of C2N and C3N before 11/26 rain event</w:t>
      </w:r>
      <w:r w:rsidR="000B63E4">
        <w:rPr>
          <w:rFonts w:cstheme="minorHAnsi"/>
        </w:rPr>
        <w:t xml:space="preserve">. </w:t>
      </w:r>
    </w:p>
    <w:p w14:paraId="23A7C714" w14:textId="77777777" w:rsidR="000B63E4" w:rsidRPr="008C1627" w:rsidRDefault="000B63E4" w:rsidP="000B63E4">
      <w:pPr>
        <w:spacing w:after="0" w:line="240" w:lineRule="auto"/>
        <w:jc w:val="both"/>
        <w:rPr>
          <w:rFonts w:cstheme="minorHAnsi"/>
        </w:rPr>
      </w:pPr>
    </w:p>
    <w:p w14:paraId="768D1A49" w14:textId="77777777" w:rsidR="000B63E4" w:rsidRPr="00DB505A" w:rsidRDefault="000B63E4" w:rsidP="000B63E4">
      <w:pPr>
        <w:jc w:val="both"/>
        <w:rPr>
          <w:rFonts w:cstheme="minorHAnsi"/>
        </w:rPr>
      </w:pPr>
      <w:r w:rsidRPr="008C1627">
        <w:rPr>
          <w:rFonts w:cstheme="minorHAnsi"/>
          <w:noProof/>
        </w:rPr>
        <mc:AlternateContent>
          <mc:Choice Requires="wps">
            <w:drawing>
              <wp:anchor distT="0" distB="0" distL="114300" distR="114300" simplePos="0" relativeHeight="251672576" behindDoc="0" locked="0" layoutInCell="1" allowOverlap="1" wp14:anchorId="71331D9B" wp14:editId="5103A4DD">
                <wp:simplePos x="0" y="0"/>
                <wp:positionH relativeFrom="column">
                  <wp:posOffset>2289810</wp:posOffset>
                </wp:positionH>
                <wp:positionV relativeFrom="paragraph">
                  <wp:posOffset>50165</wp:posOffset>
                </wp:positionV>
                <wp:extent cx="1477645" cy="2628900"/>
                <wp:effectExtent l="0" t="0" r="27305" b="19050"/>
                <wp:wrapNone/>
                <wp:docPr id="83" name="Rectangle 83"/>
                <wp:cNvGraphicFramePr/>
                <a:graphic xmlns:a="http://schemas.openxmlformats.org/drawingml/2006/main">
                  <a:graphicData uri="http://schemas.microsoft.com/office/word/2010/wordprocessingShape">
                    <wps:wsp>
                      <wps:cNvSpPr/>
                      <wps:spPr>
                        <a:xfrm>
                          <a:off x="0" y="0"/>
                          <a:ext cx="1477645" cy="2628900"/>
                        </a:xfrm>
                        <a:prstGeom prst="rect">
                          <a:avLst/>
                        </a:prstGeom>
                        <a:solidFill>
                          <a:schemeClr val="bg1">
                            <a:lumMod val="75000"/>
                            <a:alpha val="30000"/>
                          </a:schemeClr>
                        </a:solidFill>
                        <a:ln>
                          <a:solidFill>
                            <a:schemeClr val="accent1">
                              <a:shade val="50000"/>
                              <a:alpha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w:pict>
              <v:rect w14:anchorId="41ADAAB5" id="Rectangle 83" o:spid="_x0000_s1026" style="position:absolute;margin-left:180.3pt;margin-top:3.95pt;width:116.35pt;height:2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O9AuAIAACYGAAAOAAAAZHJzL2Uyb0RvYy54bWysVF1P2zAUfZ+0/2D5fSQthUJFiioQ0yQG&#10;CJh4dh27ieT4erbbtPv1u7aTUD42pGkvjn0/zvE98b1n59tGkY2wrgZd0NFBTonQHMparwr64/Hq&#10;ywklzjNdMgVaFHQnHD2ff/501pqZGEMFqhSWIIh2s9YUtPLezLLM8Uo0zB2AERqdEmzDPB7tKist&#10;axG9Udk4z4+zFmxpLHDhHFovk5POI76UgvtbKZ3wRBUU7+bjauO6DGs2P2OzlWWmqnl3DfYPt2hY&#10;rZF0gLpknpG1rd9ANTW34ED6Aw5NBlLWXMQasJpR/qqah4oZEWtBcZwZZHL/D5bfbO4sqcuCnhxS&#10;olmD/+geVWN6pQRBGwrUGjfDuAdzZ7uTw22odittE75YB9lGUXeDqGLrCUfjaDKdHk+OKOHoGx+P&#10;T07zKHv2nG6s818FNCRsCmqRP4rJNtfOIyWG9iGBzYGqy6taqXgIL0VcKEs2DP/xcjWKqWrdfIcy&#10;2aZHeaJkM6ZMxZL1EI39ReJzCyCR6wW+0h9RMs6F9onWVawUCT+Qdu9rj3XSW7GmP7KiL9BmQfgk&#10;ddz5nRLhMkrfC4n/DMUdx2IHoMT80YXeUEfAgCxR1AG7q+ilvj12+itdfEgVsdmG5PxvF0vJQ0Zk&#10;Bu2H5KbWYN8DUChzx5zie5GSNEGlJZQ7fNEWUqs7w69qfFXXzPk7ZrG3cQrgvPK3uEgFbUGh21FS&#10;gf31nj3EY8uhl5IWZ0VB3c81s4IS9U1jM56OJpMwXOJhcjQd48Hue5b7Hr1uLgCf6ggno+FxG+K9&#10;6rfSQvOEY20RWNHFNEfugnJv+8OFTzMMByMXi0UMw4FimL/WD4YH8KBq6JrH7ROzpmstj115A/1c&#10;wX542WEpNmRqWKw9yDq237Ound44jGKndIMzTLv9c4x6Hu/z3wAAAP//AwBQSwMEFAAGAAgAAAAh&#10;AE8zvuPgAAAACQEAAA8AAABkcnMvZG93bnJldi54bWxMj8FOwzAQRO9I/IO1SNyok4amJGRTIQQH&#10;JKRCCuLqxksciO3IdtPw9zUnOI5mNPOm2sx6YBM531uDkC4SYGRaK3vTIbztHq9ugPkgjBSDNYTw&#10;Qx429flZJUppj+aVpiZ0LJYYXwoEFcJYcu5bRVr4hR3JRO/TOi1ClK7j0oljLNcDXyZJzrXoTVxQ&#10;YqR7Re13c9AIW/6Qqq+nl3dXNG3In6fVx7QdES8v5rtbYIHm8BeGX/yIDnVk2tuDkZ4NCFme5DGK&#10;sC6ARX9VZBmwPcL1Mi2A1xX//6A+AQAA//8DAFBLAQItABQABgAIAAAAIQC2gziS/gAAAOEBAAAT&#10;AAAAAAAAAAAAAAAAAAAAAABbQ29udGVudF9UeXBlc10ueG1sUEsBAi0AFAAGAAgAAAAhADj9If/W&#10;AAAAlAEAAAsAAAAAAAAAAAAAAAAALwEAAF9yZWxzLy5yZWxzUEsBAi0AFAAGAAgAAAAhAJa470C4&#10;AgAAJgYAAA4AAAAAAAAAAAAAAAAALgIAAGRycy9lMm9Eb2MueG1sUEsBAi0AFAAGAAgAAAAhAE8z&#10;vuPgAAAACQEAAA8AAAAAAAAAAAAAAAAAEgUAAGRycy9kb3ducmV2LnhtbFBLBQYAAAAABAAEAPMA&#10;AAAfBgAAAAA=&#10;" fillcolor="#bfbfbf [2412]" strokecolor="#1f4d78 [1604]" strokeweight="1pt">
                <v:fill opacity="19789f"/>
                <v:stroke opacity="26214f"/>
              </v:rect>
            </w:pict>
          </mc:Fallback>
        </mc:AlternateContent>
      </w:r>
      <w:r w:rsidRPr="008C1627">
        <w:rPr>
          <w:rFonts w:cstheme="minorHAnsi"/>
          <w:noProof/>
        </w:rPr>
        <w:drawing>
          <wp:inline distT="0" distB="0" distL="0" distR="0" wp14:anchorId="13D89F4F" wp14:editId="78645830">
            <wp:extent cx="5025390" cy="2905125"/>
            <wp:effectExtent l="0" t="0" r="3810" b="9525"/>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E36626D" w14:textId="36107908" w:rsidR="000B63E4" w:rsidRDefault="00317F91" w:rsidP="000B63E4">
      <w:pPr>
        <w:jc w:val="both"/>
        <w:rPr>
          <w:rFonts w:cstheme="minorHAnsi"/>
          <w:sz w:val="20"/>
        </w:rPr>
      </w:pPr>
      <w:r>
        <w:rPr>
          <w:rFonts w:cstheme="minorHAnsi"/>
          <w:sz w:val="20"/>
        </w:rPr>
        <w:t>Figure 4</w:t>
      </w:r>
      <w:r w:rsidR="000B63E4" w:rsidRPr="00DB505A">
        <w:rPr>
          <w:rFonts w:cstheme="minorHAnsi"/>
          <w:sz w:val="20"/>
        </w:rPr>
        <w:t xml:space="preserve">.15: Comparison of C2N (Blue) and C2S (Orange) </w:t>
      </w:r>
      <w:proofErr w:type="spellStart"/>
      <w:r w:rsidR="000B63E4" w:rsidRPr="00DB505A">
        <w:rPr>
          <w:rFonts w:cstheme="minorHAnsi"/>
          <w:sz w:val="20"/>
        </w:rPr>
        <w:t>rhodamine</w:t>
      </w:r>
      <w:proofErr w:type="spellEnd"/>
      <w:r w:rsidR="000B63E4" w:rsidRPr="00DB505A">
        <w:rPr>
          <w:rFonts w:cstheme="minorHAnsi"/>
          <w:sz w:val="20"/>
        </w:rPr>
        <w:t xml:space="preserve"> transport profiles. Grey shading indicates the time in which a high intensity, long duration series </w:t>
      </w:r>
      <w:r>
        <w:rPr>
          <w:rFonts w:cstheme="minorHAnsi"/>
          <w:sz w:val="20"/>
        </w:rPr>
        <w:t>of rain events occurred (Table 4</w:t>
      </w:r>
      <w:r w:rsidR="000B63E4" w:rsidRPr="00DB505A">
        <w:rPr>
          <w:rFonts w:cstheme="minorHAnsi"/>
          <w:sz w:val="20"/>
        </w:rPr>
        <w:t>.6)</w:t>
      </w:r>
    </w:p>
    <w:p w14:paraId="276AA579" w14:textId="77777777" w:rsidR="000B63E4" w:rsidRDefault="000B63E4" w:rsidP="000B63E4">
      <w:pPr>
        <w:rPr>
          <w:rFonts w:cstheme="minorHAnsi"/>
          <w:sz w:val="20"/>
        </w:rPr>
      </w:pPr>
      <w:r>
        <w:rPr>
          <w:rFonts w:cstheme="minorHAnsi"/>
          <w:sz w:val="20"/>
        </w:rPr>
        <w:br w:type="page"/>
      </w:r>
    </w:p>
    <w:tbl>
      <w:tblPr>
        <w:tblW w:w="8280" w:type="dxa"/>
        <w:tblLook w:val="04A0" w:firstRow="1" w:lastRow="0" w:firstColumn="1" w:lastColumn="0" w:noHBand="0" w:noVBand="1"/>
      </w:tblPr>
      <w:tblGrid>
        <w:gridCol w:w="4040"/>
        <w:gridCol w:w="1540"/>
        <w:gridCol w:w="1260"/>
        <w:gridCol w:w="1440"/>
      </w:tblGrid>
      <w:tr w:rsidR="000B63E4" w:rsidRPr="00DB505A" w14:paraId="55EDDA4B" w14:textId="77777777" w:rsidTr="000B63E4">
        <w:trPr>
          <w:trHeight w:val="300"/>
        </w:trPr>
        <w:tc>
          <w:tcPr>
            <w:tcW w:w="8280" w:type="dxa"/>
            <w:gridSpan w:val="4"/>
            <w:tcBorders>
              <w:top w:val="nil"/>
              <w:left w:val="nil"/>
              <w:bottom w:val="nil"/>
              <w:right w:val="nil"/>
            </w:tcBorders>
            <w:shd w:val="clear" w:color="auto" w:fill="auto"/>
            <w:noWrap/>
            <w:vAlign w:val="bottom"/>
            <w:hideMark/>
          </w:tcPr>
          <w:p w14:paraId="415ADD70" w14:textId="77CF3056" w:rsidR="000B63E4" w:rsidRPr="00DB505A" w:rsidRDefault="00317F91" w:rsidP="000B63E4">
            <w:pPr>
              <w:spacing w:line="240" w:lineRule="auto"/>
              <w:jc w:val="both"/>
              <w:rPr>
                <w:rFonts w:cstheme="minorHAnsi"/>
                <w:sz w:val="20"/>
                <w:szCs w:val="20"/>
              </w:rPr>
            </w:pPr>
            <w:r>
              <w:rPr>
                <w:rFonts w:cstheme="minorHAnsi"/>
                <w:sz w:val="20"/>
                <w:szCs w:val="20"/>
              </w:rPr>
              <w:lastRenderedPageBreak/>
              <w:t>Table 4</w:t>
            </w:r>
            <w:r w:rsidR="000B63E4">
              <w:rPr>
                <w:rFonts w:cstheme="minorHAnsi"/>
                <w:sz w:val="20"/>
                <w:szCs w:val="20"/>
              </w:rPr>
              <w:t>.6</w:t>
            </w:r>
            <w:r w:rsidR="000B63E4" w:rsidRPr="00DB505A">
              <w:rPr>
                <w:rFonts w:cstheme="minorHAnsi"/>
                <w:sz w:val="20"/>
                <w:szCs w:val="20"/>
              </w:rPr>
              <w:t>: Comparison of performance summary for the tracer study of the oxidative unit of the passive treatment system.</w:t>
            </w:r>
          </w:p>
        </w:tc>
      </w:tr>
      <w:tr w:rsidR="000B63E4" w:rsidRPr="00DB505A" w14:paraId="74780880" w14:textId="77777777" w:rsidTr="000B63E4">
        <w:trPr>
          <w:trHeight w:val="315"/>
        </w:trPr>
        <w:tc>
          <w:tcPr>
            <w:tcW w:w="4040" w:type="dxa"/>
            <w:tcBorders>
              <w:top w:val="single" w:sz="4" w:space="0" w:color="auto"/>
              <w:left w:val="nil"/>
              <w:bottom w:val="double" w:sz="6" w:space="0" w:color="auto"/>
              <w:right w:val="nil"/>
            </w:tcBorders>
            <w:shd w:val="clear" w:color="auto" w:fill="auto"/>
            <w:noWrap/>
            <w:vAlign w:val="bottom"/>
            <w:hideMark/>
          </w:tcPr>
          <w:p w14:paraId="20DC4976" w14:textId="77777777" w:rsidR="000B63E4" w:rsidRPr="00DB505A" w:rsidRDefault="000B63E4" w:rsidP="000B63E4">
            <w:pPr>
              <w:spacing w:line="240" w:lineRule="auto"/>
              <w:jc w:val="both"/>
              <w:rPr>
                <w:rFonts w:cstheme="minorHAnsi"/>
                <w:color w:val="000000"/>
                <w:sz w:val="20"/>
                <w:szCs w:val="20"/>
              </w:rPr>
            </w:pPr>
            <w:r w:rsidRPr="00DB505A">
              <w:rPr>
                <w:rFonts w:cstheme="minorHAnsi"/>
                <w:color w:val="000000"/>
                <w:sz w:val="20"/>
                <w:szCs w:val="20"/>
              </w:rPr>
              <w:t> </w:t>
            </w:r>
          </w:p>
        </w:tc>
        <w:tc>
          <w:tcPr>
            <w:tcW w:w="1540" w:type="dxa"/>
            <w:tcBorders>
              <w:top w:val="single" w:sz="4" w:space="0" w:color="auto"/>
              <w:left w:val="nil"/>
              <w:bottom w:val="double" w:sz="6" w:space="0" w:color="auto"/>
              <w:right w:val="nil"/>
            </w:tcBorders>
            <w:shd w:val="clear" w:color="auto" w:fill="auto"/>
            <w:noWrap/>
            <w:vAlign w:val="bottom"/>
            <w:hideMark/>
          </w:tcPr>
          <w:p w14:paraId="3DFB0205" w14:textId="77777777" w:rsidR="000B63E4" w:rsidRPr="00DB505A" w:rsidRDefault="000B63E4" w:rsidP="000B63E4">
            <w:pPr>
              <w:spacing w:line="240" w:lineRule="auto"/>
              <w:jc w:val="center"/>
              <w:rPr>
                <w:rFonts w:cstheme="minorHAnsi"/>
                <w:color w:val="000000"/>
                <w:sz w:val="20"/>
                <w:szCs w:val="20"/>
              </w:rPr>
            </w:pPr>
            <w:r w:rsidRPr="00DB505A">
              <w:rPr>
                <w:rFonts w:cstheme="minorHAnsi"/>
                <w:color w:val="000000"/>
                <w:sz w:val="20"/>
                <w:szCs w:val="20"/>
              </w:rPr>
              <w:t>Cell 1</w:t>
            </w:r>
          </w:p>
        </w:tc>
        <w:tc>
          <w:tcPr>
            <w:tcW w:w="1260" w:type="dxa"/>
            <w:tcBorders>
              <w:top w:val="single" w:sz="4" w:space="0" w:color="auto"/>
              <w:left w:val="nil"/>
              <w:bottom w:val="double" w:sz="6" w:space="0" w:color="auto"/>
              <w:right w:val="nil"/>
            </w:tcBorders>
            <w:shd w:val="clear" w:color="auto" w:fill="auto"/>
            <w:noWrap/>
            <w:vAlign w:val="bottom"/>
            <w:hideMark/>
          </w:tcPr>
          <w:p w14:paraId="61893E99" w14:textId="77777777" w:rsidR="000B63E4" w:rsidRPr="00DB505A" w:rsidRDefault="000B63E4" w:rsidP="000B63E4">
            <w:pPr>
              <w:spacing w:line="240" w:lineRule="auto"/>
              <w:jc w:val="center"/>
              <w:rPr>
                <w:rFonts w:cstheme="minorHAnsi"/>
                <w:color w:val="000000"/>
                <w:sz w:val="20"/>
                <w:szCs w:val="20"/>
              </w:rPr>
            </w:pPr>
            <w:r w:rsidRPr="00DB505A">
              <w:rPr>
                <w:rFonts w:cstheme="minorHAnsi"/>
                <w:color w:val="000000"/>
                <w:sz w:val="20"/>
                <w:szCs w:val="20"/>
              </w:rPr>
              <w:t>Cell 2N</w:t>
            </w:r>
          </w:p>
        </w:tc>
        <w:tc>
          <w:tcPr>
            <w:tcW w:w="1440" w:type="dxa"/>
            <w:tcBorders>
              <w:top w:val="single" w:sz="4" w:space="0" w:color="auto"/>
              <w:left w:val="nil"/>
              <w:bottom w:val="double" w:sz="6" w:space="0" w:color="auto"/>
              <w:right w:val="nil"/>
            </w:tcBorders>
            <w:shd w:val="clear" w:color="auto" w:fill="auto"/>
            <w:noWrap/>
            <w:vAlign w:val="bottom"/>
            <w:hideMark/>
          </w:tcPr>
          <w:p w14:paraId="69336A0B" w14:textId="77777777" w:rsidR="000B63E4" w:rsidRPr="00DB505A" w:rsidRDefault="000B63E4" w:rsidP="000B63E4">
            <w:pPr>
              <w:spacing w:line="240" w:lineRule="auto"/>
              <w:jc w:val="center"/>
              <w:rPr>
                <w:rFonts w:cstheme="minorHAnsi"/>
                <w:color w:val="000000"/>
                <w:sz w:val="20"/>
                <w:szCs w:val="20"/>
              </w:rPr>
            </w:pPr>
            <w:r w:rsidRPr="00DB505A">
              <w:rPr>
                <w:rFonts w:cstheme="minorHAnsi"/>
                <w:color w:val="000000"/>
                <w:sz w:val="20"/>
                <w:szCs w:val="20"/>
              </w:rPr>
              <w:t>Cell 2S</w:t>
            </w:r>
          </w:p>
        </w:tc>
      </w:tr>
      <w:tr w:rsidR="000B63E4" w:rsidRPr="00DB505A" w14:paraId="161C6300" w14:textId="77777777" w:rsidTr="000B63E4">
        <w:trPr>
          <w:trHeight w:val="360"/>
        </w:trPr>
        <w:tc>
          <w:tcPr>
            <w:tcW w:w="4040" w:type="dxa"/>
            <w:tcBorders>
              <w:top w:val="nil"/>
              <w:left w:val="nil"/>
              <w:bottom w:val="nil"/>
              <w:right w:val="nil"/>
            </w:tcBorders>
            <w:shd w:val="clear" w:color="auto" w:fill="auto"/>
            <w:noWrap/>
            <w:vAlign w:val="bottom"/>
            <w:hideMark/>
          </w:tcPr>
          <w:p w14:paraId="3BEB14E8" w14:textId="77777777" w:rsidR="000B63E4" w:rsidRPr="00DB505A" w:rsidRDefault="000B63E4" w:rsidP="000B63E4">
            <w:pPr>
              <w:spacing w:line="240" w:lineRule="auto"/>
              <w:jc w:val="both"/>
              <w:rPr>
                <w:rFonts w:cstheme="minorHAnsi"/>
                <w:color w:val="000000"/>
                <w:sz w:val="20"/>
                <w:szCs w:val="20"/>
              </w:rPr>
            </w:pPr>
            <w:r w:rsidRPr="00DB505A">
              <w:rPr>
                <w:rFonts w:cstheme="minorHAnsi"/>
                <w:color w:val="000000"/>
                <w:sz w:val="20"/>
                <w:szCs w:val="20"/>
              </w:rPr>
              <w:t>Area Adjusted Iron Loading (g/m</w:t>
            </w:r>
            <w:r w:rsidRPr="00DB505A">
              <w:rPr>
                <w:rFonts w:cstheme="minorHAnsi"/>
                <w:color w:val="000000"/>
                <w:sz w:val="20"/>
                <w:szCs w:val="20"/>
                <w:vertAlign w:val="superscript"/>
              </w:rPr>
              <w:t>2</w:t>
            </w:r>
            <w:r w:rsidRPr="00DB505A">
              <w:rPr>
                <w:rFonts w:cstheme="minorHAnsi"/>
                <w:color w:val="000000"/>
                <w:sz w:val="20"/>
                <w:szCs w:val="20"/>
              </w:rPr>
              <w:t>/day)</w:t>
            </w:r>
          </w:p>
        </w:tc>
        <w:tc>
          <w:tcPr>
            <w:tcW w:w="1540" w:type="dxa"/>
            <w:tcBorders>
              <w:top w:val="nil"/>
              <w:left w:val="nil"/>
              <w:bottom w:val="nil"/>
              <w:right w:val="nil"/>
            </w:tcBorders>
            <w:shd w:val="clear" w:color="auto" w:fill="auto"/>
            <w:noWrap/>
            <w:vAlign w:val="bottom"/>
            <w:hideMark/>
          </w:tcPr>
          <w:p w14:paraId="448DCC3E" w14:textId="77777777" w:rsidR="000B63E4" w:rsidRPr="00DB505A" w:rsidRDefault="000B63E4" w:rsidP="000B63E4">
            <w:pPr>
              <w:spacing w:line="240" w:lineRule="auto"/>
              <w:jc w:val="center"/>
              <w:rPr>
                <w:rFonts w:cstheme="minorHAnsi"/>
                <w:color w:val="000000"/>
                <w:sz w:val="20"/>
                <w:szCs w:val="20"/>
              </w:rPr>
            </w:pPr>
            <w:r w:rsidRPr="00DB505A">
              <w:rPr>
                <w:rFonts w:cstheme="minorHAnsi"/>
                <w:color w:val="000000"/>
                <w:sz w:val="20"/>
                <w:szCs w:val="20"/>
              </w:rPr>
              <w:t>24.4</w:t>
            </w:r>
          </w:p>
        </w:tc>
        <w:tc>
          <w:tcPr>
            <w:tcW w:w="1260" w:type="dxa"/>
            <w:tcBorders>
              <w:top w:val="nil"/>
              <w:left w:val="nil"/>
              <w:bottom w:val="nil"/>
              <w:right w:val="nil"/>
            </w:tcBorders>
            <w:shd w:val="clear" w:color="auto" w:fill="auto"/>
            <w:noWrap/>
            <w:vAlign w:val="bottom"/>
            <w:hideMark/>
          </w:tcPr>
          <w:p w14:paraId="0EE136B3" w14:textId="77777777" w:rsidR="000B63E4" w:rsidRPr="00DB505A" w:rsidRDefault="000B63E4" w:rsidP="000B63E4">
            <w:pPr>
              <w:spacing w:line="240" w:lineRule="auto"/>
              <w:jc w:val="center"/>
              <w:rPr>
                <w:rFonts w:cstheme="minorHAnsi"/>
                <w:sz w:val="20"/>
                <w:szCs w:val="20"/>
              </w:rPr>
            </w:pPr>
            <w:r w:rsidRPr="00DB505A">
              <w:rPr>
                <w:rFonts w:cstheme="minorHAnsi"/>
                <w:sz w:val="20"/>
                <w:szCs w:val="20"/>
              </w:rPr>
              <w:t>11.5</w:t>
            </w:r>
          </w:p>
        </w:tc>
        <w:tc>
          <w:tcPr>
            <w:tcW w:w="1440" w:type="dxa"/>
            <w:tcBorders>
              <w:top w:val="nil"/>
              <w:left w:val="nil"/>
              <w:bottom w:val="nil"/>
              <w:right w:val="nil"/>
            </w:tcBorders>
            <w:shd w:val="clear" w:color="auto" w:fill="auto"/>
            <w:noWrap/>
            <w:vAlign w:val="bottom"/>
            <w:hideMark/>
          </w:tcPr>
          <w:p w14:paraId="70FC3223" w14:textId="77777777" w:rsidR="000B63E4" w:rsidRPr="00DB505A" w:rsidRDefault="000B63E4" w:rsidP="000B63E4">
            <w:pPr>
              <w:spacing w:line="240" w:lineRule="auto"/>
              <w:jc w:val="center"/>
              <w:rPr>
                <w:rFonts w:cstheme="minorHAnsi"/>
                <w:sz w:val="20"/>
                <w:szCs w:val="20"/>
              </w:rPr>
            </w:pPr>
            <w:r w:rsidRPr="00DB505A">
              <w:rPr>
                <w:rFonts w:cstheme="minorHAnsi"/>
                <w:sz w:val="20"/>
                <w:szCs w:val="20"/>
              </w:rPr>
              <w:t>11.6</w:t>
            </w:r>
          </w:p>
        </w:tc>
      </w:tr>
      <w:tr w:rsidR="000B63E4" w:rsidRPr="00DB505A" w14:paraId="55E11C08" w14:textId="77777777" w:rsidTr="000B63E4">
        <w:trPr>
          <w:trHeight w:val="300"/>
        </w:trPr>
        <w:tc>
          <w:tcPr>
            <w:tcW w:w="4040" w:type="dxa"/>
            <w:tcBorders>
              <w:top w:val="nil"/>
              <w:left w:val="nil"/>
              <w:bottom w:val="nil"/>
              <w:right w:val="nil"/>
            </w:tcBorders>
            <w:shd w:val="clear" w:color="auto" w:fill="auto"/>
            <w:noWrap/>
            <w:vAlign w:val="bottom"/>
            <w:hideMark/>
          </w:tcPr>
          <w:p w14:paraId="5A0EBB42" w14:textId="77777777" w:rsidR="000B63E4" w:rsidRPr="00DB505A" w:rsidRDefault="000B63E4" w:rsidP="000B63E4">
            <w:pPr>
              <w:spacing w:line="240" w:lineRule="auto"/>
              <w:jc w:val="both"/>
              <w:rPr>
                <w:rFonts w:cstheme="minorHAnsi"/>
                <w:color w:val="000000"/>
                <w:sz w:val="20"/>
                <w:szCs w:val="20"/>
              </w:rPr>
            </w:pPr>
            <w:r w:rsidRPr="00DB505A">
              <w:rPr>
                <w:rFonts w:cstheme="minorHAnsi"/>
                <w:color w:val="000000"/>
                <w:sz w:val="20"/>
                <w:szCs w:val="20"/>
              </w:rPr>
              <w:t>Mean Iron Removal Efficiency (%)</w:t>
            </w:r>
          </w:p>
        </w:tc>
        <w:tc>
          <w:tcPr>
            <w:tcW w:w="1540" w:type="dxa"/>
            <w:tcBorders>
              <w:top w:val="nil"/>
              <w:left w:val="nil"/>
              <w:bottom w:val="nil"/>
              <w:right w:val="nil"/>
            </w:tcBorders>
            <w:shd w:val="clear" w:color="auto" w:fill="auto"/>
            <w:noWrap/>
            <w:vAlign w:val="bottom"/>
            <w:hideMark/>
          </w:tcPr>
          <w:p w14:paraId="0232BF07" w14:textId="77777777" w:rsidR="000B63E4" w:rsidRPr="00DB505A" w:rsidRDefault="000B63E4" w:rsidP="000B63E4">
            <w:pPr>
              <w:spacing w:line="240" w:lineRule="auto"/>
              <w:jc w:val="center"/>
              <w:rPr>
                <w:rFonts w:cstheme="minorHAnsi"/>
                <w:color w:val="000000"/>
                <w:sz w:val="20"/>
                <w:szCs w:val="20"/>
              </w:rPr>
            </w:pPr>
            <w:r w:rsidRPr="00DB505A">
              <w:rPr>
                <w:rFonts w:cstheme="minorHAnsi"/>
                <w:color w:val="000000"/>
                <w:sz w:val="20"/>
                <w:szCs w:val="20"/>
              </w:rPr>
              <w:t>78</w:t>
            </w:r>
          </w:p>
        </w:tc>
        <w:tc>
          <w:tcPr>
            <w:tcW w:w="1260" w:type="dxa"/>
            <w:tcBorders>
              <w:top w:val="nil"/>
              <w:left w:val="nil"/>
              <w:bottom w:val="nil"/>
              <w:right w:val="nil"/>
            </w:tcBorders>
            <w:shd w:val="clear" w:color="auto" w:fill="auto"/>
            <w:noWrap/>
            <w:vAlign w:val="bottom"/>
            <w:hideMark/>
          </w:tcPr>
          <w:p w14:paraId="6FD7202B" w14:textId="77777777" w:rsidR="000B63E4" w:rsidRPr="00DB505A" w:rsidRDefault="000B63E4" w:rsidP="000B63E4">
            <w:pPr>
              <w:spacing w:line="240" w:lineRule="auto"/>
              <w:jc w:val="center"/>
              <w:rPr>
                <w:rFonts w:cstheme="minorHAnsi"/>
                <w:sz w:val="20"/>
                <w:szCs w:val="20"/>
              </w:rPr>
            </w:pPr>
            <w:r w:rsidRPr="00DB505A">
              <w:rPr>
                <w:rFonts w:cstheme="minorHAnsi"/>
                <w:sz w:val="20"/>
                <w:szCs w:val="20"/>
              </w:rPr>
              <w:t>82</w:t>
            </w:r>
          </w:p>
        </w:tc>
        <w:tc>
          <w:tcPr>
            <w:tcW w:w="1440" w:type="dxa"/>
            <w:tcBorders>
              <w:top w:val="nil"/>
              <w:left w:val="nil"/>
              <w:bottom w:val="nil"/>
              <w:right w:val="nil"/>
            </w:tcBorders>
            <w:shd w:val="clear" w:color="auto" w:fill="auto"/>
            <w:noWrap/>
            <w:vAlign w:val="bottom"/>
            <w:hideMark/>
          </w:tcPr>
          <w:p w14:paraId="2AFA0D68" w14:textId="77777777" w:rsidR="000B63E4" w:rsidRPr="00DB505A" w:rsidRDefault="000B63E4" w:rsidP="000B63E4">
            <w:pPr>
              <w:spacing w:line="240" w:lineRule="auto"/>
              <w:jc w:val="center"/>
              <w:rPr>
                <w:rFonts w:cstheme="minorHAnsi"/>
                <w:sz w:val="20"/>
                <w:szCs w:val="20"/>
              </w:rPr>
            </w:pPr>
            <w:r w:rsidRPr="00DB505A">
              <w:rPr>
                <w:rFonts w:cstheme="minorHAnsi"/>
                <w:sz w:val="20"/>
                <w:szCs w:val="20"/>
              </w:rPr>
              <w:t>82</w:t>
            </w:r>
          </w:p>
        </w:tc>
      </w:tr>
      <w:tr w:rsidR="000B63E4" w:rsidRPr="00DB505A" w14:paraId="30996BEC" w14:textId="77777777" w:rsidTr="000B63E4">
        <w:trPr>
          <w:trHeight w:val="300"/>
        </w:trPr>
        <w:tc>
          <w:tcPr>
            <w:tcW w:w="4040" w:type="dxa"/>
            <w:tcBorders>
              <w:top w:val="nil"/>
              <w:left w:val="nil"/>
              <w:bottom w:val="nil"/>
              <w:right w:val="nil"/>
            </w:tcBorders>
            <w:shd w:val="clear" w:color="auto" w:fill="auto"/>
            <w:noWrap/>
            <w:vAlign w:val="bottom"/>
            <w:hideMark/>
          </w:tcPr>
          <w:p w14:paraId="37FD4329" w14:textId="77777777" w:rsidR="000B63E4" w:rsidRPr="00DB505A" w:rsidRDefault="000B63E4" w:rsidP="000B63E4">
            <w:pPr>
              <w:spacing w:line="240" w:lineRule="auto"/>
              <w:jc w:val="both"/>
              <w:rPr>
                <w:rFonts w:cstheme="minorHAnsi"/>
                <w:color w:val="000000"/>
                <w:sz w:val="20"/>
                <w:szCs w:val="20"/>
              </w:rPr>
            </w:pPr>
            <w:r w:rsidRPr="00DB505A">
              <w:rPr>
                <w:rFonts w:cstheme="minorHAnsi"/>
                <w:color w:val="000000"/>
                <w:sz w:val="20"/>
                <w:szCs w:val="20"/>
              </w:rPr>
              <w:t>Mass of Iron Removed (kg/day)</w:t>
            </w:r>
          </w:p>
        </w:tc>
        <w:tc>
          <w:tcPr>
            <w:tcW w:w="1540" w:type="dxa"/>
            <w:tcBorders>
              <w:top w:val="nil"/>
              <w:left w:val="nil"/>
              <w:bottom w:val="nil"/>
              <w:right w:val="nil"/>
            </w:tcBorders>
            <w:shd w:val="clear" w:color="auto" w:fill="auto"/>
            <w:noWrap/>
            <w:vAlign w:val="bottom"/>
            <w:hideMark/>
          </w:tcPr>
          <w:p w14:paraId="0A065716" w14:textId="77777777" w:rsidR="000B63E4" w:rsidRPr="00DB505A" w:rsidRDefault="000B63E4" w:rsidP="000B63E4">
            <w:pPr>
              <w:spacing w:line="240" w:lineRule="auto"/>
              <w:jc w:val="center"/>
              <w:rPr>
                <w:rFonts w:cstheme="minorHAnsi"/>
                <w:color w:val="000000"/>
                <w:sz w:val="20"/>
                <w:szCs w:val="20"/>
              </w:rPr>
            </w:pPr>
            <w:r w:rsidRPr="00DB505A">
              <w:rPr>
                <w:rFonts w:cstheme="minorHAnsi"/>
                <w:color w:val="000000"/>
                <w:sz w:val="20"/>
                <w:szCs w:val="20"/>
              </w:rPr>
              <w:t>87</w:t>
            </w:r>
          </w:p>
        </w:tc>
        <w:tc>
          <w:tcPr>
            <w:tcW w:w="1260" w:type="dxa"/>
            <w:tcBorders>
              <w:top w:val="nil"/>
              <w:left w:val="nil"/>
              <w:bottom w:val="nil"/>
              <w:right w:val="nil"/>
            </w:tcBorders>
            <w:shd w:val="clear" w:color="auto" w:fill="auto"/>
            <w:noWrap/>
            <w:vAlign w:val="bottom"/>
            <w:hideMark/>
          </w:tcPr>
          <w:p w14:paraId="30479CA4" w14:textId="77777777" w:rsidR="000B63E4" w:rsidRPr="00DB505A" w:rsidRDefault="000B63E4" w:rsidP="000B63E4">
            <w:pPr>
              <w:spacing w:line="240" w:lineRule="auto"/>
              <w:jc w:val="center"/>
              <w:rPr>
                <w:rFonts w:cstheme="minorHAnsi"/>
                <w:sz w:val="20"/>
                <w:szCs w:val="20"/>
              </w:rPr>
            </w:pPr>
            <w:r w:rsidRPr="00DB505A">
              <w:rPr>
                <w:rFonts w:cstheme="minorHAnsi"/>
                <w:sz w:val="20"/>
                <w:szCs w:val="20"/>
              </w:rPr>
              <w:t>17.3</w:t>
            </w:r>
          </w:p>
        </w:tc>
        <w:tc>
          <w:tcPr>
            <w:tcW w:w="1440" w:type="dxa"/>
            <w:tcBorders>
              <w:top w:val="nil"/>
              <w:left w:val="nil"/>
              <w:bottom w:val="nil"/>
              <w:right w:val="nil"/>
            </w:tcBorders>
            <w:shd w:val="clear" w:color="auto" w:fill="auto"/>
            <w:noWrap/>
            <w:vAlign w:val="bottom"/>
            <w:hideMark/>
          </w:tcPr>
          <w:p w14:paraId="46511B84" w14:textId="77777777" w:rsidR="000B63E4" w:rsidRPr="00DB505A" w:rsidRDefault="000B63E4" w:rsidP="000B63E4">
            <w:pPr>
              <w:spacing w:line="240" w:lineRule="auto"/>
              <w:jc w:val="center"/>
              <w:rPr>
                <w:rFonts w:cstheme="minorHAnsi"/>
                <w:sz w:val="20"/>
                <w:szCs w:val="20"/>
              </w:rPr>
            </w:pPr>
            <w:r w:rsidRPr="00DB505A">
              <w:rPr>
                <w:rFonts w:cstheme="minorHAnsi"/>
                <w:sz w:val="20"/>
                <w:szCs w:val="20"/>
              </w:rPr>
              <w:t>17.3</w:t>
            </w:r>
          </w:p>
        </w:tc>
      </w:tr>
      <w:tr w:rsidR="000B63E4" w:rsidRPr="00DB505A" w14:paraId="5D417805" w14:textId="77777777" w:rsidTr="000B63E4">
        <w:trPr>
          <w:trHeight w:val="345"/>
        </w:trPr>
        <w:tc>
          <w:tcPr>
            <w:tcW w:w="4040" w:type="dxa"/>
            <w:tcBorders>
              <w:top w:val="nil"/>
              <w:left w:val="nil"/>
              <w:bottom w:val="nil"/>
              <w:right w:val="nil"/>
            </w:tcBorders>
            <w:shd w:val="clear" w:color="auto" w:fill="auto"/>
            <w:noWrap/>
            <w:vAlign w:val="bottom"/>
            <w:hideMark/>
          </w:tcPr>
          <w:p w14:paraId="08CE15D4" w14:textId="77777777" w:rsidR="000B63E4" w:rsidRPr="00DB505A" w:rsidRDefault="000B63E4" w:rsidP="000B63E4">
            <w:pPr>
              <w:spacing w:line="240" w:lineRule="auto"/>
              <w:jc w:val="both"/>
              <w:rPr>
                <w:rFonts w:cstheme="minorHAnsi"/>
                <w:color w:val="000000"/>
                <w:sz w:val="20"/>
                <w:szCs w:val="20"/>
              </w:rPr>
            </w:pPr>
            <w:r w:rsidRPr="00DB505A">
              <w:rPr>
                <w:rFonts w:cstheme="minorHAnsi"/>
                <w:color w:val="000000"/>
                <w:sz w:val="20"/>
                <w:szCs w:val="20"/>
              </w:rPr>
              <w:t>Area Adjusted Removal Rate (g/m</w:t>
            </w:r>
            <w:r w:rsidRPr="00DB505A">
              <w:rPr>
                <w:rFonts w:cstheme="minorHAnsi"/>
                <w:color w:val="000000"/>
                <w:sz w:val="20"/>
                <w:szCs w:val="20"/>
                <w:vertAlign w:val="superscript"/>
              </w:rPr>
              <w:t>2</w:t>
            </w:r>
            <w:r w:rsidRPr="00DB505A">
              <w:rPr>
                <w:rFonts w:cstheme="minorHAnsi"/>
                <w:color w:val="000000"/>
                <w:sz w:val="20"/>
                <w:szCs w:val="20"/>
              </w:rPr>
              <w:t>/day)</w:t>
            </w:r>
          </w:p>
        </w:tc>
        <w:tc>
          <w:tcPr>
            <w:tcW w:w="1540" w:type="dxa"/>
            <w:tcBorders>
              <w:top w:val="nil"/>
              <w:left w:val="nil"/>
              <w:bottom w:val="nil"/>
              <w:right w:val="nil"/>
            </w:tcBorders>
            <w:shd w:val="clear" w:color="auto" w:fill="auto"/>
            <w:noWrap/>
            <w:vAlign w:val="bottom"/>
            <w:hideMark/>
          </w:tcPr>
          <w:p w14:paraId="6528185E" w14:textId="77777777" w:rsidR="000B63E4" w:rsidRPr="00DB505A" w:rsidRDefault="000B63E4" w:rsidP="000B63E4">
            <w:pPr>
              <w:spacing w:line="240" w:lineRule="auto"/>
              <w:jc w:val="center"/>
              <w:rPr>
                <w:rFonts w:cstheme="minorHAnsi"/>
                <w:color w:val="000000"/>
                <w:sz w:val="20"/>
                <w:szCs w:val="20"/>
              </w:rPr>
            </w:pPr>
            <w:r w:rsidRPr="00DB505A">
              <w:rPr>
                <w:rFonts w:cstheme="minorHAnsi"/>
                <w:color w:val="000000"/>
                <w:sz w:val="20"/>
                <w:szCs w:val="20"/>
              </w:rPr>
              <w:t>19.0</w:t>
            </w:r>
          </w:p>
        </w:tc>
        <w:tc>
          <w:tcPr>
            <w:tcW w:w="1260" w:type="dxa"/>
            <w:tcBorders>
              <w:top w:val="nil"/>
              <w:left w:val="nil"/>
              <w:bottom w:val="nil"/>
              <w:right w:val="nil"/>
            </w:tcBorders>
            <w:shd w:val="clear" w:color="auto" w:fill="auto"/>
            <w:noWrap/>
            <w:vAlign w:val="bottom"/>
            <w:hideMark/>
          </w:tcPr>
          <w:p w14:paraId="4E3BAA62" w14:textId="77777777" w:rsidR="000B63E4" w:rsidRPr="00DB505A" w:rsidRDefault="000B63E4" w:rsidP="000B63E4">
            <w:pPr>
              <w:spacing w:line="240" w:lineRule="auto"/>
              <w:jc w:val="center"/>
              <w:rPr>
                <w:rFonts w:cstheme="minorHAnsi"/>
                <w:sz w:val="20"/>
                <w:szCs w:val="20"/>
              </w:rPr>
            </w:pPr>
            <w:r w:rsidRPr="00DB505A">
              <w:rPr>
                <w:rFonts w:cstheme="minorHAnsi"/>
                <w:sz w:val="20"/>
                <w:szCs w:val="20"/>
              </w:rPr>
              <w:t>11.5</w:t>
            </w:r>
          </w:p>
        </w:tc>
        <w:tc>
          <w:tcPr>
            <w:tcW w:w="1440" w:type="dxa"/>
            <w:tcBorders>
              <w:top w:val="nil"/>
              <w:left w:val="nil"/>
              <w:bottom w:val="nil"/>
              <w:right w:val="nil"/>
            </w:tcBorders>
            <w:shd w:val="clear" w:color="auto" w:fill="auto"/>
            <w:noWrap/>
            <w:vAlign w:val="bottom"/>
            <w:hideMark/>
          </w:tcPr>
          <w:p w14:paraId="62046271" w14:textId="77777777" w:rsidR="000B63E4" w:rsidRPr="00DB505A" w:rsidRDefault="000B63E4" w:rsidP="000B63E4">
            <w:pPr>
              <w:spacing w:line="240" w:lineRule="auto"/>
              <w:jc w:val="center"/>
              <w:rPr>
                <w:rFonts w:cstheme="minorHAnsi"/>
                <w:sz w:val="20"/>
                <w:szCs w:val="20"/>
              </w:rPr>
            </w:pPr>
            <w:r w:rsidRPr="00DB505A">
              <w:rPr>
                <w:rFonts w:cstheme="minorHAnsi"/>
                <w:sz w:val="20"/>
                <w:szCs w:val="20"/>
              </w:rPr>
              <w:t>11.6</w:t>
            </w:r>
          </w:p>
        </w:tc>
      </w:tr>
      <w:tr w:rsidR="000B63E4" w:rsidRPr="00DB505A" w14:paraId="1321A5B4" w14:textId="77777777" w:rsidTr="000B63E4">
        <w:trPr>
          <w:trHeight w:val="300"/>
        </w:trPr>
        <w:tc>
          <w:tcPr>
            <w:tcW w:w="4040" w:type="dxa"/>
            <w:tcBorders>
              <w:top w:val="nil"/>
              <w:left w:val="nil"/>
              <w:bottom w:val="nil"/>
              <w:right w:val="nil"/>
            </w:tcBorders>
            <w:shd w:val="clear" w:color="auto" w:fill="auto"/>
            <w:noWrap/>
            <w:vAlign w:val="bottom"/>
            <w:hideMark/>
          </w:tcPr>
          <w:p w14:paraId="33A63208" w14:textId="77777777" w:rsidR="000B63E4" w:rsidRPr="00DB505A" w:rsidRDefault="000B63E4" w:rsidP="000B63E4">
            <w:pPr>
              <w:spacing w:line="240" w:lineRule="auto"/>
              <w:jc w:val="both"/>
              <w:rPr>
                <w:rFonts w:cstheme="minorHAnsi"/>
                <w:color w:val="000000"/>
                <w:sz w:val="20"/>
                <w:szCs w:val="20"/>
              </w:rPr>
            </w:pPr>
            <w:r w:rsidRPr="00DB505A">
              <w:rPr>
                <w:rFonts w:cstheme="minorHAnsi"/>
                <w:color w:val="000000"/>
                <w:sz w:val="20"/>
                <w:szCs w:val="20"/>
              </w:rPr>
              <w:t>Peak Residence Time (days)</w:t>
            </w:r>
          </w:p>
        </w:tc>
        <w:tc>
          <w:tcPr>
            <w:tcW w:w="1540" w:type="dxa"/>
            <w:tcBorders>
              <w:top w:val="nil"/>
              <w:left w:val="nil"/>
              <w:bottom w:val="nil"/>
              <w:right w:val="nil"/>
            </w:tcBorders>
            <w:shd w:val="clear" w:color="auto" w:fill="auto"/>
            <w:noWrap/>
            <w:vAlign w:val="bottom"/>
            <w:hideMark/>
          </w:tcPr>
          <w:p w14:paraId="09DA2B0F" w14:textId="77777777" w:rsidR="000B63E4" w:rsidRPr="00DB505A" w:rsidRDefault="000B63E4" w:rsidP="000B63E4">
            <w:pPr>
              <w:spacing w:line="240" w:lineRule="auto"/>
              <w:jc w:val="center"/>
              <w:rPr>
                <w:rFonts w:cstheme="minorHAnsi"/>
                <w:color w:val="000000"/>
                <w:sz w:val="20"/>
                <w:szCs w:val="20"/>
              </w:rPr>
            </w:pPr>
            <w:r w:rsidRPr="00DB505A">
              <w:rPr>
                <w:rFonts w:cstheme="minorHAnsi"/>
                <w:color w:val="000000"/>
                <w:sz w:val="20"/>
                <w:szCs w:val="20"/>
              </w:rPr>
              <w:t>1.5</w:t>
            </w:r>
          </w:p>
        </w:tc>
        <w:tc>
          <w:tcPr>
            <w:tcW w:w="1260" w:type="dxa"/>
            <w:tcBorders>
              <w:top w:val="nil"/>
              <w:left w:val="nil"/>
              <w:bottom w:val="nil"/>
              <w:right w:val="nil"/>
            </w:tcBorders>
            <w:shd w:val="clear" w:color="auto" w:fill="auto"/>
            <w:noWrap/>
            <w:vAlign w:val="bottom"/>
            <w:hideMark/>
          </w:tcPr>
          <w:p w14:paraId="11B2A33D" w14:textId="77777777" w:rsidR="000B63E4" w:rsidRPr="00DB505A" w:rsidRDefault="000B63E4" w:rsidP="000B63E4">
            <w:pPr>
              <w:spacing w:line="240" w:lineRule="auto"/>
              <w:jc w:val="center"/>
              <w:rPr>
                <w:rFonts w:cstheme="minorHAnsi"/>
                <w:sz w:val="20"/>
                <w:szCs w:val="20"/>
              </w:rPr>
            </w:pPr>
            <w:r w:rsidRPr="00DB505A">
              <w:rPr>
                <w:rFonts w:cstheme="minorHAnsi"/>
                <w:sz w:val="20"/>
                <w:szCs w:val="20"/>
              </w:rPr>
              <w:t>4.3</w:t>
            </w:r>
          </w:p>
        </w:tc>
        <w:tc>
          <w:tcPr>
            <w:tcW w:w="1440" w:type="dxa"/>
            <w:tcBorders>
              <w:top w:val="nil"/>
              <w:left w:val="nil"/>
              <w:bottom w:val="nil"/>
              <w:right w:val="nil"/>
            </w:tcBorders>
            <w:shd w:val="clear" w:color="auto" w:fill="auto"/>
            <w:noWrap/>
            <w:vAlign w:val="bottom"/>
            <w:hideMark/>
          </w:tcPr>
          <w:p w14:paraId="0D2D04E6" w14:textId="77777777" w:rsidR="000B63E4" w:rsidRPr="00DB505A" w:rsidRDefault="000B63E4" w:rsidP="000B63E4">
            <w:pPr>
              <w:spacing w:line="240" w:lineRule="auto"/>
              <w:jc w:val="center"/>
              <w:rPr>
                <w:rFonts w:cstheme="minorHAnsi"/>
                <w:sz w:val="20"/>
                <w:szCs w:val="20"/>
              </w:rPr>
            </w:pPr>
            <w:r w:rsidRPr="00DB505A">
              <w:rPr>
                <w:rFonts w:cstheme="minorHAnsi"/>
                <w:sz w:val="20"/>
                <w:szCs w:val="20"/>
              </w:rPr>
              <w:t>3.7</w:t>
            </w:r>
          </w:p>
        </w:tc>
      </w:tr>
      <w:tr w:rsidR="000B63E4" w:rsidRPr="00DB505A" w14:paraId="0F435216" w14:textId="77777777" w:rsidTr="000B63E4">
        <w:trPr>
          <w:trHeight w:val="300"/>
        </w:trPr>
        <w:tc>
          <w:tcPr>
            <w:tcW w:w="4040" w:type="dxa"/>
            <w:tcBorders>
              <w:top w:val="nil"/>
              <w:left w:val="nil"/>
              <w:bottom w:val="nil"/>
              <w:right w:val="nil"/>
            </w:tcBorders>
            <w:shd w:val="clear" w:color="auto" w:fill="auto"/>
            <w:noWrap/>
            <w:vAlign w:val="bottom"/>
            <w:hideMark/>
          </w:tcPr>
          <w:p w14:paraId="0CDE9C12" w14:textId="77777777" w:rsidR="000B63E4" w:rsidRPr="00DB505A" w:rsidRDefault="000B63E4" w:rsidP="000B63E4">
            <w:pPr>
              <w:spacing w:line="240" w:lineRule="auto"/>
              <w:jc w:val="both"/>
              <w:rPr>
                <w:rFonts w:cstheme="minorHAnsi"/>
                <w:color w:val="000000"/>
                <w:sz w:val="20"/>
                <w:szCs w:val="20"/>
              </w:rPr>
            </w:pPr>
            <w:r w:rsidRPr="00DB505A">
              <w:rPr>
                <w:rFonts w:cstheme="minorHAnsi"/>
                <w:color w:val="000000"/>
                <w:sz w:val="20"/>
                <w:szCs w:val="20"/>
              </w:rPr>
              <w:t>70% Residence Time (days)</w:t>
            </w:r>
          </w:p>
        </w:tc>
        <w:tc>
          <w:tcPr>
            <w:tcW w:w="1540" w:type="dxa"/>
            <w:tcBorders>
              <w:top w:val="nil"/>
              <w:left w:val="nil"/>
              <w:bottom w:val="nil"/>
              <w:right w:val="nil"/>
            </w:tcBorders>
            <w:shd w:val="clear" w:color="auto" w:fill="auto"/>
            <w:noWrap/>
            <w:vAlign w:val="bottom"/>
            <w:hideMark/>
          </w:tcPr>
          <w:p w14:paraId="5316226C" w14:textId="77777777" w:rsidR="000B63E4" w:rsidRPr="00DB505A" w:rsidRDefault="000B63E4" w:rsidP="000B63E4">
            <w:pPr>
              <w:spacing w:line="240" w:lineRule="auto"/>
              <w:jc w:val="center"/>
              <w:rPr>
                <w:rFonts w:cstheme="minorHAnsi"/>
                <w:color w:val="000000"/>
                <w:sz w:val="20"/>
                <w:szCs w:val="20"/>
              </w:rPr>
            </w:pPr>
            <w:r w:rsidRPr="00DB505A">
              <w:rPr>
                <w:rFonts w:cstheme="minorHAnsi"/>
                <w:color w:val="000000"/>
                <w:sz w:val="20"/>
                <w:szCs w:val="20"/>
              </w:rPr>
              <w:t>5.75</w:t>
            </w:r>
          </w:p>
        </w:tc>
        <w:tc>
          <w:tcPr>
            <w:tcW w:w="1260" w:type="dxa"/>
            <w:tcBorders>
              <w:top w:val="nil"/>
              <w:left w:val="nil"/>
              <w:bottom w:val="nil"/>
              <w:right w:val="nil"/>
            </w:tcBorders>
            <w:shd w:val="clear" w:color="auto" w:fill="auto"/>
            <w:noWrap/>
            <w:vAlign w:val="bottom"/>
            <w:hideMark/>
          </w:tcPr>
          <w:p w14:paraId="133378CE" w14:textId="77777777" w:rsidR="000B63E4" w:rsidRPr="00DB505A" w:rsidRDefault="000B63E4" w:rsidP="000B63E4">
            <w:pPr>
              <w:spacing w:line="240" w:lineRule="auto"/>
              <w:jc w:val="center"/>
              <w:rPr>
                <w:rFonts w:cstheme="minorHAnsi"/>
                <w:sz w:val="20"/>
                <w:szCs w:val="20"/>
              </w:rPr>
            </w:pPr>
            <w:r w:rsidRPr="00DB505A">
              <w:rPr>
                <w:rFonts w:cstheme="minorHAnsi"/>
                <w:sz w:val="20"/>
                <w:szCs w:val="20"/>
              </w:rPr>
              <w:t>9.2</w:t>
            </w:r>
          </w:p>
        </w:tc>
        <w:tc>
          <w:tcPr>
            <w:tcW w:w="1440" w:type="dxa"/>
            <w:tcBorders>
              <w:top w:val="nil"/>
              <w:left w:val="nil"/>
              <w:bottom w:val="nil"/>
              <w:right w:val="nil"/>
            </w:tcBorders>
            <w:shd w:val="clear" w:color="auto" w:fill="auto"/>
            <w:noWrap/>
            <w:vAlign w:val="bottom"/>
            <w:hideMark/>
          </w:tcPr>
          <w:p w14:paraId="38AE3C12" w14:textId="77777777" w:rsidR="000B63E4" w:rsidRPr="00DB505A" w:rsidRDefault="000B63E4" w:rsidP="000B63E4">
            <w:pPr>
              <w:spacing w:line="240" w:lineRule="auto"/>
              <w:jc w:val="center"/>
              <w:rPr>
                <w:rFonts w:cstheme="minorHAnsi"/>
                <w:sz w:val="20"/>
                <w:szCs w:val="20"/>
              </w:rPr>
            </w:pPr>
            <w:r w:rsidRPr="00DB505A">
              <w:rPr>
                <w:rFonts w:cstheme="minorHAnsi"/>
                <w:sz w:val="20"/>
                <w:szCs w:val="20"/>
              </w:rPr>
              <w:t>9.0</w:t>
            </w:r>
          </w:p>
        </w:tc>
      </w:tr>
      <w:tr w:rsidR="000B63E4" w:rsidRPr="00DB505A" w14:paraId="64FC0EAA" w14:textId="77777777" w:rsidTr="000B63E4">
        <w:trPr>
          <w:trHeight w:val="300"/>
        </w:trPr>
        <w:tc>
          <w:tcPr>
            <w:tcW w:w="4040" w:type="dxa"/>
            <w:tcBorders>
              <w:top w:val="nil"/>
              <w:left w:val="nil"/>
              <w:bottom w:val="nil"/>
              <w:right w:val="nil"/>
            </w:tcBorders>
            <w:shd w:val="clear" w:color="auto" w:fill="auto"/>
            <w:noWrap/>
            <w:vAlign w:val="bottom"/>
            <w:hideMark/>
          </w:tcPr>
          <w:p w14:paraId="24B0DDC7" w14:textId="77777777" w:rsidR="000B63E4" w:rsidRPr="00DB505A" w:rsidRDefault="000B63E4" w:rsidP="000B63E4">
            <w:pPr>
              <w:spacing w:line="240" w:lineRule="auto"/>
              <w:jc w:val="both"/>
              <w:rPr>
                <w:rFonts w:cstheme="minorHAnsi"/>
                <w:color w:val="000000"/>
                <w:sz w:val="20"/>
                <w:szCs w:val="20"/>
              </w:rPr>
            </w:pPr>
            <w:r w:rsidRPr="00DB505A">
              <w:rPr>
                <w:rFonts w:cstheme="minorHAnsi"/>
                <w:color w:val="000000"/>
                <w:sz w:val="20"/>
                <w:szCs w:val="20"/>
              </w:rPr>
              <w:t>Design HRT (days)</w:t>
            </w:r>
          </w:p>
        </w:tc>
        <w:tc>
          <w:tcPr>
            <w:tcW w:w="1540" w:type="dxa"/>
            <w:tcBorders>
              <w:top w:val="nil"/>
              <w:left w:val="nil"/>
              <w:bottom w:val="nil"/>
              <w:right w:val="nil"/>
            </w:tcBorders>
            <w:shd w:val="clear" w:color="auto" w:fill="auto"/>
            <w:noWrap/>
            <w:vAlign w:val="bottom"/>
            <w:hideMark/>
          </w:tcPr>
          <w:p w14:paraId="3038CF38" w14:textId="77777777" w:rsidR="000B63E4" w:rsidRPr="00DB505A" w:rsidRDefault="000B63E4" w:rsidP="000B63E4">
            <w:pPr>
              <w:spacing w:line="240" w:lineRule="auto"/>
              <w:jc w:val="center"/>
              <w:rPr>
                <w:rFonts w:cstheme="minorHAnsi"/>
                <w:color w:val="000000"/>
                <w:sz w:val="20"/>
                <w:szCs w:val="20"/>
              </w:rPr>
            </w:pPr>
            <w:r w:rsidRPr="00DB505A">
              <w:rPr>
                <w:rFonts w:cstheme="minorHAnsi"/>
                <w:color w:val="000000"/>
                <w:sz w:val="20"/>
                <w:szCs w:val="20"/>
              </w:rPr>
              <w:t>7.7</w:t>
            </w:r>
          </w:p>
        </w:tc>
        <w:tc>
          <w:tcPr>
            <w:tcW w:w="1260" w:type="dxa"/>
            <w:tcBorders>
              <w:top w:val="nil"/>
              <w:left w:val="nil"/>
              <w:bottom w:val="nil"/>
              <w:right w:val="nil"/>
            </w:tcBorders>
            <w:shd w:val="clear" w:color="auto" w:fill="auto"/>
            <w:noWrap/>
            <w:vAlign w:val="bottom"/>
            <w:hideMark/>
          </w:tcPr>
          <w:p w14:paraId="0E726C77" w14:textId="77777777" w:rsidR="000B63E4" w:rsidRPr="00DB505A" w:rsidRDefault="000B63E4" w:rsidP="000B63E4">
            <w:pPr>
              <w:spacing w:line="240" w:lineRule="auto"/>
              <w:jc w:val="center"/>
              <w:rPr>
                <w:rFonts w:cstheme="minorHAnsi"/>
                <w:color w:val="000000"/>
                <w:sz w:val="20"/>
                <w:szCs w:val="20"/>
              </w:rPr>
            </w:pPr>
            <w:r w:rsidRPr="00DB505A">
              <w:rPr>
                <w:rFonts w:cstheme="minorHAnsi"/>
                <w:color w:val="000000"/>
                <w:sz w:val="20"/>
                <w:szCs w:val="20"/>
              </w:rPr>
              <w:t>3.5</w:t>
            </w:r>
          </w:p>
        </w:tc>
        <w:tc>
          <w:tcPr>
            <w:tcW w:w="1440" w:type="dxa"/>
            <w:tcBorders>
              <w:top w:val="nil"/>
              <w:left w:val="nil"/>
              <w:bottom w:val="nil"/>
              <w:right w:val="nil"/>
            </w:tcBorders>
            <w:shd w:val="clear" w:color="auto" w:fill="auto"/>
            <w:noWrap/>
            <w:vAlign w:val="bottom"/>
            <w:hideMark/>
          </w:tcPr>
          <w:p w14:paraId="56B7D1E4" w14:textId="77777777" w:rsidR="000B63E4" w:rsidRPr="00DB505A" w:rsidRDefault="000B63E4" w:rsidP="000B63E4">
            <w:pPr>
              <w:spacing w:line="240" w:lineRule="auto"/>
              <w:jc w:val="center"/>
              <w:rPr>
                <w:rFonts w:cstheme="minorHAnsi"/>
                <w:color w:val="000000"/>
                <w:sz w:val="20"/>
                <w:szCs w:val="20"/>
              </w:rPr>
            </w:pPr>
            <w:r w:rsidRPr="00DB505A">
              <w:rPr>
                <w:rFonts w:cstheme="minorHAnsi"/>
                <w:color w:val="000000"/>
                <w:sz w:val="20"/>
                <w:szCs w:val="20"/>
              </w:rPr>
              <w:t>3.5</w:t>
            </w:r>
          </w:p>
        </w:tc>
      </w:tr>
      <w:tr w:rsidR="000B63E4" w:rsidRPr="00DB505A" w14:paraId="7FE848F9" w14:textId="77777777" w:rsidTr="000B63E4">
        <w:trPr>
          <w:trHeight w:val="300"/>
        </w:trPr>
        <w:tc>
          <w:tcPr>
            <w:tcW w:w="4040" w:type="dxa"/>
            <w:tcBorders>
              <w:top w:val="nil"/>
              <w:left w:val="nil"/>
              <w:bottom w:val="single" w:sz="4" w:space="0" w:color="auto"/>
              <w:right w:val="nil"/>
            </w:tcBorders>
            <w:shd w:val="clear" w:color="auto" w:fill="auto"/>
            <w:noWrap/>
            <w:vAlign w:val="bottom"/>
            <w:hideMark/>
          </w:tcPr>
          <w:p w14:paraId="34CB6CBF" w14:textId="77777777" w:rsidR="000B63E4" w:rsidRPr="00DB505A" w:rsidRDefault="000B63E4" w:rsidP="000B63E4">
            <w:pPr>
              <w:spacing w:line="240" w:lineRule="auto"/>
              <w:jc w:val="both"/>
              <w:rPr>
                <w:rFonts w:cstheme="minorHAnsi"/>
                <w:color w:val="000000"/>
                <w:sz w:val="20"/>
                <w:szCs w:val="20"/>
              </w:rPr>
            </w:pPr>
            <w:r w:rsidRPr="00DB505A">
              <w:rPr>
                <w:rFonts w:cstheme="minorHAnsi"/>
                <w:color w:val="000000"/>
                <w:sz w:val="20"/>
                <w:szCs w:val="20"/>
              </w:rPr>
              <w:t>Change in HRT from Design (days)</w:t>
            </w:r>
          </w:p>
        </w:tc>
        <w:tc>
          <w:tcPr>
            <w:tcW w:w="1540" w:type="dxa"/>
            <w:tcBorders>
              <w:top w:val="nil"/>
              <w:left w:val="nil"/>
              <w:bottom w:val="single" w:sz="4" w:space="0" w:color="auto"/>
              <w:right w:val="nil"/>
            </w:tcBorders>
            <w:shd w:val="clear" w:color="auto" w:fill="auto"/>
            <w:noWrap/>
            <w:vAlign w:val="bottom"/>
            <w:hideMark/>
          </w:tcPr>
          <w:p w14:paraId="7B179ED2" w14:textId="77777777" w:rsidR="000B63E4" w:rsidRPr="00DB505A" w:rsidRDefault="000B63E4" w:rsidP="000B63E4">
            <w:pPr>
              <w:spacing w:line="240" w:lineRule="auto"/>
              <w:jc w:val="center"/>
              <w:rPr>
                <w:rFonts w:cstheme="minorHAnsi"/>
                <w:color w:val="000000"/>
                <w:sz w:val="20"/>
                <w:szCs w:val="20"/>
              </w:rPr>
            </w:pPr>
            <w:r w:rsidRPr="00DB505A">
              <w:rPr>
                <w:rFonts w:cstheme="minorHAnsi"/>
                <w:color w:val="000000"/>
                <w:sz w:val="20"/>
                <w:szCs w:val="20"/>
              </w:rPr>
              <w:t>-2.0</w:t>
            </w:r>
          </w:p>
        </w:tc>
        <w:tc>
          <w:tcPr>
            <w:tcW w:w="1260" w:type="dxa"/>
            <w:tcBorders>
              <w:top w:val="nil"/>
              <w:left w:val="nil"/>
              <w:bottom w:val="single" w:sz="4" w:space="0" w:color="auto"/>
              <w:right w:val="nil"/>
            </w:tcBorders>
            <w:shd w:val="clear" w:color="auto" w:fill="auto"/>
            <w:noWrap/>
            <w:vAlign w:val="bottom"/>
            <w:hideMark/>
          </w:tcPr>
          <w:p w14:paraId="5434CA69" w14:textId="77777777" w:rsidR="000B63E4" w:rsidRPr="00DB505A" w:rsidRDefault="000B63E4" w:rsidP="000B63E4">
            <w:pPr>
              <w:spacing w:line="240" w:lineRule="auto"/>
              <w:jc w:val="center"/>
              <w:rPr>
                <w:rFonts w:cstheme="minorHAnsi"/>
                <w:color w:val="000000"/>
                <w:sz w:val="20"/>
                <w:szCs w:val="20"/>
              </w:rPr>
            </w:pPr>
            <w:r w:rsidRPr="00DB505A">
              <w:rPr>
                <w:rFonts w:cstheme="minorHAnsi"/>
                <w:color w:val="000000"/>
                <w:sz w:val="20"/>
                <w:szCs w:val="20"/>
              </w:rPr>
              <w:t>+5.7*</w:t>
            </w:r>
          </w:p>
        </w:tc>
        <w:tc>
          <w:tcPr>
            <w:tcW w:w="1440" w:type="dxa"/>
            <w:tcBorders>
              <w:top w:val="nil"/>
              <w:left w:val="nil"/>
              <w:bottom w:val="single" w:sz="4" w:space="0" w:color="auto"/>
              <w:right w:val="nil"/>
            </w:tcBorders>
            <w:shd w:val="clear" w:color="auto" w:fill="auto"/>
            <w:noWrap/>
            <w:vAlign w:val="bottom"/>
            <w:hideMark/>
          </w:tcPr>
          <w:p w14:paraId="0845FC2F" w14:textId="77777777" w:rsidR="000B63E4" w:rsidRPr="00DB505A" w:rsidRDefault="000B63E4" w:rsidP="000B63E4">
            <w:pPr>
              <w:spacing w:line="240" w:lineRule="auto"/>
              <w:jc w:val="center"/>
              <w:rPr>
                <w:rFonts w:cstheme="minorHAnsi"/>
                <w:color w:val="000000"/>
                <w:sz w:val="20"/>
                <w:szCs w:val="20"/>
              </w:rPr>
            </w:pPr>
            <w:r w:rsidRPr="00DB505A">
              <w:rPr>
                <w:rFonts w:cstheme="minorHAnsi"/>
                <w:color w:val="000000"/>
                <w:sz w:val="20"/>
                <w:szCs w:val="20"/>
              </w:rPr>
              <w:t>+5.5*</w:t>
            </w:r>
          </w:p>
        </w:tc>
      </w:tr>
    </w:tbl>
    <w:p w14:paraId="0D44779D" w14:textId="77777777" w:rsidR="000B63E4" w:rsidRDefault="000B63E4" w:rsidP="000B63E4">
      <w:pPr>
        <w:spacing w:line="240" w:lineRule="auto"/>
        <w:jc w:val="both"/>
        <w:rPr>
          <w:rFonts w:cstheme="minorHAnsi"/>
          <w:sz w:val="20"/>
          <w:szCs w:val="20"/>
        </w:rPr>
      </w:pPr>
      <w:r w:rsidRPr="00DB505A">
        <w:rPr>
          <w:rFonts w:cstheme="minorHAnsi"/>
          <w:sz w:val="20"/>
          <w:szCs w:val="20"/>
        </w:rPr>
        <w:t>*due to poor hydraulic conductivity and high storm activity impairing transport</w:t>
      </w:r>
      <w:r>
        <w:rPr>
          <w:rFonts w:cstheme="minorHAnsi"/>
          <w:sz w:val="20"/>
          <w:szCs w:val="20"/>
        </w:rPr>
        <w:t xml:space="preserve"> through the system</w:t>
      </w:r>
    </w:p>
    <w:p w14:paraId="16AD7EF4" w14:textId="77777777" w:rsidR="000B63E4" w:rsidRDefault="000B63E4" w:rsidP="000B63E4">
      <w:pPr>
        <w:spacing w:after="0" w:line="240" w:lineRule="auto"/>
        <w:jc w:val="both"/>
        <w:rPr>
          <w:rFonts w:cstheme="minorHAnsi"/>
          <w:sz w:val="20"/>
          <w:szCs w:val="20"/>
        </w:rPr>
      </w:pPr>
    </w:p>
    <w:p w14:paraId="18EC23F8" w14:textId="315AD7CA" w:rsidR="000B63E4" w:rsidRPr="00925BB2" w:rsidRDefault="000B63E4" w:rsidP="000B63E4">
      <w:pPr>
        <w:spacing w:after="0" w:line="240" w:lineRule="auto"/>
        <w:jc w:val="both"/>
        <w:rPr>
          <w:rFonts w:cstheme="minorHAnsi"/>
          <w:sz w:val="20"/>
          <w:szCs w:val="20"/>
        </w:rPr>
      </w:pPr>
      <w:r w:rsidRPr="00925BB2">
        <w:rPr>
          <w:rFonts w:cstheme="minorHAnsi"/>
          <w:sz w:val="20"/>
          <w:szCs w:val="20"/>
        </w:rPr>
        <w:t xml:space="preserve">Table </w:t>
      </w:r>
      <w:r w:rsidR="00317F91">
        <w:rPr>
          <w:rFonts w:cstheme="minorHAnsi"/>
          <w:sz w:val="20"/>
          <w:szCs w:val="20"/>
        </w:rPr>
        <w:t>4</w:t>
      </w:r>
      <w:r w:rsidRPr="00925BB2">
        <w:rPr>
          <w:rFonts w:cstheme="minorHAnsi"/>
          <w:sz w:val="20"/>
          <w:szCs w:val="20"/>
        </w:rPr>
        <w:t>.</w:t>
      </w:r>
      <w:r>
        <w:rPr>
          <w:rFonts w:cstheme="minorHAnsi"/>
          <w:sz w:val="20"/>
          <w:szCs w:val="20"/>
        </w:rPr>
        <w:t>7</w:t>
      </w:r>
      <w:r w:rsidRPr="00925BB2">
        <w:rPr>
          <w:rFonts w:cstheme="minorHAnsi"/>
          <w:sz w:val="20"/>
          <w:szCs w:val="20"/>
        </w:rPr>
        <w:t xml:space="preserve"> Daily Summary of Storm Activity for the Miami, OK </w:t>
      </w:r>
      <w:proofErr w:type="spellStart"/>
      <w:r w:rsidRPr="00925BB2">
        <w:rPr>
          <w:rFonts w:cstheme="minorHAnsi"/>
          <w:sz w:val="20"/>
          <w:szCs w:val="20"/>
        </w:rPr>
        <w:t>Mesonet</w:t>
      </w:r>
      <w:proofErr w:type="spellEnd"/>
      <w:r w:rsidRPr="00925BB2">
        <w:rPr>
          <w:rFonts w:cstheme="minorHAnsi"/>
          <w:sz w:val="20"/>
          <w:szCs w:val="20"/>
        </w:rPr>
        <w:t xml:space="preserve"> Station leading up to the Oxidative Unit Tracer Study. Grey section indicates dates of the tracer study for Cell 1 and Cells 2N/2S</w:t>
      </w:r>
    </w:p>
    <w:tbl>
      <w:tblPr>
        <w:tblW w:w="7830" w:type="dxa"/>
        <w:tblLook w:val="04A0" w:firstRow="1" w:lastRow="0" w:firstColumn="1" w:lastColumn="0" w:noHBand="0" w:noVBand="1"/>
      </w:tblPr>
      <w:tblGrid>
        <w:gridCol w:w="960"/>
        <w:gridCol w:w="1380"/>
        <w:gridCol w:w="1960"/>
        <w:gridCol w:w="1730"/>
        <w:gridCol w:w="1800"/>
      </w:tblGrid>
      <w:tr w:rsidR="000B63E4" w:rsidRPr="00925BB2" w14:paraId="6BA55A77" w14:textId="77777777" w:rsidTr="000B63E4">
        <w:trPr>
          <w:trHeight w:val="315"/>
        </w:trPr>
        <w:tc>
          <w:tcPr>
            <w:tcW w:w="960" w:type="dxa"/>
            <w:tcBorders>
              <w:top w:val="single" w:sz="4" w:space="0" w:color="auto"/>
              <w:left w:val="nil"/>
              <w:bottom w:val="double" w:sz="6" w:space="0" w:color="auto"/>
              <w:right w:val="nil"/>
            </w:tcBorders>
            <w:shd w:val="clear" w:color="auto" w:fill="auto"/>
            <w:noWrap/>
            <w:vAlign w:val="bottom"/>
            <w:hideMark/>
          </w:tcPr>
          <w:p w14:paraId="362CA5F4" w14:textId="77777777" w:rsidR="000B63E4" w:rsidRPr="00925BB2" w:rsidRDefault="000B63E4" w:rsidP="000B63E4">
            <w:pPr>
              <w:spacing w:after="0" w:line="240" w:lineRule="auto"/>
              <w:jc w:val="center"/>
              <w:rPr>
                <w:rFonts w:cstheme="minorHAnsi"/>
                <w:color w:val="000000"/>
                <w:sz w:val="20"/>
                <w:szCs w:val="20"/>
              </w:rPr>
            </w:pPr>
          </w:p>
        </w:tc>
        <w:tc>
          <w:tcPr>
            <w:tcW w:w="1380" w:type="dxa"/>
            <w:tcBorders>
              <w:top w:val="single" w:sz="4" w:space="0" w:color="auto"/>
              <w:left w:val="nil"/>
              <w:bottom w:val="double" w:sz="6" w:space="0" w:color="auto"/>
              <w:right w:val="nil"/>
            </w:tcBorders>
            <w:shd w:val="clear" w:color="auto" w:fill="auto"/>
            <w:noWrap/>
            <w:vAlign w:val="bottom"/>
            <w:hideMark/>
          </w:tcPr>
          <w:p w14:paraId="69E758B4"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Daily Storm Yield (cm)</w:t>
            </w:r>
          </w:p>
        </w:tc>
        <w:tc>
          <w:tcPr>
            <w:tcW w:w="1960" w:type="dxa"/>
            <w:tcBorders>
              <w:top w:val="single" w:sz="4" w:space="0" w:color="auto"/>
              <w:left w:val="nil"/>
              <w:bottom w:val="double" w:sz="6" w:space="0" w:color="auto"/>
              <w:right w:val="nil"/>
            </w:tcBorders>
            <w:shd w:val="clear" w:color="auto" w:fill="auto"/>
            <w:noWrap/>
            <w:vAlign w:val="bottom"/>
            <w:hideMark/>
          </w:tcPr>
          <w:p w14:paraId="6B42F423"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Daily Duration of rain Periods (</w:t>
            </w:r>
            <w:proofErr w:type="spellStart"/>
            <w:r w:rsidRPr="00925BB2">
              <w:rPr>
                <w:rFonts w:cstheme="minorHAnsi"/>
                <w:color w:val="000000"/>
                <w:sz w:val="20"/>
                <w:szCs w:val="20"/>
              </w:rPr>
              <w:t>hrs</w:t>
            </w:r>
            <w:proofErr w:type="spellEnd"/>
            <w:r w:rsidRPr="00925BB2">
              <w:rPr>
                <w:rFonts w:cstheme="minorHAnsi"/>
                <w:color w:val="000000"/>
                <w:sz w:val="20"/>
                <w:szCs w:val="20"/>
              </w:rPr>
              <w:t>)</w:t>
            </w:r>
          </w:p>
        </w:tc>
        <w:tc>
          <w:tcPr>
            <w:tcW w:w="1730" w:type="dxa"/>
            <w:tcBorders>
              <w:top w:val="single" w:sz="4" w:space="0" w:color="auto"/>
              <w:left w:val="nil"/>
              <w:bottom w:val="double" w:sz="6" w:space="0" w:color="auto"/>
              <w:right w:val="nil"/>
            </w:tcBorders>
            <w:shd w:val="clear" w:color="auto" w:fill="auto"/>
            <w:noWrap/>
            <w:vAlign w:val="bottom"/>
            <w:hideMark/>
          </w:tcPr>
          <w:p w14:paraId="029CE17F"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Max Rainfall Intensity (cm/</w:t>
            </w:r>
            <w:proofErr w:type="spellStart"/>
            <w:r w:rsidRPr="00925BB2">
              <w:rPr>
                <w:rFonts w:cstheme="minorHAnsi"/>
                <w:color w:val="000000"/>
                <w:sz w:val="20"/>
                <w:szCs w:val="20"/>
              </w:rPr>
              <w:t>hr</w:t>
            </w:r>
            <w:proofErr w:type="spellEnd"/>
            <w:r w:rsidRPr="00925BB2">
              <w:rPr>
                <w:rFonts w:cstheme="minorHAnsi"/>
                <w:color w:val="000000"/>
                <w:sz w:val="20"/>
                <w:szCs w:val="20"/>
              </w:rPr>
              <w:t>)</w:t>
            </w:r>
          </w:p>
        </w:tc>
        <w:tc>
          <w:tcPr>
            <w:tcW w:w="1800" w:type="dxa"/>
            <w:tcBorders>
              <w:top w:val="single" w:sz="4" w:space="0" w:color="auto"/>
              <w:left w:val="nil"/>
              <w:bottom w:val="double" w:sz="6" w:space="0" w:color="auto"/>
              <w:right w:val="nil"/>
            </w:tcBorders>
            <w:shd w:val="clear" w:color="auto" w:fill="auto"/>
            <w:noWrap/>
            <w:vAlign w:val="bottom"/>
            <w:hideMark/>
          </w:tcPr>
          <w:p w14:paraId="57838580"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Classification</w:t>
            </w:r>
          </w:p>
        </w:tc>
      </w:tr>
      <w:tr w:rsidR="000B63E4" w:rsidRPr="00925BB2" w14:paraId="4E9BF056" w14:textId="77777777" w:rsidTr="000B63E4">
        <w:trPr>
          <w:trHeight w:val="315"/>
        </w:trPr>
        <w:tc>
          <w:tcPr>
            <w:tcW w:w="960" w:type="dxa"/>
            <w:tcBorders>
              <w:top w:val="nil"/>
              <w:left w:val="nil"/>
              <w:bottom w:val="nil"/>
              <w:right w:val="nil"/>
            </w:tcBorders>
            <w:shd w:val="clear" w:color="auto" w:fill="auto"/>
            <w:noWrap/>
            <w:vAlign w:val="bottom"/>
            <w:hideMark/>
          </w:tcPr>
          <w:p w14:paraId="418C6557"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15-Nov</w:t>
            </w:r>
          </w:p>
        </w:tc>
        <w:tc>
          <w:tcPr>
            <w:tcW w:w="1380" w:type="dxa"/>
            <w:tcBorders>
              <w:top w:val="nil"/>
              <w:left w:val="nil"/>
              <w:bottom w:val="nil"/>
              <w:right w:val="nil"/>
            </w:tcBorders>
            <w:shd w:val="clear" w:color="auto" w:fill="auto"/>
            <w:noWrap/>
            <w:vAlign w:val="bottom"/>
            <w:hideMark/>
          </w:tcPr>
          <w:p w14:paraId="421899D7"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1.04</w:t>
            </w:r>
          </w:p>
        </w:tc>
        <w:tc>
          <w:tcPr>
            <w:tcW w:w="1960" w:type="dxa"/>
            <w:tcBorders>
              <w:top w:val="nil"/>
              <w:left w:val="nil"/>
              <w:bottom w:val="nil"/>
              <w:right w:val="nil"/>
            </w:tcBorders>
            <w:shd w:val="clear" w:color="auto" w:fill="auto"/>
            <w:noWrap/>
            <w:vAlign w:val="bottom"/>
            <w:hideMark/>
          </w:tcPr>
          <w:p w14:paraId="44D2A1C6"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2.5</w:t>
            </w:r>
          </w:p>
        </w:tc>
        <w:tc>
          <w:tcPr>
            <w:tcW w:w="1730" w:type="dxa"/>
            <w:tcBorders>
              <w:top w:val="nil"/>
              <w:left w:val="nil"/>
              <w:bottom w:val="nil"/>
              <w:right w:val="nil"/>
            </w:tcBorders>
            <w:shd w:val="clear" w:color="auto" w:fill="auto"/>
            <w:noWrap/>
            <w:vAlign w:val="bottom"/>
            <w:hideMark/>
          </w:tcPr>
          <w:p w14:paraId="5F950C82"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0.91</w:t>
            </w:r>
          </w:p>
        </w:tc>
        <w:tc>
          <w:tcPr>
            <w:tcW w:w="1800" w:type="dxa"/>
            <w:tcBorders>
              <w:top w:val="nil"/>
              <w:left w:val="nil"/>
              <w:bottom w:val="nil"/>
              <w:right w:val="nil"/>
            </w:tcBorders>
            <w:shd w:val="clear" w:color="auto" w:fill="auto"/>
            <w:noWrap/>
            <w:vAlign w:val="bottom"/>
            <w:hideMark/>
          </w:tcPr>
          <w:p w14:paraId="740DC06C"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Low Intensity</w:t>
            </w:r>
          </w:p>
        </w:tc>
      </w:tr>
      <w:tr w:rsidR="000B63E4" w:rsidRPr="00925BB2" w14:paraId="3E27AEF2" w14:textId="77777777" w:rsidTr="000B63E4">
        <w:trPr>
          <w:trHeight w:val="300"/>
        </w:trPr>
        <w:tc>
          <w:tcPr>
            <w:tcW w:w="960" w:type="dxa"/>
            <w:tcBorders>
              <w:top w:val="nil"/>
              <w:left w:val="nil"/>
              <w:bottom w:val="nil"/>
              <w:right w:val="nil"/>
            </w:tcBorders>
            <w:shd w:val="clear" w:color="auto" w:fill="auto"/>
            <w:noWrap/>
            <w:vAlign w:val="bottom"/>
            <w:hideMark/>
          </w:tcPr>
          <w:p w14:paraId="4F5FEBE2"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16-Nov</w:t>
            </w:r>
          </w:p>
        </w:tc>
        <w:tc>
          <w:tcPr>
            <w:tcW w:w="1380" w:type="dxa"/>
            <w:tcBorders>
              <w:top w:val="nil"/>
              <w:left w:val="nil"/>
              <w:bottom w:val="nil"/>
              <w:right w:val="nil"/>
            </w:tcBorders>
            <w:shd w:val="clear" w:color="auto" w:fill="auto"/>
            <w:noWrap/>
            <w:vAlign w:val="bottom"/>
            <w:hideMark/>
          </w:tcPr>
          <w:p w14:paraId="2DE9125F"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2.39</w:t>
            </w:r>
          </w:p>
        </w:tc>
        <w:tc>
          <w:tcPr>
            <w:tcW w:w="1960" w:type="dxa"/>
            <w:tcBorders>
              <w:top w:val="nil"/>
              <w:left w:val="nil"/>
              <w:bottom w:val="nil"/>
              <w:right w:val="nil"/>
            </w:tcBorders>
            <w:shd w:val="clear" w:color="auto" w:fill="auto"/>
            <w:noWrap/>
            <w:vAlign w:val="bottom"/>
            <w:hideMark/>
          </w:tcPr>
          <w:p w14:paraId="6172951C"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4.7</w:t>
            </w:r>
          </w:p>
        </w:tc>
        <w:tc>
          <w:tcPr>
            <w:tcW w:w="1730" w:type="dxa"/>
            <w:tcBorders>
              <w:top w:val="nil"/>
              <w:left w:val="nil"/>
              <w:bottom w:val="nil"/>
              <w:right w:val="nil"/>
            </w:tcBorders>
            <w:shd w:val="clear" w:color="auto" w:fill="auto"/>
            <w:noWrap/>
            <w:vAlign w:val="bottom"/>
            <w:hideMark/>
          </w:tcPr>
          <w:p w14:paraId="03CF41C5"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3.35</w:t>
            </w:r>
          </w:p>
        </w:tc>
        <w:tc>
          <w:tcPr>
            <w:tcW w:w="1800" w:type="dxa"/>
            <w:tcBorders>
              <w:top w:val="nil"/>
              <w:left w:val="nil"/>
              <w:bottom w:val="nil"/>
              <w:right w:val="nil"/>
            </w:tcBorders>
            <w:shd w:val="clear" w:color="auto" w:fill="auto"/>
            <w:noWrap/>
            <w:vAlign w:val="bottom"/>
            <w:hideMark/>
          </w:tcPr>
          <w:p w14:paraId="411AD9F0"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Extreme Intensity</w:t>
            </w:r>
          </w:p>
        </w:tc>
      </w:tr>
      <w:tr w:rsidR="000B63E4" w:rsidRPr="00925BB2" w14:paraId="00E04150" w14:textId="77777777" w:rsidTr="000B63E4">
        <w:trPr>
          <w:trHeight w:val="300"/>
        </w:trPr>
        <w:tc>
          <w:tcPr>
            <w:tcW w:w="960" w:type="dxa"/>
            <w:tcBorders>
              <w:top w:val="nil"/>
              <w:left w:val="nil"/>
              <w:bottom w:val="nil"/>
              <w:right w:val="nil"/>
            </w:tcBorders>
            <w:shd w:val="clear" w:color="auto" w:fill="auto"/>
            <w:noWrap/>
            <w:vAlign w:val="bottom"/>
            <w:hideMark/>
          </w:tcPr>
          <w:p w14:paraId="136F3CD4"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17-Nov</w:t>
            </w:r>
          </w:p>
        </w:tc>
        <w:tc>
          <w:tcPr>
            <w:tcW w:w="1380" w:type="dxa"/>
            <w:tcBorders>
              <w:top w:val="nil"/>
              <w:left w:val="nil"/>
              <w:bottom w:val="nil"/>
              <w:right w:val="nil"/>
            </w:tcBorders>
            <w:shd w:val="clear" w:color="auto" w:fill="auto"/>
            <w:noWrap/>
            <w:vAlign w:val="bottom"/>
            <w:hideMark/>
          </w:tcPr>
          <w:p w14:paraId="2D7D4C5C"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9.42</w:t>
            </w:r>
          </w:p>
        </w:tc>
        <w:tc>
          <w:tcPr>
            <w:tcW w:w="1960" w:type="dxa"/>
            <w:tcBorders>
              <w:top w:val="nil"/>
              <w:left w:val="nil"/>
              <w:bottom w:val="nil"/>
              <w:right w:val="nil"/>
            </w:tcBorders>
            <w:shd w:val="clear" w:color="auto" w:fill="auto"/>
            <w:noWrap/>
            <w:vAlign w:val="bottom"/>
            <w:hideMark/>
          </w:tcPr>
          <w:p w14:paraId="3AE739DE"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10.3</w:t>
            </w:r>
          </w:p>
        </w:tc>
        <w:tc>
          <w:tcPr>
            <w:tcW w:w="1730" w:type="dxa"/>
            <w:tcBorders>
              <w:top w:val="nil"/>
              <w:left w:val="nil"/>
              <w:bottom w:val="nil"/>
              <w:right w:val="nil"/>
            </w:tcBorders>
            <w:shd w:val="clear" w:color="auto" w:fill="auto"/>
            <w:noWrap/>
            <w:vAlign w:val="bottom"/>
            <w:hideMark/>
          </w:tcPr>
          <w:p w14:paraId="53A3C853"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7.32</w:t>
            </w:r>
          </w:p>
        </w:tc>
        <w:tc>
          <w:tcPr>
            <w:tcW w:w="1800" w:type="dxa"/>
            <w:tcBorders>
              <w:top w:val="nil"/>
              <w:left w:val="nil"/>
              <w:bottom w:val="nil"/>
              <w:right w:val="nil"/>
            </w:tcBorders>
            <w:shd w:val="clear" w:color="auto" w:fill="auto"/>
            <w:noWrap/>
            <w:vAlign w:val="bottom"/>
            <w:hideMark/>
          </w:tcPr>
          <w:p w14:paraId="4D48E75A"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Extreme Intensity</w:t>
            </w:r>
          </w:p>
        </w:tc>
      </w:tr>
      <w:tr w:rsidR="000B63E4" w:rsidRPr="00925BB2" w14:paraId="36864D0E" w14:textId="77777777" w:rsidTr="000B63E4">
        <w:trPr>
          <w:trHeight w:val="300"/>
        </w:trPr>
        <w:tc>
          <w:tcPr>
            <w:tcW w:w="960" w:type="dxa"/>
            <w:tcBorders>
              <w:top w:val="nil"/>
              <w:left w:val="nil"/>
              <w:bottom w:val="nil"/>
              <w:right w:val="nil"/>
            </w:tcBorders>
            <w:shd w:val="clear" w:color="auto" w:fill="auto"/>
            <w:noWrap/>
            <w:vAlign w:val="bottom"/>
            <w:hideMark/>
          </w:tcPr>
          <w:p w14:paraId="363656D5"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18-Nov</w:t>
            </w:r>
          </w:p>
        </w:tc>
        <w:tc>
          <w:tcPr>
            <w:tcW w:w="1380" w:type="dxa"/>
            <w:tcBorders>
              <w:top w:val="nil"/>
              <w:left w:val="nil"/>
              <w:bottom w:val="nil"/>
              <w:right w:val="nil"/>
            </w:tcBorders>
            <w:shd w:val="clear" w:color="auto" w:fill="auto"/>
            <w:noWrap/>
            <w:vAlign w:val="bottom"/>
            <w:hideMark/>
          </w:tcPr>
          <w:p w14:paraId="5DADE8C5"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960" w:type="dxa"/>
            <w:tcBorders>
              <w:top w:val="nil"/>
              <w:left w:val="nil"/>
              <w:bottom w:val="nil"/>
              <w:right w:val="nil"/>
            </w:tcBorders>
            <w:shd w:val="clear" w:color="auto" w:fill="auto"/>
            <w:noWrap/>
            <w:vAlign w:val="bottom"/>
            <w:hideMark/>
          </w:tcPr>
          <w:p w14:paraId="73C7A621"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w:t>
            </w:r>
          </w:p>
        </w:tc>
        <w:tc>
          <w:tcPr>
            <w:tcW w:w="1730" w:type="dxa"/>
            <w:tcBorders>
              <w:top w:val="nil"/>
              <w:left w:val="nil"/>
              <w:bottom w:val="nil"/>
              <w:right w:val="nil"/>
            </w:tcBorders>
            <w:shd w:val="clear" w:color="auto" w:fill="auto"/>
            <w:noWrap/>
            <w:vAlign w:val="bottom"/>
            <w:hideMark/>
          </w:tcPr>
          <w:p w14:paraId="4D3D34A7"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800" w:type="dxa"/>
            <w:tcBorders>
              <w:top w:val="nil"/>
              <w:left w:val="nil"/>
              <w:bottom w:val="nil"/>
              <w:right w:val="nil"/>
            </w:tcBorders>
            <w:shd w:val="clear" w:color="auto" w:fill="auto"/>
            <w:noWrap/>
            <w:vAlign w:val="bottom"/>
            <w:hideMark/>
          </w:tcPr>
          <w:p w14:paraId="4019BD77" w14:textId="77777777" w:rsidR="000B63E4" w:rsidRPr="00925BB2" w:rsidRDefault="000B63E4" w:rsidP="000B63E4">
            <w:pPr>
              <w:spacing w:after="0" w:line="240" w:lineRule="auto"/>
              <w:jc w:val="center"/>
              <w:rPr>
                <w:rFonts w:cstheme="minorHAnsi"/>
                <w:color w:val="000000"/>
                <w:sz w:val="20"/>
                <w:szCs w:val="20"/>
              </w:rPr>
            </w:pPr>
          </w:p>
        </w:tc>
      </w:tr>
      <w:tr w:rsidR="000B63E4" w:rsidRPr="00925BB2" w14:paraId="12EFEB4D" w14:textId="77777777" w:rsidTr="000B63E4">
        <w:trPr>
          <w:trHeight w:val="300"/>
        </w:trPr>
        <w:tc>
          <w:tcPr>
            <w:tcW w:w="960" w:type="dxa"/>
            <w:tcBorders>
              <w:top w:val="nil"/>
              <w:left w:val="nil"/>
              <w:bottom w:val="nil"/>
              <w:right w:val="nil"/>
            </w:tcBorders>
            <w:shd w:val="clear" w:color="auto" w:fill="auto"/>
            <w:noWrap/>
            <w:vAlign w:val="bottom"/>
            <w:hideMark/>
          </w:tcPr>
          <w:p w14:paraId="5946EF38"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19-Nov</w:t>
            </w:r>
          </w:p>
        </w:tc>
        <w:tc>
          <w:tcPr>
            <w:tcW w:w="1380" w:type="dxa"/>
            <w:tcBorders>
              <w:top w:val="nil"/>
              <w:left w:val="nil"/>
              <w:bottom w:val="nil"/>
              <w:right w:val="nil"/>
            </w:tcBorders>
            <w:shd w:val="clear" w:color="auto" w:fill="auto"/>
            <w:noWrap/>
            <w:vAlign w:val="bottom"/>
            <w:hideMark/>
          </w:tcPr>
          <w:p w14:paraId="11542F15"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960" w:type="dxa"/>
            <w:tcBorders>
              <w:top w:val="nil"/>
              <w:left w:val="nil"/>
              <w:bottom w:val="nil"/>
              <w:right w:val="nil"/>
            </w:tcBorders>
            <w:shd w:val="clear" w:color="auto" w:fill="auto"/>
            <w:noWrap/>
            <w:vAlign w:val="bottom"/>
            <w:hideMark/>
          </w:tcPr>
          <w:p w14:paraId="659EF625"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w:t>
            </w:r>
          </w:p>
        </w:tc>
        <w:tc>
          <w:tcPr>
            <w:tcW w:w="1730" w:type="dxa"/>
            <w:tcBorders>
              <w:top w:val="nil"/>
              <w:left w:val="nil"/>
              <w:bottom w:val="nil"/>
              <w:right w:val="nil"/>
            </w:tcBorders>
            <w:shd w:val="clear" w:color="auto" w:fill="auto"/>
            <w:noWrap/>
            <w:vAlign w:val="bottom"/>
            <w:hideMark/>
          </w:tcPr>
          <w:p w14:paraId="1E55C827"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800" w:type="dxa"/>
            <w:tcBorders>
              <w:top w:val="nil"/>
              <w:left w:val="nil"/>
              <w:bottom w:val="nil"/>
              <w:right w:val="nil"/>
            </w:tcBorders>
            <w:shd w:val="clear" w:color="auto" w:fill="auto"/>
            <w:noWrap/>
            <w:vAlign w:val="bottom"/>
            <w:hideMark/>
          </w:tcPr>
          <w:p w14:paraId="5BEC4A6C" w14:textId="77777777" w:rsidR="000B63E4" w:rsidRPr="00925BB2" w:rsidRDefault="000B63E4" w:rsidP="000B63E4">
            <w:pPr>
              <w:spacing w:after="0" w:line="240" w:lineRule="auto"/>
              <w:jc w:val="center"/>
              <w:rPr>
                <w:rFonts w:cstheme="minorHAnsi"/>
                <w:color w:val="000000"/>
                <w:sz w:val="20"/>
                <w:szCs w:val="20"/>
              </w:rPr>
            </w:pPr>
          </w:p>
        </w:tc>
      </w:tr>
      <w:tr w:rsidR="000B63E4" w:rsidRPr="00925BB2" w14:paraId="2A5DAD91" w14:textId="77777777" w:rsidTr="000B63E4">
        <w:trPr>
          <w:trHeight w:val="300"/>
        </w:trPr>
        <w:tc>
          <w:tcPr>
            <w:tcW w:w="960" w:type="dxa"/>
            <w:tcBorders>
              <w:top w:val="nil"/>
              <w:left w:val="nil"/>
              <w:bottom w:val="nil"/>
              <w:right w:val="nil"/>
            </w:tcBorders>
            <w:shd w:val="clear" w:color="auto" w:fill="auto"/>
            <w:noWrap/>
            <w:vAlign w:val="bottom"/>
            <w:hideMark/>
          </w:tcPr>
          <w:p w14:paraId="1922A930"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20-Nov</w:t>
            </w:r>
          </w:p>
        </w:tc>
        <w:tc>
          <w:tcPr>
            <w:tcW w:w="1380" w:type="dxa"/>
            <w:tcBorders>
              <w:top w:val="nil"/>
              <w:left w:val="nil"/>
              <w:bottom w:val="nil"/>
              <w:right w:val="nil"/>
            </w:tcBorders>
            <w:shd w:val="clear" w:color="auto" w:fill="auto"/>
            <w:noWrap/>
            <w:vAlign w:val="bottom"/>
            <w:hideMark/>
          </w:tcPr>
          <w:p w14:paraId="61C16376"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960" w:type="dxa"/>
            <w:tcBorders>
              <w:top w:val="nil"/>
              <w:left w:val="nil"/>
              <w:bottom w:val="nil"/>
              <w:right w:val="nil"/>
            </w:tcBorders>
            <w:shd w:val="clear" w:color="auto" w:fill="auto"/>
            <w:noWrap/>
            <w:vAlign w:val="bottom"/>
            <w:hideMark/>
          </w:tcPr>
          <w:p w14:paraId="53119B94"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w:t>
            </w:r>
          </w:p>
        </w:tc>
        <w:tc>
          <w:tcPr>
            <w:tcW w:w="1730" w:type="dxa"/>
            <w:tcBorders>
              <w:top w:val="nil"/>
              <w:left w:val="nil"/>
              <w:bottom w:val="nil"/>
              <w:right w:val="nil"/>
            </w:tcBorders>
            <w:shd w:val="clear" w:color="auto" w:fill="auto"/>
            <w:noWrap/>
            <w:vAlign w:val="bottom"/>
            <w:hideMark/>
          </w:tcPr>
          <w:p w14:paraId="658A6451"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800" w:type="dxa"/>
            <w:tcBorders>
              <w:top w:val="nil"/>
              <w:left w:val="nil"/>
              <w:bottom w:val="nil"/>
              <w:right w:val="nil"/>
            </w:tcBorders>
            <w:shd w:val="clear" w:color="auto" w:fill="auto"/>
            <w:noWrap/>
            <w:vAlign w:val="bottom"/>
            <w:hideMark/>
          </w:tcPr>
          <w:p w14:paraId="09375251" w14:textId="77777777" w:rsidR="000B63E4" w:rsidRPr="00925BB2" w:rsidRDefault="000B63E4" w:rsidP="000B63E4">
            <w:pPr>
              <w:spacing w:after="0" w:line="240" w:lineRule="auto"/>
              <w:jc w:val="center"/>
              <w:rPr>
                <w:rFonts w:cstheme="minorHAnsi"/>
                <w:color w:val="000000"/>
                <w:sz w:val="20"/>
                <w:szCs w:val="20"/>
              </w:rPr>
            </w:pPr>
          </w:p>
        </w:tc>
      </w:tr>
      <w:tr w:rsidR="000B63E4" w:rsidRPr="00925BB2" w14:paraId="4E6948FB" w14:textId="77777777" w:rsidTr="000B63E4">
        <w:trPr>
          <w:trHeight w:val="300"/>
        </w:trPr>
        <w:tc>
          <w:tcPr>
            <w:tcW w:w="960" w:type="dxa"/>
            <w:tcBorders>
              <w:top w:val="nil"/>
              <w:left w:val="nil"/>
              <w:bottom w:val="nil"/>
              <w:right w:val="nil"/>
            </w:tcBorders>
            <w:shd w:val="clear" w:color="000000" w:fill="D9D9D9"/>
            <w:noWrap/>
            <w:vAlign w:val="bottom"/>
            <w:hideMark/>
          </w:tcPr>
          <w:p w14:paraId="66D859BB"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21-Nov</w:t>
            </w:r>
          </w:p>
        </w:tc>
        <w:tc>
          <w:tcPr>
            <w:tcW w:w="1380" w:type="dxa"/>
            <w:tcBorders>
              <w:top w:val="nil"/>
              <w:left w:val="nil"/>
              <w:bottom w:val="nil"/>
              <w:right w:val="nil"/>
            </w:tcBorders>
            <w:shd w:val="clear" w:color="000000" w:fill="D9D9D9"/>
            <w:noWrap/>
            <w:vAlign w:val="bottom"/>
            <w:hideMark/>
          </w:tcPr>
          <w:p w14:paraId="14F754C5"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0.74</w:t>
            </w:r>
          </w:p>
        </w:tc>
        <w:tc>
          <w:tcPr>
            <w:tcW w:w="1960" w:type="dxa"/>
            <w:tcBorders>
              <w:top w:val="nil"/>
              <w:left w:val="nil"/>
              <w:bottom w:val="nil"/>
              <w:right w:val="nil"/>
            </w:tcBorders>
            <w:shd w:val="clear" w:color="000000" w:fill="D9D9D9"/>
            <w:noWrap/>
            <w:vAlign w:val="bottom"/>
            <w:hideMark/>
          </w:tcPr>
          <w:p w14:paraId="6F7BCA60"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2.3</w:t>
            </w:r>
          </w:p>
        </w:tc>
        <w:tc>
          <w:tcPr>
            <w:tcW w:w="1730" w:type="dxa"/>
            <w:tcBorders>
              <w:top w:val="nil"/>
              <w:left w:val="nil"/>
              <w:bottom w:val="nil"/>
              <w:right w:val="nil"/>
            </w:tcBorders>
            <w:shd w:val="clear" w:color="000000" w:fill="D9D9D9"/>
            <w:noWrap/>
            <w:vAlign w:val="bottom"/>
            <w:hideMark/>
          </w:tcPr>
          <w:p w14:paraId="7B0FC9A5"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0.61</w:t>
            </w:r>
          </w:p>
        </w:tc>
        <w:tc>
          <w:tcPr>
            <w:tcW w:w="1800" w:type="dxa"/>
            <w:tcBorders>
              <w:top w:val="nil"/>
              <w:left w:val="nil"/>
              <w:bottom w:val="nil"/>
              <w:right w:val="nil"/>
            </w:tcBorders>
            <w:shd w:val="clear" w:color="000000" w:fill="D9D9D9"/>
            <w:noWrap/>
            <w:vAlign w:val="bottom"/>
            <w:hideMark/>
          </w:tcPr>
          <w:p w14:paraId="27B7BA0D"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Low Intensity*</w:t>
            </w:r>
          </w:p>
        </w:tc>
      </w:tr>
      <w:tr w:rsidR="000B63E4" w:rsidRPr="00925BB2" w14:paraId="5A6A17D3" w14:textId="77777777" w:rsidTr="000B63E4">
        <w:trPr>
          <w:trHeight w:val="300"/>
        </w:trPr>
        <w:tc>
          <w:tcPr>
            <w:tcW w:w="960" w:type="dxa"/>
            <w:tcBorders>
              <w:top w:val="nil"/>
              <w:left w:val="nil"/>
              <w:bottom w:val="nil"/>
              <w:right w:val="nil"/>
            </w:tcBorders>
            <w:shd w:val="clear" w:color="000000" w:fill="D9D9D9"/>
            <w:noWrap/>
            <w:vAlign w:val="bottom"/>
            <w:hideMark/>
          </w:tcPr>
          <w:p w14:paraId="3821B13B"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22-Nov</w:t>
            </w:r>
          </w:p>
        </w:tc>
        <w:tc>
          <w:tcPr>
            <w:tcW w:w="1380" w:type="dxa"/>
            <w:tcBorders>
              <w:top w:val="nil"/>
              <w:left w:val="nil"/>
              <w:bottom w:val="nil"/>
              <w:right w:val="nil"/>
            </w:tcBorders>
            <w:shd w:val="clear" w:color="000000" w:fill="D9D9D9"/>
            <w:noWrap/>
            <w:vAlign w:val="bottom"/>
            <w:hideMark/>
          </w:tcPr>
          <w:p w14:paraId="7F98FB6C"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960" w:type="dxa"/>
            <w:tcBorders>
              <w:top w:val="nil"/>
              <w:left w:val="nil"/>
              <w:bottom w:val="nil"/>
              <w:right w:val="nil"/>
            </w:tcBorders>
            <w:shd w:val="clear" w:color="000000" w:fill="D9D9D9"/>
            <w:noWrap/>
            <w:vAlign w:val="bottom"/>
            <w:hideMark/>
          </w:tcPr>
          <w:p w14:paraId="2AF25A04"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w:t>
            </w:r>
          </w:p>
        </w:tc>
        <w:tc>
          <w:tcPr>
            <w:tcW w:w="1730" w:type="dxa"/>
            <w:tcBorders>
              <w:top w:val="nil"/>
              <w:left w:val="nil"/>
              <w:bottom w:val="nil"/>
              <w:right w:val="nil"/>
            </w:tcBorders>
            <w:shd w:val="clear" w:color="000000" w:fill="D9D9D9"/>
            <w:noWrap/>
            <w:vAlign w:val="bottom"/>
            <w:hideMark/>
          </w:tcPr>
          <w:p w14:paraId="2E7427FE"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800" w:type="dxa"/>
            <w:tcBorders>
              <w:top w:val="nil"/>
              <w:left w:val="nil"/>
              <w:bottom w:val="nil"/>
              <w:right w:val="nil"/>
            </w:tcBorders>
            <w:shd w:val="clear" w:color="000000" w:fill="D9D9D9"/>
            <w:noWrap/>
            <w:vAlign w:val="bottom"/>
            <w:hideMark/>
          </w:tcPr>
          <w:p w14:paraId="392EFB43" w14:textId="77777777" w:rsidR="000B63E4" w:rsidRPr="00925BB2" w:rsidRDefault="000B63E4" w:rsidP="000B63E4">
            <w:pPr>
              <w:spacing w:after="0" w:line="240" w:lineRule="auto"/>
              <w:jc w:val="center"/>
              <w:rPr>
                <w:rFonts w:cstheme="minorHAnsi"/>
                <w:color w:val="000000"/>
                <w:sz w:val="20"/>
                <w:szCs w:val="20"/>
              </w:rPr>
            </w:pPr>
          </w:p>
        </w:tc>
      </w:tr>
      <w:tr w:rsidR="000B63E4" w:rsidRPr="00925BB2" w14:paraId="1DB0D151" w14:textId="77777777" w:rsidTr="000B63E4">
        <w:trPr>
          <w:trHeight w:val="300"/>
        </w:trPr>
        <w:tc>
          <w:tcPr>
            <w:tcW w:w="960" w:type="dxa"/>
            <w:tcBorders>
              <w:top w:val="nil"/>
              <w:left w:val="nil"/>
              <w:bottom w:val="nil"/>
              <w:right w:val="nil"/>
            </w:tcBorders>
            <w:shd w:val="clear" w:color="000000" w:fill="D9D9D9"/>
            <w:noWrap/>
            <w:vAlign w:val="bottom"/>
            <w:hideMark/>
          </w:tcPr>
          <w:p w14:paraId="3320D55E"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23-Nov</w:t>
            </w:r>
          </w:p>
        </w:tc>
        <w:tc>
          <w:tcPr>
            <w:tcW w:w="1380" w:type="dxa"/>
            <w:tcBorders>
              <w:top w:val="nil"/>
              <w:left w:val="nil"/>
              <w:bottom w:val="nil"/>
              <w:right w:val="nil"/>
            </w:tcBorders>
            <w:shd w:val="clear" w:color="000000" w:fill="D9D9D9"/>
            <w:noWrap/>
            <w:vAlign w:val="bottom"/>
            <w:hideMark/>
          </w:tcPr>
          <w:p w14:paraId="0DA63737"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960" w:type="dxa"/>
            <w:tcBorders>
              <w:top w:val="nil"/>
              <w:left w:val="nil"/>
              <w:bottom w:val="nil"/>
              <w:right w:val="nil"/>
            </w:tcBorders>
            <w:shd w:val="clear" w:color="000000" w:fill="D9D9D9"/>
            <w:noWrap/>
            <w:vAlign w:val="bottom"/>
            <w:hideMark/>
          </w:tcPr>
          <w:p w14:paraId="3CA0F812"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w:t>
            </w:r>
          </w:p>
        </w:tc>
        <w:tc>
          <w:tcPr>
            <w:tcW w:w="1730" w:type="dxa"/>
            <w:tcBorders>
              <w:top w:val="nil"/>
              <w:left w:val="nil"/>
              <w:bottom w:val="nil"/>
              <w:right w:val="nil"/>
            </w:tcBorders>
            <w:shd w:val="clear" w:color="000000" w:fill="D9D9D9"/>
            <w:noWrap/>
            <w:vAlign w:val="bottom"/>
            <w:hideMark/>
          </w:tcPr>
          <w:p w14:paraId="0659A222"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800" w:type="dxa"/>
            <w:tcBorders>
              <w:top w:val="nil"/>
              <w:left w:val="nil"/>
              <w:bottom w:val="nil"/>
              <w:right w:val="nil"/>
            </w:tcBorders>
            <w:shd w:val="clear" w:color="000000" w:fill="D9D9D9"/>
            <w:noWrap/>
            <w:vAlign w:val="bottom"/>
            <w:hideMark/>
          </w:tcPr>
          <w:p w14:paraId="37ADB2CA" w14:textId="77777777" w:rsidR="000B63E4" w:rsidRPr="00925BB2" w:rsidRDefault="000B63E4" w:rsidP="000B63E4">
            <w:pPr>
              <w:spacing w:after="0" w:line="240" w:lineRule="auto"/>
              <w:jc w:val="center"/>
              <w:rPr>
                <w:rFonts w:cstheme="minorHAnsi"/>
                <w:color w:val="000000"/>
                <w:sz w:val="20"/>
                <w:szCs w:val="20"/>
              </w:rPr>
            </w:pPr>
          </w:p>
        </w:tc>
      </w:tr>
      <w:tr w:rsidR="000B63E4" w:rsidRPr="00925BB2" w14:paraId="18F5EF5E" w14:textId="77777777" w:rsidTr="000B63E4">
        <w:trPr>
          <w:trHeight w:val="300"/>
        </w:trPr>
        <w:tc>
          <w:tcPr>
            <w:tcW w:w="960" w:type="dxa"/>
            <w:tcBorders>
              <w:top w:val="nil"/>
              <w:left w:val="nil"/>
              <w:bottom w:val="nil"/>
              <w:right w:val="nil"/>
            </w:tcBorders>
            <w:shd w:val="clear" w:color="000000" w:fill="D9D9D9"/>
            <w:noWrap/>
            <w:vAlign w:val="bottom"/>
            <w:hideMark/>
          </w:tcPr>
          <w:p w14:paraId="235AD36A"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24-Nov</w:t>
            </w:r>
          </w:p>
        </w:tc>
        <w:tc>
          <w:tcPr>
            <w:tcW w:w="1380" w:type="dxa"/>
            <w:tcBorders>
              <w:top w:val="nil"/>
              <w:left w:val="nil"/>
              <w:bottom w:val="nil"/>
              <w:right w:val="nil"/>
            </w:tcBorders>
            <w:shd w:val="clear" w:color="000000" w:fill="D9D9D9"/>
            <w:noWrap/>
            <w:vAlign w:val="bottom"/>
            <w:hideMark/>
          </w:tcPr>
          <w:p w14:paraId="6E6D4BD1"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960" w:type="dxa"/>
            <w:tcBorders>
              <w:top w:val="nil"/>
              <w:left w:val="nil"/>
              <w:bottom w:val="nil"/>
              <w:right w:val="nil"/>
            </w:tcBorders>
            <w:shd w:val="clear" w:color="000000" w:fill="D9D9D9"/>
            <w:noWrap/>
            <w:vAlign w:val="bottom"/>
            <w:hideMark/>
          </w:tcPr>
          <w:p w14:paraId="7202879C"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w:t>
            </w:r>
          </w:p>
        </w:tc>
        <w:tc>
          <w:tcPr>
            <w:tcW w:w="1730" w:type="dxa"/>
            <w:tcBorders>
              <w:top w:val="nil"/>
              <w:left w:val="nil"/>
              <w:bottom w:val="nil"/>
              <w:right w:val="nil"/>
            </w:tcBorders>
            <w:shd w:val="clear" w:color="000000" w:fill="D9D9D9"/>
            <w:noWrap/>
            <w:vAlign w:val="bottom"/>
            <w:hideMark/>
          </w:tcPr>
          <w:p w14:paraId="66196115"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800" w:type="dxa"/>
            <w:tcBorders>
              <w:top w:val="nil"/>
              <w:left w:val="nil"/>
              <w:bottom w:val="nil"/>
              <w:right w:val="nil"/>
            </w:tcBorders>
            <w:shd w:val="clear" w:color="000000" w:fill="D9D9D9"/>
            <w:noWrap/>
            <w:vAlign w:val="bottom"/>
            <w:hideMark/>
          </w:tcPr>
          <w:p w14:paraId="76AE54BE" w14:textId="77777777" w:rsidR="000B63E4" w:rsidRPr="00925BB2" w:rsidRDefault="000B63E4" w:rsidP="000B63E4">
            <w:pPr>
              <w:spacing w:after="0" w:line="240" w:lineRule="auto"/>
              <w:jc w:val="center"/>
              <w:rPr>
                <w:rFonts w:cstheme="minorHAnsi"/>
                <w:color w:val="000000"/>
                <w:sz w:val="20"/>
                <w:szCs w:val="20"/>
              </w:rPr>
            </w:pPr>
          </w:p>
        </w:tc>
      </w:tr>
      <w:tr w:rsidR="000B63E4" w:rsidRPr="00925BB2" w14:paraId="5F878C25" w14:textId="77777777" w:rsidTr="000B63E4">
        <w:trPr>
          <w:trHeight w:val="300"/>
        </w:trPr>
        <w:tc>
          <w:tcPr>
            <w:tcW w:w="960" w:type="dxa"/>
            <w:tcBorders>
              <w:top w:val="nil"/>
              <w:left w:val="nil"/>
              <w:bottom w:val="nil"/>
              <w:right w:val="nil"/>
            </w:tcBorders>
            <w:shd w:val="clear" w:color="000000" w:fill="D9D9D9"/>
            <w:noWrap/>
            <w:vAlign w:val="bottom"/>
            <w:hideMark/>
          </w:tcPr>
          <w:p w14:paraId="2DECA3D2"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25-Nov</w:t>
            </w:r>
          </w:p>
        </w:tc>
        <w:tc>
          <w:tcPr>
            <w:tcW w:w="1380" w:type="dxa"/>
            <w:tcBorders>
              <w:top w:val="nil"/>
              <w:left w:val="nil"/>
              <w:bottom w:val="nil"/>
              <w:right w:val="nil"/>
            </w:tcBorders>
            <w:shd w:val="clear" w:color="000000" w:fill="D9D9D9"/>
            <w:noWrap/>
            <w:vAlign w:val="bottom"/>
            <w:hideMark/>
          </w:tcPr>
          <w:p w14:paraId="6A556B61"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960" w:type="dxa"/>
            <w:tcBorders>
              <w:top w:val="nil"/>
              <w:left w:val="nil"/>
              <w:bottom w:val="nil"/>
              <w:right w:val="nil"/>
            </w:tcBorders>
            <w:shd w:val="clear" w:color="000000" w:fill="D9D9D9"/>
            <w:noWrap/>
            <w:vAlign w:val="bottom"/>
            <w:hideMark/>
          </w:tcPr>
          <w:p w14:paraId="6A055C00"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w:t>
            </w:r>
          </w:p>
        </w:tc>
        <w:tc>
          <w:tcPr>
            <w:tcW w:w="1730" w:type="dxa"/>
            <w:tcBorders>
              <w:top w:val="nil"/>
              <w:left w:val="nil"/>
              <w:bottom w:val="nil"/>
              <w:right w:val="nil"/>
            </w:tcBorders>
            <w:shd w:val="clear" w:color="000000" w:fill="D9D9D9"/>
            <w:noWrap/>
            <w:vAlign w:val="bottom"/>
            <w:hideMark/>
          </w:tcPr>
          <w:p w14:paraId="6AA75E30"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800" w:type="dxa"/>
            <w:tcBorders>
              <w:top w:val="nil"/>
              <w:left w:val="nil"/>
              <w:bottom w:val="nil"/>
              <w:right w:val="nil"/>
            </w:tcBorders>
            <w:shd w:val="clear" w:color="000000" w:fill="D9D9D9"/>
            <w:noWrap/>
            <w:vAlign w:val="bottom"/>
            <w:hideMark/>
          </w:tcPr>
          <w:p w14:paraId="31D550BF" w14:textId="77777777" w:rsidR="000B63E4" w:rsidRPr="00925BB2" w:rsidRDefault="000B63E4" w:rsidP="000B63E4">
            <w:pPr>
              <w:spacing w:after="0" w:line="240" w:lineRule="auto"/>
              <w:jc w:val="center"/>
              <w:rPr>
                <w:rFonts w:cstheme="minorHAnsi"/>
                <w:color w:val="000000"/>
                <w:sz w:val="20"/>
                <w:szCs w:val="20"/>
              </w:rPr>
            </w:pPr>
          </w:p>
        </w:tc>
      </w:tr>
      <w:tr w:rsidR="000B63E4" w:rsidRPr="00925BB2" w14:paraId="62D9D4EF" w14:textId="77777777" w:rsidTr="000B63E4">
        <w:trPr>
          <w:trHeight w:val="300"/>
        </w:trPr>
        <w:tc>
          <w:tcPr>
            <w:tcW w:w="960" w:type="dxa"/>
            <w:tcBorders>
              <w:top w:val="nil"/>
              <w:left w:val="nil"/>
              <w:bottom w:val="nil"/>
              <w:right w:val="nil"/>
            </w:tcBorders>
            <w:shd w:val="clear" w:color="000000" w:fill="A6A6A6"/>
            <w:noWrap/>
            <w:vAlign w:val="bottom"/>
            <w:hideMark/>
          </w:tcPr>
          <w:p w14:paraId="6E1862B2"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26-Nov</w:t>
            </w:r>
          </w:p>
        </w:tc>
        <w:tc>
          <w:tcPr>
            <w:tcW w:w="1380" w:type="dxa"/>
            <w:tcBorders>
              <w:top w:val="nil"/>
              <w:left w:val="nil"/>
              <w:bottom w:val="nil"/>
              <w:right w:val="nil"/>
            </w:tcBorders>
            <w:shd w:val="clear" w:color="000000" w:fill="A6A6A6"/>
            <w:noWrap/>
            <w:vAlign w:val="bottom"/>
            <w:hideMark/>
          </w:tcPr>
          <w:p w14:paraId="388F3F26"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2.31</w:t>
            </w:r>
          </w:p>
        </w:tc>
        <w:tc>
          <w:tcPr>
            <w:tcW w:w="1960" w:type="dxa"/>
            <w:tcBorders>
              <w:top w:val="nil"/>
              <w:left w:val="nil"/>
              <w:bottom w:val="nil"/>
              <w:right w:val="nil"/>
            </w:tcBorders>
            <w:shd w:val="clear" w:color="000000" w:fill="A6A6A6"/>
            <w:noWrap/>
            <w:vAlign w:val="bottom"/>
            <w:hideMark/>
          </w:tcPr>
          <w:p w14:paraId="6A7671A3"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5.1</w:t>
            </w:r>
          </w:p>
        </w:tc>
        <w:tc>
          <w:tcPr>
            <w:tcW w:w="1730" w:type="dxa"/>
            <w:tcBorders>
              <w:top w:val="nil"/>
              <w:left w:val="nil"/>
              <w:bottom w:val="nil"/>
              <w:right w:val="nil"/>
            </w:tcBorders>
            <w:shd w:val="clear" w:color="000000" w:fill="A6A6A6"/>
            <w:noWrap/>
            <w:vAlign w:val="bottom"/>
            <w:hideMark/>
          </w:tcPr>
          <w:p w14:paraId="5CF27C70"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0.91</w:t>
            </w:r>
          </w:p>
        </w:tc>
        <w:tc>
          <w:tcPr>
            <w:tcW w:w="1800" w:type="dxa"/>
            <w:tcBorders>
              <w:top w:val="nil"/>
              <w:left w:val="nil"/>
              <w:bottom w:val="nil"/>
              <w:right w:val="nil"/>
            </w:tcBorders>
            <w:shd w:val="clear" w:color="000000" w:fill="A6A6A6"/>
            <w:noWrap/>
            <w:vAlign w:val="bottom"/>
            <w:hideMark/>
          </w:tcPr>
          <w:p w14:paraId="5D9CC90D"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Low Intensity</w:t>
            </w:r>
          </w:p>
        </w:tc>
      </w:tr>
      <w:tr w:rsidR="000B63E4" w:rsidRPr="00925BB2" w14:paraId="0FD34643" w14:textId="77777777" w:rsidTr="000B63E4">
        <w:trPr>
          <w:trHeight w:val="300"/>
        </w:trPr>
        <w:tc>
          <w:tcPr>
            <w:tcW w:w="960" w:type="dxa"/>
            <w:tcBorders>
              <w:top w:val="nil"/>
              <w:left w:val="nil"/>
              <w:bottom w:val="nil"/>
              <w:right w:val="nil"/>
            </w:tcBorders>
            <w:shd w:val="clear" w:color="000000" w:fill="A6A6A6"/>
            <w:noWrap/>
            <w:vAlign w:val="bottom"/>
            <w:hideMark/>
          </w:tcPr>
          <w:p w14:paraId="59CAAD2A"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27-Nov</w:t>
            </w:r>
          </w:p>
        </w:tc>
        <w:tc>
          <w:tcPr>
            <w:tcW w:w="1380" w:type="dxa"/>
            <w:tcBorders>
              <w:top w:val="nil"/>
              <w:left w:val="nil"/>
              <w:bottom w:val="nil"/>
              <w:right w:val="nil"/>
            </w:tcBorders>
            <w:shd w:val="clear" w:color="000000" w:fill="A6A6A6"/>
            <w:noWrap/>
            <w:vAlign w:val="bottom"/>
            <w:hideMark/>
          </w:tcPr>
          <w:p w14:paraId="4F620404"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6.35</w:t>
            </w:r>
          </w:p>
        </w:tc>
        <w:tc>
          <w:tcPr>
            <w:tcW w:w="1960" w:type="dxa"/>
            <w:tcBorders>
              <w:top w:val="nil"/>
              <w:left w:val="nil"/>
              <w:bottom w:val="nil"/>
              <w:right w:val="nil"/>
            </w:tcBorders>
            <w:shd w:val="clear" w:color="000000" w:fill="A6A6A6"/>
            <w:noWrap/>
            <w:vAlign w:val="bottom"/>
            <w:hideMark/>
          </w:tcPr>
          <w:p w14:paraId="7E40EC89"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11.3</w:t>
            </w:r>
          </w:p>
        </w:tc>
        <w:tc>
          <w:tcPr>
            <w:tcW w:w="1730" w:type="dxa"/>
            <w:tcBorders>
              <w:top w:val="nil"/>
              <w:left w:val="nil"/>
              <w:bottom w:val="nil"/>
              <w:right w:val="nil"/>
            </w:tcBorders>
            <w:shd w:val="clear" w:color="000000" w:fill="A6A6A6"/>
            <w:noWrap/>
            <w:vAlign w:val="bottom"/>
            <w:hideMark/>
          </w:tcPr>
          <w:p w14:paraId="1BBF30DE"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2.13</w:t>
            </w:r>
          </w:p>
        </w:tc>
        <w:tc>
          <w:tcPr>
            <w:tcW w:w="1800" w:type="dxa"/>
            <w:tcBorders>
              <w:top w:val="nil"/>
              <w:left w:val="nil"/>
              <w:bottom w:val="nil"/>
              <w:right w:val="nil"/>
            </w:tcBorders>
            <w:shd w:val="clear" w:color="000000" w:fill="A6A6A6"/>
            <w:noWrap/>
            <w:vAlign w:val="bottom"/>
            <w:hideMark/>
          </w:tcPr>
          <w:p w14:paraId="10C27A1C"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High Intensity</w:t>
            </w:r>
          </w:p>
        </w:tc>
      </w:tr>
      <w:tr w:rsidR="000B63E4" w:rsidRPr="00925BB2" w14:paraId="34FD1F9E" w14:textId="77777777" w:rsidTr="000B63E4">
        <w:trPr>
          <w:trHeight w:val="300"/>
        </w:trPr>
        <w:tc>
          <w:tcPr>
            <w:tcW w:w="960" w:type="dxa"/>
            <w:tcBorders>
              <w:top w:val="nil"/>
              <w:left w:val="nil"/>
              <w:bottom w:val="nil"/>
              <w:right w:val="nil"/>
            </w:tcBorders>
            <w:shd w:val="clear" w:color="000000" w:fill="A6A6A6"/>
            <w:noWrap/>
            <w:vAlign w:val="bottom"/>
            <w:hideMark/>
          </w:tcPr>
          <w:p w14:paraId="373B33C2"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28-Nov</w:t>
            </w:r>
          </w:p>
        </w:tc>
        <w:tc>
          <w:tcPr>
            <w:tcW w:w="1380" w:type="dxa"/>
            <w:tcBorders>
              <w:top w:val="nil"/>
              <w:left w:val="nil"/>
              <w:bottom w:val="nil"/>
              <w:right w:val="nil"/>
            </w:tcBorders>
            <w:shd w:val="clear" w:color="000000" w:fill="A6A6A6"/>
            <w:noWrap/>
            <w:vAlign w:val="bottom"/>
            <w:hideMark/>
          </w:tcPr>
          <w:p w14:paraId="753D74E3"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0.18</w:t>
            </w:r>
          </w:p>
        </w:tc>
        <w:tc>
          <w:tcPr>
            <w:tcW w:w="1960" w:type="dxa"/>
            <w:tcBorders>
              <w:top w:val="nil"/>
              <w:left w:val="nil"/>
              <w:bottom w:val="nil"/>
              <w:right w:val="nil"/>
            </w:tcBorders>
            <w:shd w:val="clear" w:color="000000" w:fill="A6A6A6"/>
            <w:noWrap/>
            <w:vAlign w:val="bottom"/>
            <w:hideMark/>
          </w:tcPr>
          <w:p w14:paraId="51BA1962"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0.6</w:t>
            </w:r>
          </w:p>
        </w:tc>
        <w:tc>
          <w:tcPr>
            <w:tcW w:w="1730" w:type="dxa"/>
            <w:tcBorders>
              <w:top w:val="nil"/>
              <w:left w:val="nil"/>
              <w:bottom w:val="nil"/>
              <w:right w:val="nil"/>
            </w:tcBorders>
            <w:shd w:val="clear" w:color="000000" w:fill="A6A6A6"/>
            <w:noWrap/>
            <w:vAlign w:val="bottom"/>
            <w:hideMark/>
          </w:tcPr>
          <w:p w14:paraId="6B6C943F"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0.30</w:t>
            </w:r>
          </w:p>
        </w:tc>
        <w:tc>
          <w:tcPr>
            <w:tcW w:w="1800" w:type="dxa"/>
            <w:tcBorders>
              <w:top w:val="nil"/>
              <w:left w:val="nil"/>
              <w:bottom w:val="nil"/>
              <w:right w:val="nil"/>
            </w:tcBorders>
            <w:shd w:val="clear" w:color="000000" w:fill="A6A6A6"/>
            <w:noWrap/>
            <w:vAlign w:val="bottom"/>
            <w:hideMark/>
          </w:tcPr>
          <w:p w14:paraId="3F803850"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Low Intensity</w:t>
            </w:r>
          </w:p>
        </w:tc>
      </w:tr>
      <w:tr w:rsidR="000B63E4" w:rsidRPr="00925BB2" w14:paraId="5DB4E763" w14:textId="77777777" w:rsidTr="000B63E4">
        <w:trPr>
          <w:trHeight w:val="300"/>
        </w:trPr>
        <w:tc>
          <w:tcPr>
            <w:tcW w:w="960" w:type="dxa"/>
            <w:tcBorders>
              <w:top w:val="nil"/>
              <w:left w:val="nil"/>
              <w:bottom w:val="nil"/>
              <w:right w:val="nil"/>
            </w:tcBorders>
            <w:shd w:val="clear" w:color="000000" w:fill="A6A6A6"/>
            <w:noWrap/>
            <w:vAlign w:val="bottom"/>
            <w:hideMark/>
          </w:tcPr>
          <w:p w14:paraId="6DB2BFF8"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29-Nov</w:t>
            </w:r>
          </w:p>
        </w:tc>
        <w:tc>
          <w:tcPr>
            <w:tcW w:w="1380" w:type="dxa"/>
            <w:tcBorders>
              <w:top w:val="nil"/>
              <w:left w:val="nil"/>
              <w:bottom w:val="nil"/>
              <w:right w:val="nil"/>
            </w:tcBorders>
            <w:shd w:val="clear" w:color="000000" w:fill="A6A6A6"/>
            <w:noWrap/>
            <w:vAlign w:val="bottom"/>
            <w:hideMark/>
          </w:tcPr>
          <w:p w14:paraId="7D7B898C"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0.43</w:t>
            </w:r>
          </w:p>
        </w:tc>
        <w:tc>
          <w:tcPr>
            <w:tcW w:w="1960" w:type="dxa"/>
            <w:tcBorders>
              <w:top w:val="nil"/>
              <w:left w:val="nil"/>
              <w:bottom w:val="nil"/>
              <w:right w:val="nil"/>
            </w:tcBorders>
            <w:shd w:val="clear" w:color="000000" w:fill="A6A6A6"/>
            <w:noWrap/>
            <w:vAlign w:val="bottom"/>
            <w:hideMark/>
          </w:tcPr>
          <w:p w14:paraId="0758B4D4"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1.3</w:t>
            </w:r>
          </w:p>
        </w:tc>
        <w:tc>
          <w:tcPr>
            <w:tcW w:w="1730" w:type="dxa"/>
            <w:tcBorders>
              <w:top w:val="nil"/>
              <w:left w:val="nil"/>
              <w:bottom w:val="nil"/>
              <w:right w:val="nil"/>
            </w:tcBorders>
            <w:shd w:val="clear" w:color="000000" w:fill="A6A6A6"/>
            <w:noWrap/>
            <w:vAlign w:val="bottom"/>
            <w:hideMark/>
          </w:tcPr>
          <w:p w14:paraId="711DCAF5"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0.61</w:t>
            </w:r>
          </w:p>
        </w:tc>
        <w:tc>
          <w:tcPr>
            <w:tcW w:w="1800" w:type="dxa"/>
            <w:tcBorders>
              <w:top w:val="nil"/>
              <w:left w:val="nil"/>
              <w:bottom w:val="nil"/>
              <w:right w:val="nil"/>
            </w:tcBorders>
            <w:shd w:val="clear" w:color="000000" w:fill="A6A6A6"/>
            <w:noWrap/>
            <w:vAlign w:val="bottom"/>
            <w:hideMark/>
          </w:tcPr>
          <w:p w14:paraId="1EFFFDB6"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Low Intensity</w:t>
            </w:r>
          </w:p>
        </w:tc>
      </w:tr>
      <w:tr w:rsidR="000B63E4" w:rsidRPr="00925BB2" w14:paraId="0FC7ACD8" w14:textId="77777777" w:rsidTr="000B63E4">
        <w:trPr>
          <w:trHeight w:val="300"/>
        </w:trPr>
        <w:tc>
          <w:tcPr>
            <w:tcW w:w="960" w:type="dxa"/>
            <w:tcBorders>
              <w:top w:val="nil"/>
              <w:left w:val="nil"/>
              <w:bottom w:val="nil"/>
              <w:right w:val="nil"/>
            </w:tcBorders>
            <w:shd w:val="clear" w:color="000000" w:fill="A6A6A6"/>
            <w:noWrap/>
            <w:vAlign w:val="bottom"/>
            <w:hideMark/>
          </w:tcPr>
          <w:p w14:paraId="001DAA9E"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30-Nov</w:t>
            </w:r>
          </w:p>
        </w:tc>
        <w:tc>
          <w:tcPr>
            <w:tcW w:w="1380" w:type="dxa"/>
            <w:tcBorders>
              <w:top w:val="nil"/>
              <w:left w:val="nil"/>
              <w:bottom w:val="nil"/>
              <w:right w:val="nil"/>
            </w:tcBorders>
            <w:shd w:val="clear" w:color="000000" w:fill="A6A6A6"/>
            <w:noWrap/>
            <w:vAlign w:val="bottom"/>
            <w:hideMark/>
          </w:tcPr>
          <w:p w14:paraId="0D272739"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0.25</w:t>
            </w:r>
          </w:p>
        </w:tc>
        <w:tc>
          <w:tcPr>
            <w:tcW w:w="1960" w:type="dxa"/>
            <w:tcBorders>
              <w:top w:val="nil"/>
              <w:left w:val="nil"/>
              <w:bottom w:val="nil"/>
              <w:right w:val="nil"/>
            </w:tcBorders>
            <w:shd w:val="clear" w:color="000000" w:fill="A6A6A6"/>
            <w:noWrap/>
            <w:vAlign w:val="bottom"/>
            <w:hideMark/>
          </w:tcPr>
          <w:p w14:paraId="3218758C"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0.8</w:t>
            </w:r>
          </w:p>
        </w:tc>
        <w:tc>
          <w:tcPr>
            <w:tcW w:w="1730" w:type="dxa"/>
            <w:tcBorders>
              <w:top w:val="nil"/>
              <w:left w:val="nil"/>
              <w:bottom w:val="nil"/>
              <w:right w:val="nil"/>
            </w:tcBorders>
            <w:shd w:val="clear" w:color="000000" w:fill="A6A6A6"/>
            <w:noWrap/>
            <w:vAlign w:val="bottom"/>
            <w:hideMark/>
          </w:tcPr>
          <w:p w14:paraId="6F625AC8"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0.30</w:t>
            </w:r>
          </w:p>
        </w:tc>
        <w:tc>
          <w:tcPr>
            <w:tcW w:w="1800" w:type="dxa"/>
            <w:tcBorders>
              <w:top w:val="nil"/>
              <w:left w:val="nil"/>
              <w:bottom w:val="nil"/>
              <w:right w:val="nil"/>
            </w:tcBorders>
            <w:shd w:val="clear" w:color="000000" w:fill="A6A6A6"/>
            <w:noWrap/>
            <w:vAlign w:val="bottom"/>
            <w:hideMark/>
          </w:tcPr>
          <w:p w14:paraId="2B41A0EF"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Low Intensity</w:t>
            </w:r>
          </w:p>
        </w:tc>
      </w:tr>
      <w:tr w:rsidR="000B63E4" w:rsidRPr="00925BB2" w14:paraId="765B8593" w14:textId="77777777" w:rsidTr="000B63E4">
        <w:trPr>
          <w:trHeight w:val="300"/>
        </w:trPr>
        <w:tc>
          <w:tcPr>
            <w:tcW w:w="960" w:type="dxa"/>
            <w:tcBorders>
              <w:top w:val="nil"/>
              <w:left w:val="nil"/>
              <w:bottom w:val="nil"/>
              <w:right w:val="nil"/>
            </w:tcBorders>
            <w:shd w:val="clear" w:color="000000" w:fill="A6A6A6"/>
            <w:noWrap/>
            <w:vAlign w:val="bottom"/>
            <w:hideMark/>
          </w:tcPr>
          <w:p w14:paraId="7A3EA0E6"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1-Dec</w:t>
            </w:r>
          </w:p>
        </w:tc>
        <w:tc>
          <w:tcPr>
            <w:tcW w:w="1380" w:type="dxa"/>
            <w:tcBorders>
              <w:top w:val="nil"/>
              <w:left w:val="nil"/>
              <w:bottom w:val="nil"/>
              <w:right w:val="nil"/>
            </w:tcBorders>
            <w:shd w:val="clear" w:color="000000" w:fill="A6A6A6"/>
            <w:noWrap/>
            <w:vAlign w:val="bottom"/>
            <w:hideMark/>
          </w:tcPr>
          <w:p w14:paraId="4FAF8DDE"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0.03</w:t>
            </w:r>
          </w:p>
        </w:tc>
        <w:tc>
          <w:tcPr>
            <w:tcW w:w="1960" w:type="dxa"/>
            <w:tcBorders>
              <w:top w:val="nil"/>
              <w:left w:val="nil"/>
              <w:bottom w:val="nil"/>
              <w:right w:val="nil"/>
            </w:tcBorders>
            <w:shd w:val="clear" w:color="000000" w:fill="A6A6A6"/>
            <w:noWrap/>
            <w:vAlign w:val="bottom"/>
            <w:hideMark/>
          </w:tcPr>
          <w:p w14:paraId="1CE2504C"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0.1</w:t>
            </w:r>
          </w:p>
        </w:tc>
        <w:tc>
          <w:tcPr>
            <w:tcW w:w="1730" w:type="dxa"/>
            <w:tcBorders>
              <w:top w:val="nil"/>
              <w:left w:val="nil"/>
              <w:bottom w:val="nil"/>
              <w:right w:val="nil"/>
            </w:tcBorders>
            <w:shd w:val="clear" w:color="000000" w:fill="A6A6A6"/>
            <w:noWrap/>
            <w:vAlign w:val="bottom"/>
            <w:hideMark/>
          </w:tcPr>
          <w:p w14:paraId="312F3480"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0.30</w:t>
            </w:r>
          </w:p>
        </w:tc>
        <w:tc>
          <w:tcPr>
            <w:tcW w:w="1800" w:type="dxa"/>
            <w:tcBorders>
              <w:top w:val="nil"/>
              <w:left w:val="nil"/>
              <w:bottom w:val="nil"/>
              <w:right w:val="nil"/>
            </w:tcBorders>
            <w:shd w:val="clear" w:color="000000" w:fill="A6A6A6"/>
            <w:noWrap/>
            <w:vAlign w:val="bottom"/>
            <w:hideMark/>
          </w:tcPr>
          <w:p w14:paraId="7AFDD183"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Low Intensity</w:t>
            </w:r>
          </w:p>
        </w:tc>
      </w:tr>
      <w:tr w:rsidR="000B63E4" w:rsidRPr="00925BB2" w14:paraId="75E86E70" w14:textId="77777777" w:rsidTr="000B63E4">
        <w:trPr>
          <w:trHeight w:val="300"/>
        </w:trPr>
        <w:tc>
          <w:tcPr>
            <w:tcW w:w="960" w:type="dxa"/>
            <w:tcBorders>
              <w:top w:val="nil"/>
              <w:left w:val="nil"/>
              <w:bottom w:val="nil"/>
              <w:right w:val="nil"/>
            </w:tcBorders>
            <w:shd w:val="clear" w:color="000000" w:fill="D9D9D9"/>
            <w:noWrap/>
            <w:vAlign w:val="bottom"/>
            <w:hideMark/>
          </w:tcPr>
          <w:p w14:paraId="30204354"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2-Dec</w:t>
            </w:r>
          </w:p>
        </w:tc>
        <w:tc>
          <w:tcPr>
            <w:tcW w:w="1380" w:type="dxa"/>
            <w:tcBorders>
              <w:top w:val="nil"/>
              <w:left w:val="nil"/>
              <w:bottom w:val="nil"/>
              <w:right w:val="nil"/>
            </w:tcBorders>
            <w:shd w:val="clear" w:color="000000" w:fill="D9D9D9"/>
            <w:noWrap/>
            <w:vAlign w:val="bottom"/>
            <w:hideMark/>
          </w:tcPr>
          <w:p w14:paraId="60C3A8C8"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960" w:type="dxa"/>
            <w:tcBorders>
              <w:top w:val="nil"/>
              <w:left w:val="nil"/>
              <w:bottom w:val="nil"/>
              <w:right w:val="nil"/>
            </w:tcBorders>
            <w:shd w:val="clear" w:color="000000" w:fill="D9D9D9"/>
            <w:noWrap/>
            <w:vAlign w:val="bottom"/>
            <w:hideMark/>
          </w:tcPr>
          <w:p w14:paraId="4D2EF47F"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w:t>
            </w:r>
          </w:p>
        </w:tc>
        <w:tc>
          <w:tcPr>
            <w:tcW w:w="1730" w:type="dxa"/>
            <w:tcBorders>
              <w:top w:val="nil"/>
              <w:left w:val="nil"/>
              <w:bottom w:val="nil"/>
              <w:right w:val="nil"/>
            </w:tcBorders>
            <w:shd w:val="clear" w:color="000000" w:fill="D9D9D9"/>
            <w:noWrap/>
            <w:vAlign w:val="bottom"/>
            <w:hideMark/>
          </w:tcPr>
          <w:p w14:paraId="1D667EEF"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800" w:type="dxa"/>
            <w:tcBorders>
              <w:top w:val="nil"/>
              <w:left w:val="nil"/>
              <w:bottom w:val="nil"/>
              <w:right w:val="nil"/>
            </w:tcBorders>
            <w:shd w:val="clear" w:color="000000" w:fill="D9D9D9"/>
            <w:noWrap/>
            <w:vAlign w:val="bottom"/>
            <w:hideMark/>
          </w:tcPr>
          <w:p w14:paraId="002065A7" w14:textId="77777777" w:rsidR="000B63E4" w:rsidRPr="00925BB2" w:rsidRDefault="000B63E4" w:rsidP="000B63E4">
            <w:pPr>
              <w:spacing w:after="0" w:line="240" w:lineRule="auto"/>
              <w:jc w:val="center"/>
              <w:rPr>
                <w:rFonts w:cstheme="minorHAnsi"/>
                <w:color w:val="000000"/>
                <w:sz w:val="20"/>
                <w:szCs w:val="20"/>
              </w:rPr>
            </w:pPr>
          </w:p>
        </w:tc>
      </w:tr>
      <w:tr w:rsidR="000B63E4" w:rsidRPr="00925BB2" w14:paraId="504B6CB4" w14:textId="77777777" w:rsidTr="000B63E4">
        <w:trPr>
          <w:trHeight w:val="300"/>
        </w:trPr>
        <w:tc>
          <w:tcPr>
            <w:tcW w:w="960" w:type="dxa"/>
            <w:tcBorders>
              <w:top w:val="nil"/>
              <w:left w:val="nil"/>
              <w:bottom w:val="nil"/>
              <w:right w:val="nil"/>
            </w:tcBorders>
            <w:shd w:val="clear" w:color="000000" w:fill="D9D9D9"/>
            <w:noWrap/>
            <w:vAlign w:val="bottom"/>
            <w:hideMark/>
          </w:tcPr>
          <w:p w14:paraId="70E1B66C"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3-Dec</w:t>
            </w:r>
          </w:p>
        </w:tc>
        <w:tc>
          <w:tcPr>
            <w:tcW w:w="1380" w:type="dxa"/>
            <w:tcBorders>
              <w:top w:val="nil"/>
              <w:left w:val="nil"/>
              <w:bottom w:val="nil"/>
              <w:right w:val="nil"/>
            </w:tcBorders>
            <w:shd w:val="clear" w:color="000000" w:fill="D9D9D9"/>
            <w:noWrap/>
            <w:vAlign w:val="bottom"/>
            <w:hideMark/>
          </w:tcPr>
          <w:p w14:paraId="1E203F81"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960" w:type="dxa"/>
            <w:tcBorders>
              <w:top w:val="nil"/>
              <w:left w:val="nil"/>
              <w:bottom w:val="nil"/>
              <w:right w:val="nil"/>
            </w:tcBorders>
            <w:shd w:val="clear" w:color="000000" w:fill="D9D9D9"/>
            <w:noWrap/>
            <w:vAlign w:val="bottom"/>
            <w:hideMark/>
          </w:tcPr>
          <w:p w14:paraId="5630EB7D"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w:t>
            </w:r>
          </w:p>
        </w:tc>
        <w:tc>
          <w:tcPr>
            <w:tcW w:w="1730" w:type="dxa"/>
            <w:tcBorders>
              <w:top w:val="nil"/>
              <w:left w:val="nil"/>
              <w:bottom w:val="nil"/>
              <w:right w:val="nil"/>
            </w:tcBorders>
            <w:shd w:val="clear" w:color="000000" w:fill="D9D9D9"/>
            <w:noWrap/>
            <w:vAlign w:val="bottom"/>
            <w:hideMark/>
          </w:tcPr>
          <w:p w14:paraId="2DC6FA05"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800" w:type="dxa"/>
            <w:tcBorders>
              <w:top w:val="nil"/>
              <w:left w:val="nil"/>
              <w:bottom w:val="nil"/>
              <w:right w:val="nil"/>
            </w:tcBorders>
            <w:shd w:val="clear" w:color="000000" w:fill="D9D9D9"/>
            <w:noWrap/>
            <w:vAlign w:val="bottom"/>
            <w:hideMark/>
          </w:tcPr>
          <w:p w14:paraId="457262F7" w14:textId="77777777" w:rsidR="000B63E4" w:rsidRPr="00925BB2" w:rsidRDefault="000B63E4" w:rsidP="000B63E4">
            <w:pPr>
              <w:spacing w:after="0" w:line="240" w:lineRule="auto"/>
              <w:jc w:val="center"/>
              <w:rPr>
                <w:rFonts w:cstheme="minorHAnsi"/>
                <w:color w:val="000000"/>
                <w:sz w:val="20"/>
                <w:szCs w:val="20"/>
              </w:rPr>
            </w:pPr>
          </w:p>
        </w:tc>
      </w:tr>
      <w:tr w:rsidR="000B63E4" w:rsidRPr="00925BB2" w14:paraId="14717F1C" w14:textId="77777777" w:rsidTr="000B63E4">
        <w:trPr>
          <w:trHeight w:val="300"/>
        </w:trPr>
        <w:tc>
          <w:tcPr>
            <w:tcW w:w="960" w:type="dxa"/>
            <w:tcBorders>
              <w:top w:val="nil"/>
              <w:left w:val="nil"/>
              <w:bottom w:val="nil"/>
              <w:right w:val="nil"/>
            </w:tcBorders>
            <w:shd w:val="clear" w:color="000000" w:fill="D9D9D9"/>
            <w:noWrap/>
            <w:vAlign w:val="bottom"/>
            <w:hideMark/>
          </w:tcPr>
          <w:p w14:paraId="78962076"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4-Dec</w:t>
            </w:r>
          </w:p>
        </w:tc>
        <w:tc>
          <w:tcPr>
            <w:tcW w:w="1380" w:type="dxa"/>
            <w:tcBorders>
              <w:top w:val="nil"/>
              <w:left w:val="nil"/>
              <w:bottom w:val="nil"/>
              <w:right w:val="nil"/>
            </w:tcBorders>
            <w:shd w:val="clear" w:color="000000" w:fill="D9D9D9"/>
            <w:noWrap/>
            <w:vAlign w:val="bottom"/>
            <w:hideMark/>
          </w:tcPr>
          <w:p w14:paraId="32683E5D"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960" w:type="dxa"/>
            <w:tcBorders>
              <w:top w:val="nil"/>
              <w:left w:val="nil"/>
              <w:bottom w:val="nil"/>
              <w:right w:val="nil"/>
            </w:tcBorders>
            <w:shd w:val="clear" w:color="000000" w:fill="D9D9D9"/>
            <w:noWrap/>
            <w:vAlign w:val="bottom"/>
            <w:hideMark/>
          </w:tcPr>
          <w:p w14:paraId="642D340C"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w:t>
            </w:r>
          </w:p>
        </w:tc>
        <w:tc>
          <w:tcPr>
            <w:tcW w:w="1730" w:type="dxa"/>
            <w:tcBorders>
              <w:top w:val="nil"/>
              <w:left w:val="nil"/>
              <w:bottom w:val="nil"/>
              <w:right w:val="nil"/>
            </w:tcBorders>
            <w:shd w:val="clear" w:color="000000" w:fill="D9D9D9"/>
            <w:noWrap/>
            <w:vAlign w:val="bottom"/>
            <w:hideMark/>
          </w:tcPr>
          <w:p w14:paraId="3532AE64"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800" w:type="dxa"/>
            <w:tcBorders>
              <w:top w:val="nil"/>
              <w:left w:val="nil"/>
              <w:bottom w:val="nil"/>
              <w:right w:val="nil"/>
            </w:tcBorders>
            <w:shd w:val="clear" w:color="000000" w:fill="D9D9D9"/>
            <w:noWrap/>
            <w:vAlign w:val="bottom"/>
            <w:hideMark/>
          </w:tcPr>
          <w:p w14:paraId="7458F9BB" w14:textId="77777777" w:rsidR="000B63E4" w:rsidRPr="00925BB2" w:rsidRDefault="000B63E4" w:rsidP="000B63E4">
            <w:pPr>
              <w:spacing w:after="0" w:line="240" w:lineRule="auto"/>
              <w:jc w:val="center"/>
              <w:rPr>
                <w:rFonts w:cstheme="minorHAnsi"/>
                <w:color w:val="000000"/>
                <w:sz w:val="20"/>
                <w:szCs w:val="20"/>
              </w:rPr>
            </w:pPr>
          </w:p>
        </w:tc>
      </w:tr>
      <w:tr w:rsidR="000B63E4" w:rsidRPr="00925BB2" w14:paraId="376F46DA" w14:textId="77777777" w:rsidTr="000B63E4">
        <w:trPr>
          <w:trHeight w:val="300"/>
        </w:trPr>
        <w:tc>
          <w:tcPr>
            <w:tcW w:w="960" w:type="dxa"/>
            <w:tcBorders>
              <w:top w:val="nil"/>
              <w:left w:val="nil"/>
              <w:bottom w:val="nil"/>
              <w:right w:val="nil"/>
            </w:tcBorders>
            <w:shd w:val="clear" w:color="000000" w:fill="D9D9D9"/>
            <w:noWrap/>
            <w:vAlign w:val="bottom"/>
            <w:hideMark/>
          </w:tcPr>
          <w:p w14:paraId="61261888"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5-Dec</w:t>
            </w:r>
          </w:p>
        </w:tc>
        <w:tc>
          <w:tcPr>
            <w:tcW w:w="1380" w:type="dxa"/>
            <w:tcBorders>
              <w:top w:val="nil"/>
              <w:left w:val="nil"/>
              <w:bottom w:val="nil"/>
              <w:right w:val="nil"/>
            </w:tcBorders>
            <w:shd w:val="clear" w:color="000000" w:fill="D9D9D9"/>
            <w:noWrap/>
            <w:vAlign w:val="bottom"/>
            <w:hideMark/>
          </w:tcPr>
          <w:p w14:paraId="0D87FE90"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960" w:type="dxa"/>
            <w:tcBorders>
              <w:top w:val="nil"/>
              <w:left w:val="nil"/>
              <w:bottom w:val="nil"/>
              <w:right w:val="nil"/>
            </w:tcBorders>
            <w:shd w:val="clear" w:color="000000" w:fill="D9D9D9"/>
            <w:noWrap/>
            <w:vAlign w:val="bottom"/>
            <w:hideMark/>
          </w:tcPr>
          <w:p w14:paraId="353D9608"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w:t>
            </w:r>
          </w:p>
        </w:tc>
        <w:tc>
          <w:tcPr>
            <w:tcW w:w="1730" w:type="dxa"/>
            <w:tcBorders>
              <w:top w:val="nil"/>
              <w:left w:val="nil"/>
              <w:bottom w:val="nil"/>
              <w:right w:val="nil"/>
            </w:tcBorders>
            <w:shd w:val="clear" w:color="000000" w:fill="D9D9D9"/>
            <w:noWrap/>
            <w:vAlign w:val="bottom"/>
            <w:hideMark/>
          </w:tcPr>
          <w:p w14:paraId="16B181D5"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800" w:type="dxa"/>
            <w:tcBorders>
              <w:top w:val="nil"/>
              <w:left w:val="nil"/>
              <w:bottom w:val="nil"/>
              <w:right w:val="nil"/>
            </w:tcBorders>
            <w:shd w:val="clear" w:color="000000" w:fill="D9D9D9"/>
            <w:noWrap/>
            <w:vAlign w:val="bottom"/>
            <w:hideMark/>
          </w:tcPr>
          <w:p w14:paraId="32CE8273" w14:textId="77777777" w:rsidR="000B63E4" w:rsidRPr="00925BB2" w:rsidRDefault="000B63E4" w:rsidP="000B63E4">
            <w:pPr>
              <w:spacing w:after="0" w:line="240" w:lineRule="auto"/>
              <w:jc w:val="center"/>
              <w:rPr>
                <w:rFonts w:cstheme="minorHAnsi"/>
                <w:color w:val="000000"/>
                <w:sz w:val="20"/>
                <w:szCs w:val="20"/>
              </w:rPr>
            </w:pPr>
          </w:p>
        </w:tc>
      </w:tr>
      <w:tr w:rsidR="000B63E4" w:rsidRPr="00925BB2" w14:paraId="0AFC5C9B" w14:textId="77777777" w:rsidTr="000B63E4">
        <w:trPr>
          <w:trHeight w:val="300"/>
        </w:trPr>
        <w:tc>
          <w:tcPr>
            <w:tcW w:w="960" w:type="dxa"/>
            <w:tcBorders>
              <w:top w:val="nil"/>
              <w:left w:val="nil"/>
              <w:bottom w:val="single" w:sz="4" w:space="0" w:color="auto"/>
              <w:right w:val="nil"/>
            </w:tcBorders>
            <w:shd w:val="clear" w:color="000000" w:fill="D9D9D9"/>
            <w:noWrap/>
            <w:vAlign w:val="bottom"/>
            <w:hideMark/>
          </w:tcPr>
          <w:p w14:paraId="42FDE134"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6-Dec</w:t>
            </w:r>
          </w:p>
        </w:tc>
        <w:tc>
          <w:tcPr>
            <w:tcW w:w="1380" w:type="dxa"/>
            <w:tcBorders>
              <w:top w:val="nil"/>
              <w:left w:val="nil"/>
              <w:bottom w:val="single" w:sz="4" w:space="0" w:color="auto"/>
              <w:right w:val="nil"/>
            </w:tcBorders>
            <w:shd w:val="clear" w:color="000000" w:fill="D9D9D9"/>
            <w:noWrap/>
            <w:vAlign w:val="bottom"/>
            <w:hideMark/>
          </w:tcPr>
          <w:p w14:paraId="20B550B9"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960" w:type="dxa"/>
            <w:tcBorders>
              <w:top w:val="nil"/>
              <w:left w:val="nil"/>
              <w:bottom w:val="single" w:sz="4" w:space="0" w:color="auto"/>
              <w:right w:val="nil"/>
            </w:tcBorders>
            <w:shd w:val="clear" w:color="000000" w:fill="D9D9D9"/>
            <w:noWrap/>
            <w:vAlign w:val="bottom"/>
            <w:hideMark/>
          </w:tcPr>
          <w:p w14:paraId="66E691F6"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w:t>
            </w:r>
          </w:p>
        </w:tc>
        <w:tc>
          <w:tcPr>
            <w:tcW w:w="1730" w:type="dxa"/>
            <w:tcBorders>
              <w:top w:val="nil"/>
              <w:left w:val="nil"/>
              <w:bottom w:val="single" w:sz="4" w:space="0" w:color="auto"/>
              <w:right w:val="nil"/>
            </w:tcBorders>
            <w:shd w:val="clear" w:color="000000" w:fill="D9D9D9"/>
            <w:noWrap/>
            <w:vAlign w:val="bottom"/>
            <w:hideMark/>
          </w:tcPr>
          <w:p w14:paraId="367A7285" w14:textId="77777777" w:rsidR="000B63E4" w:rsidRPr="00925BB2" w:rsidRDefault="000B63E4" w:rsidP="000B63E4">
            <w:pPr>
              <w:spacing w:after="0" w:line="240" w:lineRule="auto"/>
              <w:jc w:val="center"/>
              <w:rPr>
                <w:rFonts w:cstheme="minorHAnsi"/>
                <w:color w:val="000000"/>
                <w:sz w:val="20"/>
                <w:szCs w:val="20"/>
              </w:rPr>
            </w:pPr>
            <w:r w:rsidRPr="00925BB2">
              <w:rPr>
                <w:rFonts w:cstheme="minorHAnsi"/>
                <w:color w:val="000000"/>
                <w:sz w:val="20"/>
                <w:szCs w:val="20"/>
              </w:rPr>
              <w:t>0.00</w:t>
            </w:r>
          </w:p>
        </w:tc>
        <w:tc>
          <w:tcPr>
            <w:tcW w:w="1800" w:type="dxa"/>
            <w:tcBorders>
              <w:top w:val="nil"/>
              <w:left w:val="nil"/>
              <w:bottom w:val="single" w:sz="4" w:space="0" w:color="auto"/>
              <w:right w:val="nil"/>
            </w:tcBorders>
            <w:shd w:val="clear" w:color="000000" w:fill="D9D9D9"/>
            <w:noWrap/>
            <w:vAlign w:val="bottom"/>
            <w:hideMark/>
          </w:tcPr>
          <w:p w14:paraId="12881E3A" w14:textId="77777777" w:rsidR="000B63E4" w:rsidRPr="00925BB2" w:rsidRDefault="000B63E4" w:rsidP="000B63E4">
            <w:pPr>
              <w:spacing w:after="0" w:line="240" w:lineRule="auto"/>
              <w:jc w:val="center"/>
              <w:rPr>
                <w:rFonts w:cstheme="minorHAnsi"/>
                <w:color w:val="000000"/>
                <w:sz w:val="20"/>
                <w:szCs w:val="20"/>
              </w:rPr>
            </w:pPr>
          </w:p>
        </w:tc>
      </w:tr>
    </w:tbl>
    <w:p w14:paraId="0E796F5E" w14:textId="77777777" w:rsidR="000B63E4" w:rsidRPr="00925BB2" w:rsidRDefault="000B63E4" w:rsidP="000B63E4">
      <w:pPr>
        <w:spacing w:after="0" w:line="240" w:lineRule="auto"/>
        <w:jc w:val="center"/>
        <w:rPr>
          <w:rFonts w:cstheme="minorHAnsi"/>
        </w:rPr>
      </w:pPr>
      <w:r w:rsidRPr="00925BB2">
        <w:rPr>
          <w:rFonts w:cstheme="minorHAnsi"/>
          <w:sz w:val="20"/>
          <w:szCs w:val="20"/>
        </w:rPr>
        <w:t xml:space="preserve">*no precipitation observed at MRPTS, only documented at the Miami, OK </w:t>
      </w:r>
      <w:proofErr w:type="spellStart"/>
      <w:r w:rsidRPr="00925BB2">
        <w:rPr>
          <w:rFonts w:cstheme="minorHAnsi"/>
          <w:sz w:val="20"/>
          <w:szCs w:val="20"/>
        </w:rPr>
        <w:t>Mesonet</w:t>
      </w:r>
      <w:proofErr w:type="spellEnd"/>
      <w:r w:rsidRPr="00925BB2">
        <w:rPr>
          <w:rFonts w:cstheme="minorHAnsi"/>
          <w:sz w:val="20"/>
          <w:szCs w:val="20"/>
        </w:rPr>
        <w:t xml:space="preserve"> Statio</w:t>
      </w:r>
      <w:r w:rsidRPr="008C1627">
        <w:rPr>
          <w:rFonts w:cstheme="minorHAnsi"/>
        </w:rPr>
        <w:t>n</w:t>
      </w:r>
    </w:p>
    <w:p w14:paraId="63B22072" w14:textId="77777777" w:rsidR="000B63E4" w:rsidRDefault="000B63E4" w:rsidP="000B63E4">
      <w:pPr>
        <w:pStyle w:val="Heading1"/>
        <w:jc w:val="both"/>
      </w:pPr>
      <w:r w:rsidRPr="008C1627">
        <w:lastRenderedPageBreak/>
        <w:t>Conclusions</w:t>
      </w:r>
    </w:p>
    <w:p w14:paraId="43939134" w14:textId="77777777" w:rsidR="000B63E4" w:rsidRPr="00330773" w:rsidRDefault="000B63E4" w:rsidP="000B63E4">
      <w:pPr>
        <w:jc w:val="both"/>
      </w:pPr>
    </w:p>
    <w:p w14:paraId="2F18C511" w14:textId="6C39CCA5" w:rsidR="000B63E4" w:rsidRPr="00CF30DC" w:rsidRDefault="000B63E4" w:rsidP="00CF30DC">
      <w:pPr>
        <w:spacing w:line="480" w:lineRule="auto"/>
        <w:jc w:val="both"/>
        <w:rPr>
          <w:rFonts w:cstheme="minorHAnsi"/>
        </w:rPr>
      </w:pPr>
      <w:r w:rsidRPr="008C1627">
        <w:rPr>
          <w:rFonts w:cstheme="minorHAnsi"/>
        </w:rPr>
        <w:t xml:space="preserve">Iron </w:t>
      </w:r>
      <w:proofErr w:type="spellStart"/>
      <w:r w:rsidRPr="008C1627">
        <w:rPr>
          <w:rFonts w:cstheme="minorHAnsi"/>
        </w:rPr>
        <w:t>oxyhydroxide</w:t>
      </w:r>
      <w:proofErr w:type="spellEnd"/>
      <w:r w:rsidRPr="008C1627">
        <w:rPr>
          <w:rFonts w:cstheme="minorHAnsi"/>
        </w:rPr>
        <w:t xml:space="preserve"> precipitates formed from the oxidation and hydrolysis of Fe</w:t>
      </w:r>
      <w:r w:rsidRPr="008C1627">
        <w:rPr>
          <w:rFonts w:cstheme="minorHAnsi"/>
          <w:vertAlign w:val="superscript"/>
        </w:rPr>
        <w:t xml:space="preserve">2+ </w:t>
      </w:r>
      <w:r w:rsidRPr="008C1627">
        <w:rPr>
          <w:rFonts w:cstheme="minorHAnsi"/>
        </w:rPr>
        <w:t>accumulate within the preliminary oxidation cell (Cell 1) and the surface flow wetlands (Cells 2N/2S)</w:t>
      </w:r>
      <w:r>
        <w:rPr>
          <w:rFonts w:cstheme="minorHAnsi"/>
        </w:rPr>
        <w:t xml:space="preserve"> of MRPTS</w:t>
      </w:r>
      <w:r w:rsidRPr="008C1627">
        <w:rPr>
          <w:rFonts w:cstheme="minorHAnsi"/>
        </w:rPr>
        <w:t xml:space="preserve">. The accumulation of iron </w:t>
      </w:r>
      <w:proofErr w:type="spellStart"/>
      <w:r w:rsidRPr="008C1627">
        <w:rPr>
          <w:rFonts w:cstheme="minorHAnsi"/>
        </w:rPr>
        <w:t>oxyhydroxides</w:t>
      </w:r>
      <w:proofErr w:type="spellEnd"/>
      <w:r w:rsidRPr="008C1627">
        <w:rPr>
          <w:rFonts w:cstheme="minorHAnsi"/>
        </w:rPr>
        <w:t xml:space="preserve"> is not uniformly distributed within each cell, with the first section of the cell favoring deeper deposits of material. The characterization of core samples for their physical properties revealed consistency within the cell and between the cells regarding mineral phase.  The iron oxide accumulation increases in its relative crystallinity, average particle size, and uniformity with respect to position within the treatment series (Cell 1 </w:t>
      </w:r>
      <w:r>
        <w:rPr>
          <w:rFonts w:cstheme="minorHAnsi"/>
        </w:rPr>
        <w:t>to</w:t>
      </w:r>
      <w:r w:rsidRPr="008C1627">
        <w:rPr>
          <w:rFonts w:cstheme="minorHAnsi"/>
        </w:rPr>
        <w:t xml:space="preserve"> Cell 2N/2S) and with increasing depth. Organic matter is a minor component of the bulk material regardless of treatment cell type, and it </w:t>
      </w:r>
      <w:r w:rsidR="00CF30DC" w:rsidRPr="008C1627">
        <w:rPr>
          <w:rFonts w:cstheme="minorHAnsi"/>
        </w:rPr>
        <w:t>decrease</w:t>
      </w:r>
      <w:r w:rsidR="00CF30DC">
        <w:rPr>
          <w:rFonts w:cstheme="minorHAnsi"/>
        </w:rPr>
        <w:t>s</w:t>
      </w:r>
      <w:r w:rsidRPr="008C1627">
        <w:rPr>
          <w:rFonts w:cstheme="minorHAnsi"/>
        </w:rPr>
        <w:t xml:space="preserve"> with respect to</w:t>
      </w:r>
      <w:r w:rsidR="00CF30DC">
        <w:rPr>
          <w:rFonts w:cstheme="minorHAnsi"/>
        </w:rPr>
        <w:t xml:space="preserve"> position in the oxidative unit</w:t>
      </w:r>
      <w:r w:rsidRPr="008C1627">
        <w:rPr>
          <w:rFonts w:cstheme="minorHAnsi"/>
        </w:rPr>
        <w:t xml:space="preserve">.  Accumulation of iron oxides influences a reduction in HRT over time, but other factors like hydraulic conductivity losses within </w:t>
      </w:r>
      <w:r>
        <w:rPr>
          <w:rFonts w:cstheme="minorHAnsi"/>
        </w:rPr>
        <w:t xml:space="preserve">certain cells of </w:t>
      </w:r>
      <w:r w:rsidRPr="008C1627">
        <w:rPr>
          <w:rFonts w:cstheme="minorHAnsi"/>
        </w:rPr>
        <w:t xml:space="preserve">a treatment system and storm disturbances can extend retention times.  Iron accumulation profiling is a useful tool for the determination of </w:t>
      </w:r>
      <w:r>
        <w:rPr>
          <w:rFonts w:cstheme="minorHAnsi"/>
        </w:rPr>
        <w:t xml:space="preserve">the </w:t>
      </w:r>
      <w:r w:rsidRPr="008C1627">
        <w:rPr>
          <w:rFonts w:cstheme="minorHAnsi"/>
        </w:rPr>
        <w:t xml:space="preserve">stage of the treatment process and what section of a cell is most efficient for solids recovery. </w:t>
      </w:r>
    </w:p>
    <w:p w14:paraId="21D9EBCA" w14:textId="5712CB22" w:rsidR="008E11AD" w:rsidRDefault="00871563" w:rsidP="008E11AD">
      <w:pPr>
        <w:pStyle w:val="Heading1"/>
        <w:jc w:val="both"/>
      </w:pPr>
      <w:r>
        <w:t>Literature Cited</w:t>
      </w:r>
    </w:p>
    <w:p w14:paraId="403776E1" w14:textId="77777777" w:rsidR="008E11AD" w:rsidRPr="00A82C68" w:rsidRDefault="008E11AD" w:rsidP="008E11AD">
      <w:pPr>
        <w:jc w:val="both"/>
      </w:pPr>
    </w:p>
    <w:p w14:paraId="2AD86F0E" w14:textId="389AF70B"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rPr>
        <w:fldChar w:fldCharType="begin" w:fldLock="1"/>
      </w:r>
      <w:r w:rsidRPr="008C1627">
        <w:rPr>
          <w:rFonts w:cs="Calibri"/>
        </w:rPr>
        <w:instrText xml:space="preserve">ADDIN Mendeley Bibliography CSL_BIBLIOGRAPHY </w:instrText>
      </w:r>
      <w:r w:rsidRPr="008C1627">
        <w:rPr>
          <w:rFonts w:cs="Calibri"/>
        </w:rPr>
        <w:fldChar w:fldCharType="separate"/>
      </w:r>
      <w:r w:rsidRPr="008C1627">
        <w:rPr>
          <w:rFonts w:cs="Calibri"/>
          <w:noProof/>
        </w:rPr>
        <w:t>Neely</w:t>
      </w:r>
      <w:r w:rsidR="002319DB">
        <w:rPr>
          <w:rFonts w:cs="Calibri"/>
          <w:noProof/>
        </w:rPr>
        <w:t>, C</w:t>
      </w:r>
      <w:r w:rsidRPr="008C1627">
        <w:rPr>
          <w:rFonts w:cs="Calibri"/>
          <w:noProof/>
        </w:rPr>
        <w:t xml:space="preserve">. 2010. Characterization and possible sustainable sorbent use of iron oxides produced by acid mine drainage discharges. </w:t>
      </w:r>
      <w:r w:rsidR="002319DB">
        <w:rPr>
          <w:rFonts w:cs="Calibri"/>
          <w:noProof/>
        </w:rPr>
        <w:t xml:space="preserve">Masters of Science: Environmental Engineering: </w:t>
      </w:r>
      <w:r w:rsidRPr="008C1627">
        <w:rPr>
          <w:rFonts w:cs="Calibri"/>
          <w:noProof/>
        </w:rPr>
        <w:t>University of Oklahoma.</w:t>
      </w:r>
    </w:p>
    <w:p w14:paraId="4C293358" w14:textId="35DAA4AE"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 xml:space="preserve">Cornell RM, Schwertmann U. 2003. </w:t>
      </w:r>
      <w:r>
        <w:rPr>
          <w:rFonts w:cs="Calibri"/>
          <w:noProof/>
        </w:rPr>
        <w:t xml:space="preserve">Ch </w:t>
      </w:r>
      <w:r w:rsidRPr="008C1627">
        <w:rPr>
          <w:rFonts w:cs="Calibri"/>
          <w:noProof/>
        </w:rPr>
        <w:t>4 Crystal Morphology and Size.</w:t>
      </w:r>
      <w:r>
        <w:rPr>
          <w:rFonts w:cs="Calibri"/>
          <w:noProof/>
        </w:rPr>
        <w:t xml:space="preserve"> The Iron Oxides. WIley and Sons. 2</w:t>
      </w:r>
      <w:r w:rsidRPr="00A82C68">
        <w:rPr>
          <w:rFonts w:cs="Calibri"/>
          <w:noProof/>
          <w:vertAlign w:val="superscript"/>
        </w:rPr>
        <w:t>nd</w:t>
      </w:r>
      <w:r>
        <w:rPr>
          <w:rFonts w:cs="Calibri"/>
          <w:noProof/>
        </w:rPr>
        <w:t xml:space="preserve"> Edition.</w:t>
      </w:r>
      <w:r w:rsidR="002319DB">
        <w:rPr>
          <w:rFonts w:cs="Calibri"/>
          <w:noProof/>
        </w:rPr>
        <w:t xml:space="preserve"> p </w:t>
      </w:r>
    </w:p>
    <w:p w14:paraId="63A386D7"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Cravotta CA. 2008. Dissolved metals and associated constituents in abandoned coal-mine discharges, Pennsylvania, USA. Part 2: Geochemical controls on constituent concentrations. Appl. Geochemistry 23:203–226.</w:t>
      </w:r>
    </w:p>
    <w:p w14:paraId="1378D813" w14:textId="2E53847E" w:rsidR="008E11AD" w:rsidRPr="008C1627" w:rsidRDefault="002319DB" w:rsidP="008E11AD">
      <w:pPr>
        <w:widowControl w:val="0"/>
        <w:autoSpaceDE w:val="0"/>
        <w:autoSpaceDN w:val="0"/>
        <w:adjustRightInd w:val="0"/>
        <w:spacing w:line="240" w:lineRule="auto"/>
        <w:jc w:val="both"/>
        <w:rPr>
          <w:rFonts w:cs="Calibri"/>
          <w:noProof/>
        </w:rPr>
      </w:pPr>
      <w:r>
        <w:rPr>
          <w:rFonts w:cs="Calibri"/>
          <w:noProof/>
        </w:rPr>
        <w:t>Das S, Hendry MJ. 2011a</w:t>
      </w:r>
      <w:r w:rsidR="008E11AD" w:rsidRPr="008C1627">
        <w:rPr>
          <w:rFonts w:cs="Calibri"/>
          <w:noProof/>
        </w:rPr>
        <w:t>. Changes of crystal morphology of aged goethite ov</w:t>
      </w:r>
      <w:r>
        <w:rPr>
          <w:rFonts w:cs="Calibri"/>
          <w:noProof/>
        </w:rPr>
        <w:t xml:space="preserve">er a range of pH (2-13) at 100 Deg </w:t>
      </w:r>
      <w:r w:rsidR="008E11AD" w:rsidRPr="008C1627">
        <w:rPr>
          <w:rFonts w:cs="Calibri"/>
          <w:noProof/>
        </w:rPr>
        <w:t>C. Appl. Clay Sci. 51:192–197.</w:t>
      </w:r>
    </w:p>
    <w:p w14:paraId="1E060EF2"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 xml:space="preserve">Das S, Hendry MJ. 2011b. Application of Raman spectroscopy to identify iron minerals </w:t>
      </w:r>
      <w:r w:rsidRPr="008C1627">
        <w:rPr>
          <w:rFonts w:cs="Calibri"/>
          <w:noProof/>
        </w:rPr>
        <w:lastRenderedPageBreak/>
        <w:t>commonly found in mine wastes. Chem. Geol. 290:101–108.</w:t>
      </w:r>
    </w:p>
    <w:p w14:paraId="69781CAC"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Davies EJ, Nimmo-Smith WAM, Agrawal YC, Souza AJ. 2012. LISST-100 response to large particles. Mar. Geol. 307–310:117–122.</w:t>
      </w:r>
    </w:p>
    <w:p w14:paraId="3FF0EC9E"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Dierberg FE, DeBusk TA. 2005. An evaluation of two tracers in surface-flow wetlands: Rhodamine-WT and lithium. Wetlands 25:8–25.</w:t>
      </w:r>
    </w:p>
    <w:p w14:paraId="18B24616" w14:textId="137725D2" w:rsidR="008E11AD" w:rsidRPr="008C1627" w:rsidRDefault="002319DB" w:rsidP="008E11AD">
      <w:pPr>
        <w:widowControl w:val="0"/>
        <w:autoSpaceDE w:val="0"/>
        <w:autoSpaceDN w:val="0"/>
        <w:adjustRightInd w:val="0"/>
        <w:spacing w:line="240" w:lineRule="auto"/>
        <w:jc w:val="both"/>
        <w:rPr>
          <w:rFonts w:cs="Calibri"/>
          <w:noProof/>
        </w:rPr>
      </w:pPr>
      <w:r>
        <w:rPr>
          <w:rFonts w:cs="Calibri"/>
          <w:noProof/>
        </w:rPr>
        <w:t>Fondriest Inc.</w:t>
      </w:r>
      <w:r w:rsidR="008E11AD" w:rsidRPr="008C1627">
        <w:rPr>
          <w:rFonts w:cs="Calibri"/>
          <w:noProof/>
        </w:rPr>
        <w:t xml:space="preserve"> 2001. Water tracing , in situ dye fluorometry and the YSI 6130 Rhodamine WT Sensor.</w:t>
      </w:r>
      <w:r>
        <w:rPr>
          <w:rFonts w:cs="Calibri"/>
          <w:noProof/>
        </w:rPr>
        <w:t xml:space="preserve"> &lt;</w:t>
      </w:r>
      <w:r w:rsidRPr="002319DB">
        <w:t xml:space="preserve"> </w:t>
      </w:r>
      <w:r w:rsidRPr="002319DB">
        <w:rPr>
          <w:rFonts w:cs="Calibri"/>
          <w:noProof/>
        </w:rPr>
        <w:t>http://fondriest.com/</w:t>
      </w:r>
      <w:r>
        <w:rPr>
          <w:rFonts w:cs="Calibri"/>
          <w:noProof/>
        </w:rPr>
        <w:t>&gt;</w:t>
      </w:r>
    </w:p>
    <w:p w14:paraId="0A3787EC"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Felix D, Albayrak I, Boes RM. 2013. Laboratory investigation on measuring suspended sediment by portable laser diffractometer (LISST) focusing on particle shape. Geo-Marine Lett. 33:485–498.</w:t>
      </w:r>
    </w:p>
    <w:p w14:paraId="5ACB1B7F"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Hanesch M. 2009. Raman spectroscopy of iron oxides and (oxy)hydroxides at low laser power and possible applications in environmental magnetic studies. Geophys. J. Int. 177:941–948.</w:t>
      </w:r>
    </w:p>
    <w:p w14:paraId="3CEAB685" w14:textId="7D4DFB13" w:rsidR="008E11AD" w:rsidRDefault="008E11AD" w:rsidP="008E11AD">
      <w:pPr>
        <w:widowControl w:val="0"/>
        <w:autoSpaceDE w:val="0"/>
        <w:autoSpaceDN w:val="0"/>
        <w:adjustRightInd w:val="0"/>
        <w:spacing w:line="240" w:lineRule="auto"/>
        <w:jc w:val="both"/>
        <w:rPr>
          <w:rFonts w:cs="Calibri"/>
          <w:noProof/>
        </w:rPr>
      </w:pPr>
      <w:r w:rsidRPr="008C1627">
        <w:rPr>
          <w:rFonts w:cs="Calibri"/>
          <w:noProof/>
        </w:rPr>
        <w:t>Hedin R, Weaver T, Wolfe N, Weaver K. 2010. Passive Treatment of Acidic Coal Mine Drainage: The Anna S Mine Passive Treatment Complex. Mine Water Environ. 29:165–175.</w:t>
      </w:r>
    </w:p>
    <w:p w14:paraId="33A5F573" w14:textId="0CFB3C40" w:rsidR="00B101E4" w:rsidRPr="008C1627" w:rsidRDefault="00B101E4" w:rsidP="008E11AD">
      <w:pPr>
        <w:widowControl w:val="0"/>
        <w:autoSpaceDE w:val="0"/>
        <w:autoSpaceDN w:val="0"/>
        <w:adjustRightInd w:val="0"/>
        <w:spacing w:line="240" w:lineRule="auto"/>
        <w:jc w:val="both"/>
        <w:rPr>
          <w:rFonts w:cs="Calibri"/>
          <w:noProof/>
        </w:rPr>
      </w:pPr>
      <w:r>
        <w:t>Hedin RS (2008) Iron removal by a passive system treating alkaline coal mine drainage. Mine Water Environ 27:200-209.</w:t>
      </w:r>
    </w:p>
    <w:p w14:paraId="1368EEED"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Hedin RS. 2002. Recovery of Marketable Iron Oxide From Mine Drainage. J. Am. Soc. Min. Reclam. 2002:517–526.</w:t>
      </w:r>
    </w:p>
    <w:p w14:paraId="3BA2AF13"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Howard P, Howard D. 1990. Use of organic carbon and loss-on-ignition to estimate soil organic matter in different soil types and horizons. Biol. Fertil. Soils 9:306–310.</w:t>
      </w:r>
    </w:p>
    <w:p w14:paraId="6B232F7C"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Kairies CL, Capo RC, Watzlaf GR. 2005. Chemical and physical properties of iron hydroxide precipitates associated with passively treated coal mine drainage in the Bituminous Region of Pennsylvania and Maryland. Appl. Geochemistry 20:1445–1460.</w:t>
      </w:r>
    </w:p>
    <w:p w14:paraId="3FE1A21B"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Kim JJ, Kim SJ. 2003. Environmental, mineralogical, and genetic characterization of ochreous and white precipitates from acid mine drainages in Taebaeg, Korea. Environ. Sci. Technol. 37:2120–2126.</w:t>
      </w:r>
    </w:p>
    <w:p w14:paraId="4E14BB9A"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Kruse NAS, Gozzard E, Jarvis  a. P. 2009. Determination of hydraulic residence times in several UK Mine water treatment systems and their relationship to iron removal. Mine Water Environ. 28:115–123.</w:t>
      </w:r>
    </w:p>
    <w:p w14:paraId="0C6DDBF7"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Kusin FM. 2013. A Review of the Importance of Hydraulic Residence Time on Improved Design of Mine Water Treatment Systems. 26:1316–1322.</w:t>
      </w:r>
    </w:p>
    <w:p w14:paraId="6D9C3E1D"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Kusin FM, Jarvis AP, Gandy CJ. 2012. Hydraulic performance assessment of passive coal mine water treatment systems in the UK. Ecol. Eng. 49:233–243.</w:t>
      </w:r>
    </w:p>
    <w:p w14:paraId="1E07BEE5"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Marcello RR, Galato S, Peterson M, Riella HG, Bernardin  a. M. 2008. Inorganic pigments made from the recycling of coal mine drainage treatment sludge. J. Environ. Manage. 88:1280–1284.</w:t>
      </w:r>
    </w:p>
    <w:p w14:paraId="2A332172" w14:textId="5B474DA4" w:rsidR="008E11AD" w:rsidRDefault="008E11AD" w:rsidP="008E11AD">
      <w:pPr>
        <w:widowControl w:val="0"/>
        <w:autoSpaceDE w:val="0"/>
        <w:autoSpaceDN w:val="0"/>
        <w:adjustRightInd w:val="0"/>
        <w:spacing w:line="240" w:lineRule="auto"/>
        <w:jc w:val="both"/>
        <w:rPr>
          <w:rFonts w:cs="Calibri"/>
          <w:noProof/>
        </w:rPr>
      </w:pPr>
      <w:r w:rsidRPr="008C1627">
        <w:rPr>
          <w:rFonts w:cs="Calibri"/>
          <w:noProof/>
        </w:rPr>
        <w:t>Markussen TN, Andersen TJ. 2013. A simple method for calculating in situ floc settling velocities based on effective density functions. Mar. Geol. 344:10–18.</w:t>
      </w:r>
    </w:p>
    <w:p w14:paraId="597A7D6B" w14:textId="77777777" w:rsidR="002F67E2" w:rsidRPr="008C1627" w:rsidRDefault="002F67E2" w:rsidP="008E11AD">
      <w:pPr>
        <w:widowControl w:val="0"/>
        <w:autoSpaceDE w:val="0"/>
        <w:autoSpaceDN w:val="0"/>
        <w:adjustRightInd w:val="0"/>
        <w:spacing w:line="240" w:lineRule="auto"/>
        <w:jc w:val="both"/>
        <w:rPr>
          <w:rFonts w:cs="Calibri"/>
          <w:noProof/>
        </w:rPr>
      </w:pPr>
    </w:p>
    <w:p w14:paraId="66FAEAE5"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lastRenderedPageBreak/>
        <w:t>Nordstrom DK. 2011. Hydrogeochemical processes governing the origin, transport and fate of major and trace elements from mine wastes and mineralized rock to surface waters. Appl. Geochemistry 26:1777–1791.</w:t>
      </w:r>
    </w:p>
    <w:p w14:paraId="43124695"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Peretyazhko T, Zachara JM, Boily JF, Xia Y, Gassman PL, Arey BW, Burgos WD. 2009. Mineralogical transformations controlling acid mine drainage chemistry. Chem. Geol. 262:169–178.</w:t>
      </w:r>
    </w:p>
    <w:p w14:paraId="2F2A917B"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Perkins M, Effler SW, Peng F, Pierson D, Smith DG, Agrawal YC. 2007. Particle Characterization and Settling Velocities for a Water Supply Reservoir during a Turbidity Event. J. Environ. Eng. 133:800–808.</w:t>
      </w:r>
    </w:p>
    <w:p w14:paraId="0F1BDCE0"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Salehi MH, Beni OH, Harchegani HB, Borujeni IE, Motaghian HR. 2011. Refining Soil Organic Matter Determination by Loss-on-Ignition. Pedosphere 21:473–482.</w:t>
      </w:r>
    </w:p>
    <w:p w14:paraId="3AF531E6" w14:textId="6226D3E2"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 xml:space="preserve">Sapsford DJ, Watson I. 2011. A process-orientated design and performance assessment methodology for passive mine water treatment systems. Ecol. </w:t>
      </w:r>
      <w:r w:rsidR="002F67E2">
        <w:rPr>
          <w:rFonts w:cs="Calibri"/>
          <w:noProof/>
        </w:rPr>
        <w:t xml:space="preserve">Eng. 37:970–975. </w:t>
      </w:r>
    </w:p>
    <w:p w14:paraId="6B882B0E"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Sapsford DJ, Williams KP. 2009. Sizing criteria for a low footprint passive mine water treatment system. Water Res. 43:423–432.</w:t>
      </w:r>
    </w:p>
    <w:p w14:paraId="61E8A481"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Skousen J, Ziemkiewicz P. 2005. Performance of 116 passive treatment systems for acid mine drainage. Proceedings, Am. Soc. Min. Reclamation, Breckenridge, CO:1100–1133.</w:t>
      </w:r>
    </w:p>
    <w:p w14:paraId="3E378DB6" w14:textId="77777777" w:rsidR="008E11AD" w:rsidRPr="008C1627" w:rsidRDefault="008E11AD" w:rsidP="008E11AD">
      <w:pPr>
        <w:widowControl w:val="0"/>
        <w:autoSpaceDE w:val="0"/>
        <w:autoSpaceDN w:val="0"/>
        <w:adjustRightInd w:val="0"/>
        <w:spacing w:line="240" w:lineRule="auto"/>
        <w:jc w:val="both"/>
        <w:rPr>
          <w:rFonts w:cs="Calibri"/>
          <w:noProof/>
        </w:rPr>
      </w:pPr>
      <w:r w:rsidRPr="008C1627">
        <w:rPr>
          <w:rFonts w:cs="Calibri"/>
          <w:noProof/>
        </w:rPr>
        <w:t>Ziemkiewicz P., J.G S, Simmons J. 2003. Long-term Performance of Passive Acid Mine Drainage Treatment Systems. J. Mine Water Environ. 22:118.129.</w:t>
      </w:r>
    </w:p>
    <w:p w14:paraId="74445967" w14:textId="77777777" w:rsidR="008E11AD" w:rsidRPr="008C1627" w:rsidRDefault="008E11AD" w:rsidP="008E11AD">
      <w:pPr>
        <w:spacing w:line="360" w:lineRule="auto"/>
        <w:jc w:val="both"/>
        <w:rPr>
          <w:rFonts w:cs="Calibri"/>
        </w:rPr>
      </w:pPr>
      <w:r w:rsidRPr="008C1627">
        <w:rPr>
          <w:rFonts w:cs="Calibri"/>
        </w:rPr>
        <w:fldChar w:fldCharType="end"/>
      </w:r>
    </w:p>
    <w:p w14:paraId="7D26BFE5" w14:textId="77777777" w:rsidR="008E11AD" w:rsidRPr="008C1627" w:rsidRDefault="008E11AD" w:rsidP="008E11AD">
      <w:pPr>
        <w:spacing w:line="360" w:lineRule="auto"/>
        <w:jc w:val="both"/>
        <w:rPr>
          <w:rFonts w:cs="Calibri"/>
        </w:rPr>
      </w:pPr>
    </w:p>
    <w:p w14:paraId="529CC195" w14:textId="77777777" w:rsidR="008E11AD" w:rsidRPr="008C1627" w:rsidRDefault="008E11AD" w:rsidP="008E11AD">
      <w:pPr>
        <w:spacing w:line="360" w:lineRule="auto"/>
        <w:jc w:val="both"/>
        <w:rPr>
          <w:rFonts w:cs="Calibri"/>
        </w:rPr>
      </w:pPr>
    </w:p>
    <w:p w14:paraId="62BB41AD" w14:textId="77777777" w:rsidR="008E11AD" w:rsidRPr="008C1627" w:rsidRDefault="008E11AD" w:rsidP="008E11AD">
      <w:pPr>
        <w:spacing w:line="360" w:lineRule="auto"/>
        <w:jc w:val="both"/>
        <w:rPr>
          <w:rFonts w:cs="Calibri"/>
        </w:rPr>
      </w:pPr>
    </w:p>
    <w:p w14:paraId="44D36DCD" w14:textId="77777777" w:rsidR="008E11AD" w:rsidRPr="008C1627" w:rsidRDefault="008E11AD" w:rsidP="008E11AD">
      <w:pPr>
        <w:spacing w:line="360" w:lineRule="auto"/>
        <w:jc w:val="both"/>
        <w:rPr>
          <w:rFonts w:cs="Calibri"/>
        </w:rPr>
      </w:pPr>
    </w:p>
    <w:p w14:paraId="7E283726" w14:textId="77777777" w:rsidR="008E11AD" w:rsidRPr="008C1627" w:rsidRDefault="008E11AD" w:rsidP="008E11AD">
      <w:pPr>
        <w:spacing w:line="360" w:lineRule="auto"/>
        <w:jc w:val="both"/>
        <w:rPr>
          <w:rFonts w:cs="Calibri"/>
        </w:rPr>
      </w:pPr>
    </w:p>
    <w:p w14:paraId="67D8994C" w14:textId="77777777" w:rsidR="008E11AD" w:rsidRPr="008C1627" w:rsidRDefault="008E11AD" w:rsidP="008E11AD">
      <w:pPr>
        <w:jc w:val="both"/>
        <w:rPr>
          <w:rFonts w:cs="Calibri"/>
        </w:rPr>
      </w:pPr>
    </w:p>
    <w:p w14:paraId="7B7DF968" w14:textId="77777777" w:rsidR="008E11AD" w:rsidRPr="008C1627" w:rsidRDefault="008E11AD" w:rsidP="008E11AD">
      <w:pPr>
        <w:jc w:val="both"/>
        <w:rPr>
          <w:rFonts w:cs="Calibri"/>
        </w:rPr>
      </w:pPr>
    </w:p>
    <w:p w14:paraId="2D95B611" w14:textId="77777777" w:rsidR="00444019" w:rsidRDefault="00444019" w:rsidP="00444019">
      <w:pPr>
        <w:widowControl w:val="0"/>
        <w:autoSpaceDE w:val="0"/>
        <w:autoSpaceDN w:val="0"/>
        <w:adjustRightInd w:val="0"/>
        <w:spacing w:after="240" w:line="240" w:lineRule="auto"/>
        <w:rPr>
          <w:rFonts w:cstheme="minorHAnsi"/>
        </w:rPr>
      </w:pPr>
    </w:p>
    <w:sectPr w:rsidR="00444019" w:rsidSect="004F4017">
      <w:footerReference w:type="default" r:id="rId69"/>
      <w:pgSz w:w="12240" w:h="15840"/>
      <w:pgMar w:top="1440" w:right="1620" w:bottom="1440" w:left="2304"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09519" w14:textId="77777777" w:rsidR="00147A98" w:rsidRDefault="00147A98" w:rsidP="00F72370">
      <w:pPr>
        <w:spacing w:after="0" w:line="240" w:lineRule="auto"/>
      </w:pPr>
      <w:r>
        <w:separator/>
      </w:r>
    </w:p>
  </w:endnote>
  <w:endnote w:type="continuationSeparator" w:id="0">
    <w:p w14:paraId="56020A5B" w14:textId="77777777" w:rsidR="00147A98" w:rsidRDefault="00147A98" w:rsidP="00F72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R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41C26" w14:textId="77777777" w:rsidR="00147A98" w:rsidRDefault="00147A98">
    <w:pPr>
      <w:pStyle w:val="Footer"/>
      <w:jc w:val="right"/>
    </w:pPr>
  </w:p>
  <w:p w14:paraId="3248A1C4" w14:textId="77777777" w:rsidR="00147A98" w:rsidRDefault="00147A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BC659" w14:textId="77777777" w:rsidR="00147A98" w:rsidRDefault="00147A98">
    <w:pPr>
      <w:pStyle w:val="Footer"/>
      <w:jc w:val="right"/>
    </w:pPr>
  </w:p>
  <w:p w14:paraId="77053E9D" w14:textId="77777777" w:rsidR="00147A98" w:rsidRDefault="00147A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589535"/>
      <w:docPartObj>
        <w:docPartGallery w:val="Page Numbers (Bottom of Page)"/>
        <w:docPartUnique/>
      </w:docPartObj>
    </w:sdtPr>
    <w:sdtEndPr>
      <w:rPr>
        <w:noProof/>
      </w:rPr>
    </w:sdtEndPr>
    <w:sdtContent>
      <w:p w14:paraId="740CD426" w14:textId="75FAA3FF" w:rsidR="00147A98" w:rsidRDefault="00147A98">
        <w:pPr>
          <w:pStyle w:val="Footer"/>
          <w:jc w:val="right"/>
        </w:pPr>
        <w:r>
          <w:fldChar w:fldCharType="begin"/>
        </w:r>
        <w:r>
          <w:instrText xml:space="preserve"> PAGE  \* roman  \* MERGEFORMAT </w:instrText>
        </w:r>
        <w:r>
          <w:fldChar w:fldCharType="separate"/>
        </w:r>
        <w:r w:rsidR="003E3267">
          <w:rPr>
            <w:noProof/>
          </w:rPr>
          <w:t>xv</w:t>
        </w:r>
        <w:r>
          <w:fldChar w:fldCharType="end"/>
        </w:r>
      </w:p>
    </w:sdtContent>
  </w:sdt>
  <w:p w14:paraId="2B33BA21" w14:textId="77777777" w:rsidR="00147A98" w:rsidRDefault="00147A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0154994"/>
      <w:docPartObj>
        <w:docPartGallery w:val="Page Numbers (Bottom of Page)"/>
        <w:docPartUnique/>
      </w:docPartObj>
    </w:sdtPr>
    <w:sdtEndPr>
      <w:rPr>
        <w:noProof/>
      </w:rPr>
    </w:sdtEndPr>
    <w:sdtContent>
      <w:p w14:paraId="75726E2B" w14:textId="1C988C5B" w:rsidR="00147A98" w:rsidRDefault="00147A98">
        <w:pPr>
          <w:pStyle w:val="Footer"/>
          <w:jc w:val="right"/>
        </w:pPr>
        <w:r>
          <w:fldChar w:fldCharType="begin"/>
        </w:r>
        <w:r>
          <w:instrText xml:space="preserve"> PAGE  \* Arabic  \* MERGEFORMAT </w:instrText>
        </w:r>
        <w:r>
          <w:fldChar w:fldCharType="separate"/>
        </w:r>
        <w:r w:rsidR="003E3267">
          <w:rPr>
            <w:noProof/>
          </w:rPr>
          <w:t>5</w:t>
        </w:r>
        <w:r>
          <w:fldChar w:fldCharType="end"/>
        </w:r>
      </w:p>
    </w:sdtContent>
  </w:sdt>
  <w:p w14:paraId="41F968B9" w14:textId="77777777" w:rsidR="00147A98" w:rsidRDefault="00147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71EDA" w14:textId="77777777" w:rsidR="00147A98" w:rsidRDefault="00147A98" w:rsidP="00F72370">
      <w:pPr>
        <w:spacing w:after="0" w:line="240" w:lineRule="auto"/>
      </w:pPr>
      <w:r>
        <w:separator/>
      </w:r>
    </w:p>
  </w:footnote>
  <w:footnote w:type="continuationSeparator" w:id="0">
    <w:p w14:paraId="6DF5366D" w14:textId="77777777" w:rsidR="00147A98" w:rsidRDefault="00147A98" w:rsidP="00F723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32AC0"/>
    <w:multiLevelType w:val="hybridMultilevel"/>
    <w:tmpl w:val="6BFE5BA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293C2607"/>
    <w:multiLevelType w:val="multilevel"/>
    <w:tmpl w:val="27A0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2F57E0"/>
    <w:multiLevelType w:val="hybridMultilevel"/>
    <w:tmpl w:val="C4D83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4031E7"/>
    <w:multiLevelType w:val="hybridMultilevel"/>
    <w:tmpl w:val="557E2E9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2A7E17"/>
    <w:multiLevelType w:val="hybridMultilevel"/>
    <w:tmpl w:val="12500E90"/>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135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702407"/>
    <w:multiLevelType w:val="hybridMultilevel"/>
    <w:tmpl w:val="FEC0D43C"/>
    <w:lvl w:ilvl="0" w:tplc="C3DA2B3C">
      <w:start w:val="1"/>
      <w:numFmt w:val="decimal"/>
      <w:lvlText w:val="(%1)"/>
      <w:lvlJc w:val="left"/>
      <w:pPr>
        <w:ind w:left="1005" w:hanging="375"/>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68596655"/>
    <w:multiLevelType w:val="multilevel"/>
    <w:tmpl w:val="156A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751C68"/>
    <w:multiLevelType w:val="hybridMultilevel"/>
    <w:tmpl w:val="034A968C"/>
    <w:lvl w:ilvl="0" w:tplc="C3DA2B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555FE9"/>
    <w:multiLevelType w:val="multilevel"/>
    <w:tmpl w:val="9714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1"/>
  </w:num>
  <w:num w:numId="4">
    <w:abstractNumId w:val="7"/>
  </w:num>
  <w:num w:numId="5">
    <w:abstractNumId w:val="4"/>
  </w:num>
  <w:num w:numId="6">
    <w:abstractNumId w:val="3"/>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9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0F4"/>
    <w:rsid w:val="0000242B"/>
    <w:rsid w:val="00003BB7"/>
    <w:rsid w:val="00005FC3"/>
    <w:rsid w:val="0001018F"/>
    <w:rsid w:val="00017166"/>
    <w:rsid w:val="00032632"/>
    <w:rsid w:val="00051A48"/>
    <w:rsid w:val="00066C60"/>
    <w:rsid w:val="00073BFD"/>
    <w:rsid w:val="000A2DA4"/>
    <w:rsid w:val="000B088B"/>
    <w:rsid w:val="000B63E4"/>
    <w:rsid w:val="000E1A9D"/>
    <w:rsid w:val="000F325E"/>
    <w:rsid w:val="0010766D"/>
    <w:rsid w:val="00144BB5"/>
    <w:rsid w:val="00147A98"/>
    <w:rsid w:val="00190898"/>
    <w:rsid w:val="001A6133"/>
    <w:rsid w:val="001B2AE3"/>
    <w:rsid w:val="001B48F7"/>
    <w:rsid w:val="001B7455"/>
    <w:rsid w:val="001C713C"/>
    <w:rsid w:val="001E3B0E"/>
    <w:rsid w:val="001F5FB0"/>
    <w:rsid w:val="00201E74"/>
    <w:rsid w:val="00227475"/>
    <w:rsid w:val="002319DB"/>
    <w:rsid w:val="00232D6F"/>
    <w:rsid w:val="00263AA2"/>
    <w:rsid w:val="00263CB6"/>
    <w:rsid w:val="002653B6"/>
    <w:rsid w:val="00274896"/>
    <w:rsid w:val="00292DF6"/>
    <w:rsid w:val="002C16EA"/>
    <w:rsid w:val="002C5990"/>
    <w:rsid w:val="002D27F6"/>
    <w:rsid w:val="002E7CF7"/>
    <w:rsid w:val="002F1B63"/>
    <w:rsid w:val="002F67E2"/>
    <w:rsid w:val="00310218"/>
    <w:rsid w:val="00310BCA"/>
    <w:rsid w:val="00317F91"/>
    <w:rsid w:val="00330773"/>
    <w:rsid w:val="00333858"/>
    <w:rsid w:val="00352718"/>
    <w:rsid w:val="00374C31"/>
    <w:rsid w:val="003756B3"/>
    <w:rsid w:val="003819EA"/>
    <w:rsid w:val="00383626"/>
    <w:rsid w:val="003855E4"/>
    <w:rsid w:val="00396BF7"/>
    <w:rsid w:val="003B3648"/>
    <w:rsid w:val="003C6BFE"/>
    <w:rsid w:val="003D1637"/>
    <w:rsid w:val="003E3267"/>
    <w:rsid w:val="003F4928"/>
    <w:rsid w:val="00401E9D"/>
    <w:rsid w:val="004358A1"/>
    <w:rsid w:val="00444019"/>
    <w:rsid w:val="004602C7"/>
    <w:rsid w:val="0047178E"/>
    <w:rsid w:val="00481938"/>
    <w:rsid w:val="004875FF"/>
    <w:rsid w:val="00493F6F"/>
    <w:rsid w:val="00496680"/>
    <w:rsid w:val="004A6712"/>
    <w:rsid w:val="004C05FF"/>
    <w:rsid w:val="004C18DB"/>
    <w:rsid w:val="004D3D5C"/>
    <w:rsid w:val="004E2FF1"/>
    <w:rsid w:val="004E3BDC"/>
    <w:rsid w:val="004F4017"/>
    <w:rsid w:val="0054597F"/>
    <w:rsid w:val="00550E7C"/>
    <w:rsid w:val="00551F79"/>
    <w:rsid w:val="00563B77"/>
    <w:rsid w:val="005679A5"/>
    <w:rsid w:val="0057135D"/>
    <w:rsid w:val="00584DDE"/>
    <w:rsid w:val="00593DF6"/>
    <w:rsid w:val="005A757A"/>
    <w:rsid w:val="005B6F28"/>
    <w:rsid w:val="005C0DB2"/>
    <w:rsid w:val="005C42A7"/>
    <w:rsid w:val="005C4500"/>
    <w:rsid w:val="005E60C9"/>
    <w:rsid w:val="005E61AF"/>
    <w:rsid w:val="005E73E7"/>
    <w:rsid w:val="005F74E7"/>
    <w:rsid w:val="00601E0F"/>
    <w:rsid w:val="00644803"/>
    <w:rsid w:val="0065797F"/>
    <w:rsid w:val="0066210C"/>
    <w:rsid w:val="00670FBA"/>
    <w:rsid w:val="00680FB1"/>
    <w:rsid w:val="0068276D"/>
    <w:rsid w:val="00684BFB"/>
    <w:rsid w:val="006B0CD6"/>
    <w:rsid w:val="006B2AB2"/>
    <w:rsid w:val="006B2FB2"/>
    <w:rsid w:val="006B65F2"/>
    <w:rsid w:val="006D39B2"/>
    <w:rsid w:val="006D6139"/>
    <w:rsid w:val="006E3770"/>
    <w:rsid w:val="006F27F7"/>
    <w:rsid w:val="00720A21"/>
    <w:rsid w:val="00730D83"/>
    <w:rsid w:val="00731095"/>
    <w:rsid w:val="0075745D"/>
    <w:rsid w:val="00774B7B"/>
    <w:rsid w:val="007771A0"/>
    <w:rsid w:val="00781257"/>
    <w:rsid w:val="00794468"/>
    <w:rsid w:val="007A01D6"/>
    <w:rsid w:val="007A581B"/>
    <w:rsid w:val="007B109C"/>
    <w:rsid w:val="007C24E6"/>
    <w:rsid w:val="007D4CE9"/>
    <w:rsid w:val="007E5CCA"/>
    <w:rsid w:val="007E5E91"/>
    <w:rsid w:val="007F383F"/>
    <w:rsid w:val="00804F48"/>
    <w:rsid w:val="00821811"/>
    <w:rsid w:val="00830DB5"/>
    <w:rsid w:val="00843796"/>
    <w:rsid w:val="00852994"/>
    <w:rsid w:val="008615B8"/>
    <w:rsid w:val="00871563"/>
    <w:rsid w:val="00876B67"/>
    <w:rsid w:val="0088745B"/>
    <w:rsid w:val="00887BE5"/>
    <w:rsid w:val="008A0BCD"/>
    <w:rsid w:val="008D7A47"/>
    <w:rsid w:val="008E11AD"/>
    <w:rsid w:val="00925BB2"/>
    <w:rsid w:val="00941722"/>
    <w:rsid w:val="00941C9B"/>
    <w:rsid w:val="00961EE9"/>
    <w:rsid w:val="00970E72"/>
    <w:rsid w:val="0097307B"/>
    <w:rsid w:val="009878C4"/>
    <w:rsid w:val="009D74F0"/>
    <w:rsid w:val="009E45DF"/>
    <w:rsid w:val="009F1B2B"/>
    <w:rsid w:val="009F7B64"/>
    <w:rsid w:val="00A172A8"/>
    <w:rsid w:val="00A27B69"/>
    <w:rsid w:val="00A44312"/>
    <w:rsid w:val="00A54F61"/>
    <w:rsid w:val="00A62AB3"/>
    <w:rsid w:val="00A82C68"/>
    <w:rsid w:val="00A84408"/>
    <w:rsid w:val="00A85DBF"/>
    <w:rsid w:val="00A90E7E"/>
    <w:rsid w:val="00AA50FB"/>
    <w:rsid w:val="00AA7A3D"/>
    <w:rsid w:val="00AB32B8"/>
    <w:rsid w:val="00AC5BDD"/>
    <w:rsid w:val="00AD44E2"/>
    <w:rsid w:val="00AF647B"/>
    <w:rsid w:val="00B001A8"/>
    <w:rsid w:val="00B101E4"/>
    <w:rsid w:val="00B12D30"/>
    <w:rsid w:val="00B17506"/>
    <w:rsid w:val="00B34654"/>
    <w:rsid w:val="00B3575A"/>
    <w:rsid w:val="00B424E4"/>
    <w:rsid w:val="00B55B66"/>
    <w:rsid w:val="00B64BB8"/>
    <w:rsid w:val="00B74494"/>
    <w:rsid w:val="00B816F7"/>
    <w:rsid w:val="00B90DD9"/>
    <w:rsid w:val="00BA19D9"/>
    <w:rsid w:val="00BB620F"/>
    <w:rsid w:val="00BB6B9C"/>
    <w:rsid w:val="00BC0AC1"/>
    <w:rsid w:val="00BF1EA7"/>
    <w:rsid w:val="00BF61EF"/>
    <w:rsid w:val="00C02A42"/>
    <w:rsid w:val="00C0351B"/>
    <w:rsid w:val="00C06628"/>
    <w:rsid w:val="00C122D9"/>
    <w:rsid w:val="00C13AF6"/>
    <w:rsid w:val="00C15485"/>
    <w:rsid w:val="00C2288F"/>
    <w:rsid w:val="00C2760D"/>
    <w:rsid w:val="00C32638"/>
    <w:rsid w:val="00C3441C"/>
    <w:rsid w:val="00C34796"/>
    <w:rsid w:val="00C37F73"/>
    <w:rsid w:val="00C4783E"/>
    <w:rsid w:val="00C6086E"/>
    <w:rsid w:val="00C70BB9"/>
    <w:rsid w:val="00C83CB2"/>
    <w:rsid w:val="00C8706F"/>
    <w:rsid w:val="00C87A7A"/>
    <w:rsid w:val="00CB542F"/>
    <w:rsid w:val="00CC135E"/>
    <w:rsid w:val="00CD4F1B"/>
    <w:rsid w:val="00CE1CC3"/>
    <w:rsid w:val="00CE4F47"/>
    <w:rsid w:val="00CF30DC"/>
    <w:rsid w:val="00D11E61"/>
    <w:rsid w:val="00D274D2"/>
    <w:rsid w:val="00D3319E"/>
    <w:rsid w:val="00D50543"/>
    <w:rsid w:val="00D53E0B"/>
    <w:rsid w:val="00D67135"/>
    <w:rsid w:val="00D75270"/>
    <w:rsid w:val="00D75AAF"/>
    <w:rsid w:val="00D80D43"/>
    <w:rsid w:val="00D81505"/>
    <w:rsid w:val="00D850F4"/>
    <w:rsid w:val="00D95286"/>
    <w:rsid w:val="00D95E5B"/>
    <w:rsid w:val="00DB505A"/>
    <w:rsid w:val="00DD0FD8"/>
    <w:rsid w:val="00DD7FF2"/>
    <w:rsid w:val="00DF0FCB"/>
    <w:rsid w:val="00DF3C3F"/>
    <w:rsid w:val="00E16BF8"/>
    <w:rsid w:val="00E408CA"/>
    <w:rsid w:val="00E85630"/>
    <w:rsid w:val="00E9422E"/>
    <w:rsid w:val="00EA010A"/>
    <w:rsid w:val="00EB04ED"/>
    <w:rsid w:val="00EB4E49"/>
    <w:rsid w:val="00EB5EA7"/>
    <w:rsid w:val="00EC2F4A"/>
    <w:rsid w:val="00EC3256"/>
    <w:rsid w:val="00EC55A9"/>
    <w:rsid w:val="00ED300F"/>
    <w:rsid w:val="00ED3F69"/>
    <w:rsid w:val="00ED4F52"/>
    <w:rsid w:val="00EE471A"/>
    <w:rsid w:val="00F370BE"/>
    <w:rsid w:val="00F434CD"/>
    <w:rsid w:val="00F44970"/>
    <w:rsid w:val="00F47D51"/>
    <w:rsid w:val="00F66236"/>
    <w:rsid w:val="00F71853"/>
    <w:rsid w:val="00F72370"/>
    <w:rsid w:val="00F84895"/>
    <w:rsid w:val="00F855BF"/>
    <w:rsid w:val="00FB0EED"/>
    <w:rsid w:val="00FB5916"/>
    <w:rsid w:val="00FC78C4"/>
    <w:rsid w:val="00FD5AB7"/>
    <w:rsid w:val="00FD63A6"/>
    <w:rsid w:val="00FD73F6"/>
    <w:rsid w:val="00FD7A89"/>
    <w:rsid w:val="00FD7C65"/>
    <w:rsid w:val="00FE0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130F6F"/>
  <w15:chartTrackingRefBased/>
  <w15:docId w15:val="{6743584F-A1A0-4A61-8884-820845C21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95E5B"/>
    <w:pPr>
      <w:keepNext/>
      <w:keepLines/>
      <w:spacing w:before="240" w:after="0"/>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uiPriority w:val="9"/>
    <w:unhideWhenUsed/>
    <w:qFormat/>
    <w:rsid w:val="00D95E5B"/>
    <w:pPr>
      <w:keepNext/>
      <w:keepLines/>
      <w:spacing w:before="40" w:after="0"/>
      <w:outlineLvl w:val="1"/>
    </w:pPr>
    <w:rPr>
      <w:rFonts w:asciiTheme="majorHAnsi" w:eastAsiaTheme="majorEastAsia" w:hAnsiTheme="majorHAnsi" w:cstheme="majorBidi"/>
      <w:b/>
      <w:sz w:val="24"/>
      <w:szCs w:val="26"/>
    </w:rPr>
  </w:style>
  <w:style w:type="paragraph" w:styleId="Heading3">
    <w:name w:val="heading 3"/>
    <w:aliases w:val="Tables and Figures"/>
    <w:basedOn w:val="Normal"/>
    <w:next w:val="Normal"/>
    <w:link w:val="Heading3Char"/>
    <w:uiPriority w:val="9"/>
    <w:unhideWhenUsed/>
    <w:qFormat/>
    <w:rsid w:val="004F4017"/>
    <w:pPr>
      <w:keepNext/>
      <w:keepLines/>
      <w:spacing w:before="40" w:after="0"/>
      <w:outlineLvl w:val="2"/>
    </w:pPr>
    <w:rPr>
      <w:rFonts w:asciiTheme="majorHAnsi" w:eastAsiaTheme="majorEastAsia" w:hAnsiTheme="majorHAnsi" w:cstheme="majorBidi"/>
      <w:sz w:val="20"/>
      <w:szCs w:val="24"/>
    </w:rPr>
  </w:style>
  <w:style w:type="paragraph" w:styleId="Heading4">
    <w:name w:val="heading 4"/>
    <w:aliases w:val="Subheading"/>
    <w:basedOn w:val="Normal"/>
    <w:next w:val="Normal"/>
    <w:link w:val="Heading4Char"/>
    <w:uiPriority w:val="9"/>
    <w:unhideWhenUsed/>
    <w:qFormat/>
    <w:rsid w:val="004F4017"/>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E5B"/>
    <w:rPr>
      <w:rFonts w:asciiTheme="majorHAnsi" w:eastAsiaTheme="majorEastAsia" w:hAnsiTheme="majorHAnsi" w:cstheme="majorBidi"/>
      <w:b/>
      <w:sz w:val="24"/>
      <w:szCs w:val="32"/>
    </w:rPr>
  </w:style>
  <w:style w:type="character" w:customStyle="1" w:styleId="Heading2Char">
    <w:name w:val="Heading 2 Char"/>
    <w:basedOn w:val="DefaultParagraphFont"/>
    <w:link w:val="Heading2"/>
    <w:uiPriority w:val="9"/>
    <w:rsid w:val="00D95E5B"/>
    <w:rPr>
      <w:rFonts w:asciiTheme="majorHAnsi" w:eastAsiaTheme="majorEastAsia" w:hAnsiTheme="majorHAnsi" w:cstheme="majorBidi"/>
      <w:b/>
      <w:sz w:val="24"/>
      <w:szCs w:val="26"/>
    </w:rPr>
  </w:style>
  <w:style w:type="character" w:customStyle="1" w:styleId="Heading3Char">
    <w:name w:val="Heading 3 Char"/>
    <w:aliases w:val="Tables and Figures Char"/>
    <w:basedOn w:val="DefaultParagraphFont"/>
    <w:link w:val="Heading3"/>
    <w:uiPriority w:val="9"/>
    <w:rsid w:val="004F4017"/>
    <w:rPr>
      <w:rFonts w:asciiTheme="majorHAnsi" w:eastAsiaTheme="majorEastAsia" w:hAnsiTheme="majorHAnsi" w:cstheme="majorBidi"/>
      <w:sz w:val="20"/>
      <w:szCs w:val="24"/>
    </w:rPr>
  </w:style>
  <w:style w:type="character" w:customStyle="1" w:styleId="Heading4Char">
    <w:name w:val="Heading 4 Char"/>
    <w:aliases w:val="Subheading Char"/>
    <w:basedOn w:val="DefaultParagraphFont"/>
    <w:link w:val="Heading4"/>
    <w:uiPriority w:val="9"/>
    <w:rsid w:val="004F4017"/>
    <w:rPr>
      <w:rFonts w:asciiTheme="majorHAnsi" w:eastAsiaTheme="majorEastAsia" w:hAnsiTheme="majorHAnsi" w:cstheme="majorBidi"/>
      <w:i/>
      <w:iCs/>
    </w:rPr>
  </w:style>
  <w:style w:type="paragraph" w:styleId="Header">
    <w:name w:val="header"/>
    <w:basedOn w:val="Normal"/>
    <w:link w:val="HeaderChar"/>
    <w:uiPriority w:val="99"/>
    <w:unhideWhenUsed/>
    <w:rsid w:val="00F723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370"/>
  </w:style>
  <w:style w:type="paragraph" w:styleId="Footer">
    <w:name w:val="footer"/>
    <w:basedOn w:val="Normal"/>
    <w:link w:val="FooterChar"/>
    <w:uiPriority w:val="99"/>
    <w:unhideWhenUsed/>
    <w:rsid w:val="00F723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370"/>
  </w:style>
  <w:style w:type="character" w:customStyle="1" w:styleId="bold">
    <w:name w:val="bold"/>
    <w:basedOn w:val="DefaultParagraphFont"/>
    <w:rsid w:val="009F7B64"/>
  </w:style>
  <w:style w:type="character" w:customStyle="1" w:styleId="apple-converted-space">
    <w:name w:val="apple-converted-space"/>
    <w:basedOn w:val="DefaultParagraphFont"/>
    <w:rsid w:val="009F7B64"/>
  </w:style>
  <w:style w:type="paragraph" w:styleId="NormalWeb">
    <w:name w:val="Normal (Web)"/>
    <w:basedOn w:val="Normal"/>
    <w:uiPriority w:val="99"/>
    <w:unhideWhenUsed/>
    <w:rsid w:val="009F7B6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F7B64"/>
    <w:rPr>
      <w:color w:val="0000FF"/>
      <w:u w:val="single"/>
    </w:rPr>
  </w:style>
  <w:style w:type="paragraph" w:customStyle="1" w:styleId="Default">
    <w:name w:val="Default"/>
    <w:rsid w:val="009F7B6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9F7B64"/>
    <w:pPr>
      <w:spacing w:after="0" w:line="240" w:lineRule="auto"/>
      <w:ind w:left="720"/>
      <w:contextualSpacing/>
    </w:pPr>
    <w:rPr>
      <w:rFonts w:ascii="Times New Roman" w:eastAsia="Times New Roman" w:hAnsi="Times New Roman" w:cs="Times New Roman"/>
      <w:sz w:val="24"/>
      <w:szCs w:val="24"/>
    </w:rPr>
  </w:style>
  <w:style w:type="character" w:customStyle="1" w:styleId="st">
    <w:name w:val="st"/>
    <w:basedOn w:val="DefaultParagraphFont"/>
    <w:rsid w:val="009F7B64"/>
  </w:style>
  <w:style w:type="character" w:styleId="Emphasis">
    <w:name w:val="Emphasis"/>
    <w:uiPriority w:val="99"/>
    <w:qFormat/>
    <w:rsid w:val="009F7B64"/>
    <w:rPr>
      <w:i/>
      <w:iCs/>
    </w:rPr>
  </w:style>
  <w:style w:type="paragraph" w:styleId="Caption">
    <w:name w:val="caption"/>
    <w:basedOn w:val="Normal"/>
    <w:next w:val="Normal"/>
    <w:uiPriority w:val="35"/>
    <w:unhideWhenUsed/>
    <w:qFormat/>
    <w:rsid w:val="009F7B64"/>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5E60C9"/>
    <w:pPr>
      <w:outlineLvl w:val="9"/>
    </w:pPr>
    <w:rPr>
      <w:b w:val="0"/>
      <w:color w:val="2E74B5" w:themeColor="accent1" w:themeShade="BF"/>
      <w:sz w:val="32"/>
    </w:rPr>
  </w:style>
  <w:style w:type="paragraph" w:styleId="TOC1">
    <w:name w:val="toc 1"/>
    <w:basedOn w:val="Normal"/>
    <w:next w:val="Normal"/>
    <w:autoRedefine/>
    <w:uiPriority w:val="39"/>
    <w:unhideWhenUsed/>
    <w:rsid w:val="005E60C9"/>
    <w:pPr>
      <w:spacing w:after="100"/>
    </w:pPr>
  </w:style>
  <w:style w:type="paragraph" w:styleId="TOC2">
    <w:name w:val="toc 2"/>
    <w:basedOn w:val="Normal"/>
    <w:next w:val="Normal"/>
    <w:autoRedefine/>
    <w:uiPriority w:val="39"/>
    <w:unhideWhenUsed/>
    <w:rsid w:val="005E60C9"/>
    <w:pPr>
      <w:spacing w:after="100"/>
      <w:ind w:left="220"/>
    </w:pPr>
  </w:style>
  <w:style w:type="paragraph" w:styleId="TOC3">
    <w:name w:val="toc 3"/>
    <w:basedOn w:val="Normal"/>
    <w:next w:val="Normal"/>
    <w:autoRedefine/>
    <w:uiPriority w:val="39"/>
    <w:unhideWhenUsed/>
    <w:rsid w:val="005E60C9"/>
    <w:pPr>
      <w:spacing w:after="100"/>
      <w:ind w:left="440"/>
    </w:pPr>
  </w:style>
  <w:style w:type="paragraph" w:styleId="BalloonText">
    <w:name w:val="Balloon Text"/>
    <w:basedOn w:val="Normal"/>
    <w:link w:val="BalloonTextChar"/>
    <w:uiPriority w:val="99"/>
    <w:semiHidden/>
    <w:unhideWhenUsed/>
    <w:rsid w:val="00D505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543"/>
    <w:rPr>
      <w:rFonts w:ascii="Segoe UI" w:hAnsi="Segoe UI" w:cs="Segoe UI"/>
      <w:sz w:val="18"/>
      <w:szCs w:val="18"/>
    </w:rPr>
  </w:style>
  <w:style w:type="character" w:customStyle="1" w:styleId="latlong">
    <w:name w:val="lat_long"/>
    <w:basedOn w:val="DefaultParagraphFont"/>
    <w:rsid w:val="00D50543"/>
  </w:style>
  <w:style w:type="character" w:customStyle="1" w:styleId="descitem">
    <w:name w:val="desc_item"/>
    <w:basedOn w:val="DefaultParagraphFont"/>
    <w:rsid w:val="00D50543"/>
  </w:style>
  <w:style w:type="table" w:styleId="TableGrid">
    <w:name w:val="Table Grid"/>
    <w:basedOn w:val="TableNormal"/>
    <w:uiPriority w:val="59"/>
    <w:rsid w:val="00D50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0543"/>
    <w:rPr>
      <w:sz w:val="16"/>
      <w:szCs w:val="16"/>
    </w:rPr>
  </w:style>
  <w:style w:type="paragraph" w:styleId="CommentText">
    <w:name w:val="annotation text"/>
    <w:basedOn w:val="Normal"/>
    <w:link w:val="CommentTextChar"/>
    <w:uiPriority w:val="99"/>
    <w:semiHidden/>
    <w:unhideWhenUsed/>
    <w:rsid w:val="00D50543"/>
    <w:pPr>
      <w:spacing w:line="240" w:lineRule="auto"/>
    </w:pPr>
    <w:rPr>
      <w:sz w:val="20"/>
      <w:szCs w:val="20"/>
    </w:rPr>
  </w:style>
  <w:style w:type="character" w:customStyle="1" w:styleId="CommentTextChar">
    <w:name w:val="Comment Text Char"/>
    <w:basedOn w:val="DefaultParagraphFont"/>
    <w:link w:val="CommentText"/>
    <w:uiPriority w:val="99"/>
    <w:semiHidden/>
    <w:rsid w:val="00D50543"/>
    <w:rPr>
      <w:sz w:val="20"/>
      <w:szCs w:val="20"/>
    </w:rPr>
  </w:style>
  <w:style w:type="character" w:customStyle="1" w:styleId="CommentSubjectChar">
    <w:name w:val="Comment Subject Char"/>
    <w:basedOn w:val="CommentTextChar"/>
    <w:link w:val="CommentSubject"/>
    <w:uiPriority w:val="99"/>
    <w:semiHidden/>
    <w:rsid w:val="00D50543"/>
    <w:rPr>
      <w:b/>
      <w:bCs/>
      <w:sz w:val="20"/>
      <w:szCs w:val="20"/>
    </w:rPr>
  </w:style>
  <w:style w:type="paragraph" w:styleId="CommentSubject">
    <w:name w:val="annotation subject"/>
    <w:basedOn w:val="CommentText"/>
    <w:next w:val="CommentText"/>
    <w:link w:val="CommentSubjectChar"/>
    <w:uiPriority w:val="99"/>
    <w:semiHidden/>
    <w:unhideWhenUsed/>
    <w:rsid w:val="00D50543"/>
    <w:rPr>
      <w:b/>
      <w:bCs/>
    </w:rPr>
  </w:style>
  <w:style w:type="paragraph" w:customStyle="1" w:styleId="Dissertation">
    <w:name w:val="Dissertation"/>
    <w:basedOn w:val="Normal"/>
    <w:link w:val="DissertationChar"/>
    <w:qFormat/>
    <w:rsid w:val="00D50543"/>
    <w:pPr>
      <w:spacing w:line="480" w:lineRule="auto"/>
    </w:pPr>
    <w:rPr>
      <w:b/>
    </w:rPr>
  </w:style>
  <w:style w:type="character" w:customStyle="1" w:styleId="DissertationChar">
    <w:name w:val="Dissertation Char"/>
    <w:basedOn w:val="DefaultParagraphFont"/>
    <w:link w:val="Dissertation"/>
    <w:rsid w:val="00D50543"/>
    <w:rPr>
      <w:b/>
    </w:rPr>
  </w:style>
  <w:style w:type="paragraph" w:styleId="Title">
    <w:name w:val="Title"/>
    <w:basedOn w:val="Dissertation"/>
    <w:next w:val="Normal"/>
    <w:link w:val="TitleChar"/>
    <w:uiPriority w:val="10"/>
    <w:qFormat/>
    <w:rsid w:val="00D50543"/>
  </w:style>
  <w:style w:type="character" w:customStyle="1" w:styleId="TitleChar">
    <w:name w:val="Title Char"/>
    <w:basedOn w:val="DefaultParagraphFont"/>
    <w:link w:val="Title"/>
    <w:uiPriority w:val="10"/>
    <w:rsid w:val="00D50543"/>
    <w:rPr>
      <w:b/>
    </w:rPr>
  </w:style>
  <w:style w:type="character" w:styleId="PlaceholderText">
    <w:name w:val="Placeholder Text"/>
    <w:basedOn w:val="DefaultParagraphFont"/>
    <w:uiPriority w:val="99"/>
    <w:semiHidden/>
    <w:rsid w:val="003D1637"/>
    <w:rPr>
      <w:color w:val="808080"/>
    </w:rPr>
  </w:style>
  <w:style w:type="character" w:styleId="Strong">
    <w:name w:val="Strong"/>
    <w:uiPriority w:val="99"/>
    <w:qFormat/>
    <w:rsid w:val="00961EE9"/>
    <w:rPr>
      <w:rFonts w:cs="Times New Roman"/>
      <w:b/>
      <w:bCs/>
    </w:rPr>
  </w:style>
  <w:style w:type="numbering" w:customStyle="1" w:styleId="NoList1">
    <w:name w:val="No List1"/>
    <w:next w:val="NoList"/>
    <w:uiPriority w:val="99"/>
    <w:semiHidden/>
    <w:unhideWhenUsed/>
    <w:rsid w:val="00A90E7E"/>
  </w:style>
  <w:style w:type="table" w:customStyle="1" w:styleId="TableGrid1">
    <w:name w:val="Table Grid1"/>
    <w:basedOn w:val="TableNormal"/>
    <w:next w:val="TableGrid"/>
    <w:uiPriority w:val="59"/>
    <w:rsid w:val="00A90E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88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1.xml"/><Relationship Id="rId21" Type="http://schemas.openxmlformats.org/officeDocument/2006/relationships/chart" Target="charts/chart6.xml"/><Relationship Id="rId42" Type="http://schemas.openxmlformats.org/officeDocument/2006/relationships/chart" Target="charts/chart21.xml"/><Relationship Id="rId47" Type="http://schemas.openxmlformats.org/officeDocument/2006/relationships/chart" Target="charts/chart24.xml"/><Relationship Id="rId63" Type="http://schemas.openxmlformats.org/officeDocument/2006/relationships/image" Target="media/image22.jpeg"/><Relationship Id="rId68" Type="http://schemas.openxmlformats.org/officeDocument/2006/relationships/chart" Target="charts/chart3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chart" Target="charts/chart13.xml"/><Relationship Id="rId11" Type="http://schemas.openxmlformats.org/officeDocument/2006/relationships/image" Target="media/image1.png"/><Relationship Id="rId24" Type="http://schemas.openxmlformats.org/officeDocument/2006/relationships/chart" Target="charts/chart9.xml"/><Relationship Id="rId32" Type="http://schemas.openxmlformats.org/officeDocument/2006/relationships/chart" Target="charts/chart16.xml"/><Relationship Id="rId37" Type="http://schemas.openxmlformats.org/officeDocument/2006/relationships/image" Target="media/image8.png"/><Relationship Id="rId40" Type="http://schemas.openxmlformats.org/officeDocument/2006/relationships/image" Target="media/image10.png"/><Relationship Id="rId45" Type="http://schemas.openxmlformats.org/officeDocument/2006/relationships/chart" Target="charts/chart22.xml"/><Relationship Id="rId53" Type="http://schemas.openxmlformats.org/officeDocument/2006/relationships/image" Target="media/image15.png"/><Relationship Id="rId58" Type="http://schemas.openxmlformats.org/officeDocument/2006/relationships/chart" Target="charts/chart29.xml"/><Relationship Id="rId66" Type="http://schemas.openxmlformats.org/officeDocument/2006/relationships/chart" Target="charts/chart31.xml"/><Relationship Id="rId5" Type="http://schemas.openxmlformats.org/officeDocument/2006/relationships/webSettings" Target="webSettings.xml"/><Relationship Id="rId61" Type="http://schemas.openxmlformats.org/officeDocument/2006/relationships/image" Target="media/image20.tiff"/><Relationship Id="rId19" Type="http://schemas.openxmlformats.org/officeDocument/2006/relationships/chart" Target="charts/chart4.xml"/><Relationship Id="rId14" Type="http://schemas.openxmlformats.org/officeDocument/2006/relationships/hyperlink" Target="http://www.asmr.us/Portals/0/Documents/Conference-Proceedings/2010/0635-Nairn.pdf" TargetMode="Externa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4.xml"/><Relationship Id="rId35" Type="http://schemas.openxmlformats.org/officeDocument/2006/relationships/chart" Target="charts/chart17.xml"/><Relationship Id="rId43" Type="http://schemas.openxmlformats.org/officeDocument/2006/relationships/image" Target="media/image11.png"/><Relationship Id="rId48" Type="http://schemas.openxmlformats.org/officeDocument/2006/relationships/chart" Target="charts/chart25.xml"/><Relationship Id="rId56" Type="http://schemas.openxmlformats.org/officeDocument/2006/relationships/image" Target="media/image18.png"/><Relationship Id="rId64" Type="http://schemas.openxmlformats.org/officeDocument/2006/relationships/image" Target="media/image23.png"/><Relationship Id="rId69" Type="http://schemas.openxmlformats.org/officeDocument/2006/relationships/footer" Target="footer4.xml"/><Relationship Id="rId8" Type="http://schemas.openxmlformats.org/officeDocument/2006/relationships/footer" Target="footer1.xml"/><Relationship Id="rId51" Type="http://schemas.openxmlformats.org/officeDocument/2006/relationships/image" Target="media/image13.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image" Target="media/image6.png"/><Relationship Id="rId38" Type="http://schemas.openxmlformats.org/officeDocument/2006/relationships/chart" Target="charts/chart19.xml"/><Relationship Id="rId46" Type="http://schemas.openxmlformats.org/officeDocument/2006/relationships/chart" Target="charts/chart23.xml"/><Relationship Id="rId59" Type="http://schemas.openxmlformats.org/officeDocument/2006/relationships/chart" Target="charts/chart30.xml"/><Relationship Id="rId67" Type="http://schemas.openxmlformats.org/officeDocument/2006/relationships/image" Target="media/image25.png"/><Relationship Id="rId20" Type="http://schemas.openxmlformats.org/officeDocument/2006/relationships/chart" Target="charts/chart5.xml"/><Relationship Id="rId41" Type="http://schemas.openxmlformats.org/officeDocument/2006/relationships/chart" Target="charts/chart20.xml"/><Relationship Id="rId54" Type="http://schemas.openxmlformats.org/officeDocument/2006/relationships/image" Target="media/image16.png"/><Relationship Id="rId62" Type="http://schemas.openxmlformats.org/officeDocument/2006/relationships/image" Target="media/image21.tiff"/><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chart" Target="charts/chart8.xml"/><Relationship Id="rId28" Type="http://schemas.openxmlformats.org/officeDocument/2006/relationships/image" Target="media/image5.png"/><Relationship Id="rId36" Type="http://schemas.openxmlformats.org/officeDocument/2006/relationships/chart" Target="charts/chart18.xml"/><Relationship Id="rId49" Type="http://schemas.openxmlformats.org/officeDocument/2006/relationships/chart" Target="charts/chart26.xml"/><Relationship Id="rId57" Type="http://schemas.openxmlformats.org/officeDocument/2006/relationships/chart" Target="charts/chart28.xml"/><Relationship Id="rId10" Type="http://schemas.openxmlformats.org/officeDocument/2006/relationships/footer" Target="footer3.xml"/><Relationship Id="rId31" Type="http://schemas.openxmlformats.org/officeDocument/2006/relationships/chart" Target="charts/chart15.xml"/><Relationship Id="rId44" Type="http://schemas.openxmlformats.org/officeDocument/2006/relationships/image" Target="media/image12.png"/><Relationship Id="rId52" Type="http://schemas.openxmlformats.org/officeDocument/2006/relationships/image" Target="media/image14.png"/><Relationship Id="rId60" Type="http://schemas.openxmlformats.org/officeDocument/2006/relationships/image" Target="media/image19.tiff"/><Relationship Id="rId65"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chart" Target="charts/chart1.xml"/><Relationship Id="rId18" Type="http://schemas.openxmlformats.org/officeDocument/2006/relationships/chart" Target="charts/chart3.xml"/><Relationship Id="rId39" Type="http://schemas.openxmlformats.org/officeDocument/2006/relationships/image" Target="media/image9.png"/><Relationship Id="rId34" Type="http://schemas.openxmlformats.org/officeDocument/2006/relationships/image" Target="media/image7.png"/><Relationship Id="rId50" Type="http://schemas.openxmlformats.org/officeDocument/2006/relationships/chart" Target="charts/chart27.xml"/><Relationship Id="rId55" Type="http://schemas.openxmlformats.org/officeDocument/2006/relationships/image" Target="media/image17.png"/></Relationships>
</file>

<file path=word/charts/_rels/chart1.xml.rels><?xml version="1.0" encoding="UTF-8" standalone="yes"?>
<Relationships xmlns="http://schemas.openxmlformats.org/package/2006/relationships"><Relationship Id="rId3" Type="http://schemas.openxmlformats.org/officeDocument/2006/relationships/oleObject" Target="file:///G:\OU\Projects\MRPTS%20Operation\Water%20Quality%20After%20MRPTS%20Construction%202009-2015.xls"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4.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5.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Leah\Desktop\Dissertation%20Desktop\Chapter%202%20graphs%20(.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eah\Desktop\Chapter%202%20graphs%20(.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Leah\Desktop\Chapter%202%20graphs%20(.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Leah\AppData\Roaming\Microsoft\Excel\Chapter%202%20graphs%20(%20(version%202).xlsb"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Leah\AppData\Roaming\Microsoft\Excel\Chapter%202%20graphs%20(%20(version%202).xlsb"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6.xml"/><Relationship Id="rId4" Type="http://schemas.openxmlformats.org/officeDocument/2006/relationships/oleObject" Target="file:///G:\OU\Projects\Storm%20Transport\Autosampler%20Processed%20Transport%20Data\Mesonet%20Max%20Storm%20Intensity%202009-2015.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G:\OU\Projects\Storm%20Transport\Autosampler%20Processed%20Transport%20Data\Mesonet%20Max%20Storm%20Intensity%202009-2015.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7.xml"/><Relationship Id="rId1" Type="http://schemas.microsoft.com/office/2011/relationships/chartStyle" Target="style17.xml"/><Relationship Id="rId5" Type="http://schemas.openxmlformats.org/officeDocument/2006/relationships/chartUserShapes" Target="../drawings/drawing7.xml"/><Relationship Id="rId4" Type="http://schemas.openxmlformats.org/officeDocument/2006/relationships/oleObject" Target="file:///G:\OU\Projects\Storm%20Transport\Autosampler%20Processed%20Transport%20Data\Mesonet%20Max%20Storm%20Intensity%202009-2015.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ah\Desktop\Chapter%202%20graphs.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8.xml"/><Relationship Id="rId1" Type="http://schemas.microsoft.com/office/2011/relationships/chartStyle" Target="style18.xml"/><Relationship Id="rId5" Type="http://schemas.openxmlformats.org/officeDocument/2006/relationships/chartUserShapes" Target="../drawings/drawing8.xml"/><Relationship Id="rId4" Type="http://schemas.openxmlformats.org/officeDocument/2006/relationships/oleObject" Target="file:///G:\OU\Projects\Storm%20Transport\Autosampler%20Processed%20Transport%20Data\flowrates%20seasonally%20adjusted\C1out%202011%20-%202013%20storm%20transport%20seasonal%20adjustment.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G:\OU\Projects\Storm%20Transport\Autosampler%20Processed%20Transport%20Data\flowrates%20seasonally%20adjusted\C1out%202011%20-%202013%20storm%20transport%20seasonal%20adjustment.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0.xml"/><Relationship Id="rId1" Type="http://schemas.microsoft.com/office/2011/relationships/chartStyle" Target="style20.xml"/><Relationship Id="rId5" Type="http://schemas.openxmlformats.org/officeDocument/2006/relationships/chartUserShapes" Target="../drawings/drawing9.xml"/><Relationship Id="rId4" Type="http://schemas.openxmlformats.org/officeDocument/2006/relationships/oleObject" Target="file:///G:\OU\Projects\Storm%20Transport\Autosampler%20Processed%20Transport%20Data\flowrates%20seasonally%20adjusted\C2Nout%202011-2013%20storm%20transport%20seasonal%20flow%20adjustment.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G:\OU\Projects\Storm%20Transport\Autosampler%20Processed%20Transport%20Data\flowrates%20seasonally%20adjusted\C2Nout%202011-2013%20storm%20transport%20seasonal%20flow%20adjustment.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2.xml"/><Relationship Id="rId1" Type="http://schemas.microsoft.com/office/2011/relationships/chartStyle" Target="style22.xml"/><Relationship Id="rId5" Type="http://schemas.openxmlformats.org/officeDocument/2006/relationships/chartUserShapes" Target="../drawings/drawing10.xml"/><Relationship Id="rId4" Type="http://schemas.openxmlformats.org/officeDocument/2006/relationships/oleObject" Target="file:///G:\OU\Projects\Storm%20Transport\Autosampler%20Processed%20Transport%20Data\flowrates%20seasonally%20adjusted\C2Sout%202011-2013%20seasonally%20adjusted%20storm%20transport.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G:\OU\Projects\Storm%20Transport\Autosampler%20Processed%20Transport%20Data\flowrates%20seasonally%20adjusted\C2Sout%202011-2013%20seasonally%20adjusted%20storm%20transport.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24.xml"/><Relationship Id="rId1" Type="http://schemas.microsoft.com/office/2011/relationships/chartStyle" Target="style24.xml"/><Relationship Id="rId5" Type="http://schemas.openxmlformats.org/officeDocument/2006/relationships/chartUserShapes" Target="../drawings/drawing11.xml"/><Relationship Id="rId4" Type="http://schemas.openxmlformats.org/officeDocument/2006/relationships/oleObject" Target="file:///G:\OU\Projects\Storm%20Transport\Autosampler%20Processed%20Transport%20Data\flowrates%20seasonally%20adjusted\C6out%202011-2013%20storm%20transport%20seasonally%20adjusted.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G:\OU\Projects\Storm%20Transport\Autosampler%20Processed%20Transport%20Data\flowrates%20seasonally%20adjusted\C6out%202011-2013%20storm%20transport%20seasonally%20adjusted.xlsx" TargetMode="External"/></Relationships>
</file>

<file path=word/charts/_rels/chart28.xml.rels><?xml version="1.0" encoding="UTF-8" standalone="yes"?>
<Relationships xmlns="http://schemas.openxmlformats.org/package/2006/relationships"><Relationship Id="rId3" Type="http://schemas.openxmlformats.org/officeDocument/2006/relationships/oleObject" Target="file:///G:\OU\Projects\Solids%20Accumulation\Preliminary%20Catwalk%20Core%20Depth%20Comparison.xlsx" TargetMode="External"/><Relationship Id="rId2" Type="http://schemas.microsoft.com/office/2011/relationships/chartColorStyle" Target="colors26.xml"/><Relationship Id="rId1" Type="http://schemas.microsoft.com/office/2011/relationships/chartStyle" Target="style26.xml"/></Relationships>
</file>

<file path=word/charts/_rels/chart29.xml.rels><?xml version="1.0" encoding="UTF-8" standalone="yes"?>
<Relationships xmlns="http://schemas.openxmlformats.org/package/2006/relationships"><Relationship Id="rId3" Type="http://schemas.openxmlformats.org/officeDocument/2006/relationships/oleObject" Target="file:///G:\OU\Projects\Solids%20Accumulation\Core%20Sample%20%20Data%20C1%20and%20C2S%2008212015.xlsx" TargetMode="External"/><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Leah\Desktop\Dissertation%20Desktop\Chapter%202%20graphs%20(.xlsx"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G:\OU\Projects\Solids%20Accumulation\Core%20Sample%20%20Data%20C1%20and%20C2S%2008212015.xlsx" TargetMode="External"/><Relationship Id="rId2" Type="http://schemas.microsoft.com/office/2011/relationships/chartColorStyle" Target="colors28.xml"/><Relationship Id="rId1" Type="http://schemas.microsoft.com/office/2011/relationships/chartStyle" Target="style28.xml"/></Relationships>
</file>

<file path=word/charts/_rels/chart31.xml.rels><?xml version="1.0" encoding="UTF-8" standalone="yes"?>
<Relationships xmlns="http://schemas.openxmlformats.org/package/2006/relationships"><Relationship Id="rId3" Type="http://schemas.openxmlformats.org/officeDocument/2006/relationships/oleObject" Target="file:///G:\OU\Projects\Tracer%20Study\Tracer%20Field%20Study%20Data%20and%20Pics\MRPTS%20Oxidative%20Unit%20Tracer%20Study%20Sonde%20Data%202015.xlsx" TargetMode="External"/><Relationship Id="rId2" Type="http://schemas.microsoft.com/office/2011/relationships/chartColorStyle" Target="colors29.xml"/><Relationship Id="rId1" Type="http://schemas.microsoft.com/office/2011/relationships/chartStyle" Target="style29.xml"/></Relationships>
</file>

<file path=word/charts/_rels/chart32.xml.rels><?xml version="1.0" encoding="UTF-8" standalone="yes"?>
<Relationships xmlns="http://schemas.openxmlformats.org/package/2006/relationships"><Relationship Id="rId1" Type="http://schemas.openxmlformats.org/officeDocument/2006/relationships/oleObject" Target="file:///G:\OU\Projects\Tracer%20Study\Tracer%20Field%20Study%20Data%20and%20Pics\MRPTS%20Oxidative%20Unit%20Tracer%20Study%20Sonde%20Data%202015.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ah\Desktop\Chapter%202%20graphs.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eah\Desktop\Chapter%202%20graphs%20(.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Leah\Desktop\Chapter%202%20graphs%20(.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Leah\Desktop\Chapter%202%20graphs%20(.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ah\AppData\Roaming\Microsoft\Excel\Book2%20(version%202).xlsb"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2.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15048118985127"/>
          <c:y val="5.0925925925925923E-2"/>
          <c:w val="0.83129396325459315"/>
          <c:h val="0.6626205229500951"/>
        </c:manualLayout>
      </c:layout>
      <c:barChart>
        <c:barDir val="col"/>
        <c:grouping val="clustered"/>
        <c:varyColors val="0"/>
        <c:ser>
          <c:idx val="0"/>
          <c:order val="0"/>
          <c:tx>
            <c:strRef>
              <c:f>'System Summary'!$K$5</c:f>
              <c:strCache>
                <c:ptCount val="1"/>
                <c:pt idx="0">
                  <c:v>Total Iron</c:v>
                </c:pt>
              </c:strCache>
            </c:strRef>
          </c:tx>
          <c:spPr>
            <a:solidFill>
              <a:schemeClr val="accent2">
                <a:lumMod val="50000"/>
              </a:schemeClr>
            </a:solidFill>
            <a:ln>
              <a:noFill/>
            </a:ln>
            <a:effectLst/>
          </c:spPr>
          <c:invertIfNegative val="0"/>
          <c:errBars>
            <c:errBarType val="both"/>
            <c:errValType val="cust"/>
            <c:noEndCap val="0"/>
            <c:plus>
              <c:numRef>
                <c:f>'System Summary'!$L$11:$R$11</c:f>
                <c:numCache>
                  <c:formatCode>General</c:formatCode>
                  <c:ptCount val="7"/>
                  <c:pt idx="0">
                    <c:v>16</c:v>
                  </c:pt>
                  <c:pt idx="1">
                    <c:v>38.1</c:v>
                  </c:pt>
                  <c:pt idx="2">
                    <c:v>11.6</c:v>
                  </c:pt>
                  <c:pt idx="3">
                    <c:v>2.4300000000000002</c:v>
                  </c:pt>
                  <c:pt idx="4">
                    <c:v>1.57</c:v>
                  </c:pt>
                  <c:pt idx="5">
                    <c:v>1.1200000000000001</c:v>
                  </c:pt>
                  <c:pt idx="6">
                    <c:v>0.433</c:v>
                  </c:pt>
                </c:numCache>
              </c:numRef>
            </c:plus>
            <c:minus>
              <c:numRef>
                <c:f>'System Summary'!$L$11:$R$11</c:f>
                <c:numCache>
                  <c:formatCode>General</c:formatCode>
                  <c:ptCount val="7"/>
                  <c:pt idx="0">
                    <c:v>16</c:v>
                  </c:pt>
                  <c:pt idx="1">
                    <c:v>38.1</c:v>
                  </c:pt>
                  <c:pt idx="2">
                    <c:v>11.6</c:v>
                  </c:pt>
                  <c:pt idx="3">
                    <c:v>2.4300000000000002</c:v>
                  </c:pt>
                  <c:pt idx="4">
                    <c:v>1.57</c:v>
                  </c:pt>
                  <c:pt idx="5">
                    <c:v>1.1200000000000001</c:v>
                  </c:pt>
                  <c:pt idx="6">
                    <c:v>0.433</c:v>
                  </c:pt>
                </c:numCache>
              </c:numRef>
            </c:minus>
            <c:spPr>
              <a:noFill/>
              <a:ln w="9525" cap="flat" cmpd="sng" algn="ctr">
                <a:solidFill>
                  <a:schemeClr val="tx1">
                    <a:lumMod val="65000"/>
                    <a:lumOff val="35000"/>
                  </a:schemeClr>
                </a:solidFill>
                <a:round/>
              </a:ln>
              <a:effectLst/>
            </c:spPr>
          </c:errBars>
          <c:cat>
            <c:strRef>
              <c:f>'System Summary'!$L$4:$R$4</c:f>
              <c:strCache>
                <c:ptCount val="7"/>
                <c:pt idx="0">
                  <c:v>Influent </c:v>
                </c:pt>
                <c:pt idx="1">
                  <c:v>C1Out</c:v>
                </c:pt>
                <c:pt idx="2">
                  <c:v>2N/S</c:v>
                </c:pt>
                <c:pt idx="3">
                  <c:v>3N/S</c:v>
                </c:pt>
                <c:pt idx="4">
                  <c:v>4N/S</c:v>
                </c:pt>
                <c:pt idx="5">
                  <c:v>5N/S</c:v>
                </c:pt>
                <c:pt idx="6">
                  <c:v>C6Out</c:v>
                </c:pt>
              </c:strCache>
            </c:strRef>
          </c:cat>
          <c:val>
            <c:numRef>
              <c:f>'System Summary'!$L$5:$R$5</c:f>
              <c:numCache>
                <c:formatCode>General</c:formatCode>
                <c:ptCount val="7"/>
                <c:pt idx="0">
                  <c:v>169</c:v>
                </c:pt>
                <c:pt idx="1">
                  <c:v>45.9</c:v>
                </c:pt>
                <c:pt idx="2">
                  <c:v>7.94</c:v>
                </c:pt>
                <c:pt idx="3">
                  <c:v>1.76</c:v>
                </c:pt>
                <c:pt idx="4">
                  <c:v>1.17</c:v>
                </c:pt>
                <c:pt idx="5">
                  <c:v>0.74299999999999999</c:v>
                </c:pt>
                <c:pt idx="6">
                  <c:v>0.51</c:v>
                </c:pt>
              </c:numCache>
            </c:numRef>
          </c:val>
          <c:extLst>
            <c:ext xmlns:c16="http://schemas.microsoft.com/office/drawing/2014/chart" uri="{C3380CC4-5D6E-409C-BE32-E72D297353CC}">
              <c16:uniqueId val="{00000000-C45A-47E4-996B-8D74DF91BF3E}"/>
            </c:ext>
          </c:extLst>
        </c:ser>
        <c:ser>
          <c:idx val="1"/>
          <c:order val="1"/>
          <c:tx>
            <c:strRef>
              <c:f>'System Summary'!$K$6</c:f>
              <c:strCache>
                <c:ptCount val="1"/>
                <c:pt idx="0">
                  <c:v>Dissolved Iron</c:v>
                </c:pt>
              </c:strCache>
            </c:strRef>
          </c:tx>
          <c:spPr>
            <a:solidFill>
              <a:schemeClr val="accent4"/>
            </a:solidFill>
            <a:ln>
              <a:noFill/>
            </a:ln>
            <a:effectLst/>
          </c:spPr>
          <c:invertIfNegative val="0"/>
          <c:errBars>
            <c:errBarType val="both"/>
            <c:errValType val="cust"/>
            <c:noEndCap val="0"/>
            <c:plus>
              <c:numRef>
                <c:f>'System Summary'!$L$11:$R$11</c:f>
                <c:numCache>
                  <c:formatCode>General</c:formatCode>
                  <c:ptCount val="7"/>
                  <c:pt idx="0">
                    <c:v>16</c:v>
                  </c:pt>
                  <c:pt idx="1">
                    <c:v>38.1</c:v>
                  </c:pt>
                  <c:pt idx="2">
                    <c:v>11.6</c:v>
                  </c:pt>
                  <c:pt idx="3">
                    <c:v>2.4300000000000002</c:v>
                  </c:pt>
                  <c:pt idx="4">
                    <c:v>1.57</c:v>
                  </c:pt>
                  <c:pt idx="5">
                    <c:v>1.1200000000000001</c:v>
                  </c:pt>
                  <c:pt idx="6">
                    <c:v>0.433</c:v>
                  </c:pt>
                </c:numCache>
              </c:numRef>
            </c:plus>
            <c:minus>
              <c:numRef>
                <c:f>'System Summary'!$L$12:$R$12</c:f>
                <c:numCache>
                  <c:formatCode>General</c:formatCode>
                  <c:ptCount val="7"/>
                  <c:pt idx="0">
                    <c:v>9</c:v>
                  </c:pt>
                  <c:pt idx="1">
                    <c:v>24.1</c:v>
                  </c:pt>
                  <c:pt idx="2">
                    <c:v>13.8</c:v>
                  </c:pt>
                  <c:pt idx="3">
                    <c:v>2.86</c:v>
                  </c:pt>
                  <c:pt idx="4">
                    <c:v>0.95899999999999996</c:v>
                  </c:pt>
                  <c:pt idx="5">
                    <c:v>0.251</c:v>
                  </c:pt>
                  <c:pt idx="6">
                    <c:v>0.14399999999999999</c:v>
                  </c:pt>
                </c:numCache>
              </c:numRef>
            </c:minus>
            <c:spPr>
              <a:noFill/>
              <a:ln w="9525" cap="flat" cmpd="sng" algn="ctr">
                <a:solidFill>
                  <a:schemeClr val="tx1">
                    <a:lumMod val="65000"/>
                    <a:lumOff val="35000"/>
                  </a:schemeClr>
                </a:solidFill>
                <a:round/>
              </a:ln>
              <a:effectLst/>
            </c:spPr>
          </c:errBars>
          <c:cat>
            <c:strRef>
              <c:f>'System Summary'!$L$4:$R$4</c:f>
              <c:strCache>
                <c:ptCount val="7"/>
                <c:pt idx="0">
                  <c:v>Influent </c:v>
                </c:pt>
                <c:pt idx="1">
                  <c:v>C1Out</c:v>
                </c:pt>
                <c:pt idx="2">
                  <c:v>2N/S</c:v>
                </c:pt>
                <c:pt idx="3">
                  <c:v>3N/S</c:v>
                </c:pt>
                <c:pt idx="4">
                  <c:v>4N/S</c:v>
                </c:pt>
                <c:pt idx="5">
                  <c:v>5N/S</c:v>
                </c:pt>
                <c:pt idx="6">
                  <c:v>C6Out</c:v>
                </c:pt>
              </c:strCache>
            </c:strRef>
          </c:cat>
          <c:val>
            <c:numRef>
              <c:f>'System Summary'!$L$6:$R$6</c:f>
              <c:numCache>
                <c:formatCode>General</c:formatCode>
                <c:ptCount val="7"/>
                <c:pt idx="0">
                  <c:v>169</c:v>
                </c:pt>
                <c:pt idx="1">
                  <c:v>29.1</c:v>
                </c:pt>
                <c:pt idx="2">
                  <c:v>6.23</c:v>
                </c:pt>
                <c:pt idx="3">
                  <c:v>1.47</c:v>
                </c:pt>
                <c:pt idx="4">
                  <c:v>0.53200000000000003</c:v>
                </c:pt>
                <c:pt idx="5">
                  <c:v>0.25</c:v>
                </c:pt>
                <c:pt idx="6">
                  <c:v>0.13</c:v>
                </c:pt>
              </c:numCache>
            </c:numRef>
          </c:val>
          <c:extLst>
            <c:ext xmlns:c16="http://schemas.microsoft.com/office/drawing/2014/chart" uri="{C3380CC4-5D6E-409C-BE32-E72D297353CC}">
              <c16:uniqueId val="{00000001-C45A-47E4-996B-8D74DF91BF3E}"/>
            </c:ext>
          </c:extLst>
        </c:ser>
        <c:dLbls>
          <c:showLegendKey val="0"/>
          <c:showVal val="0"/>
          <c:showCatName val="0"/>
          <c:showSerName val="0"/>
          <c:showPercent val="0"/>
          <c:showBubbleSize val="0"/>
        </c:dLbls>
        <c:gapWidth val="219"/>
        <c:overlap val="-27"/>
        <c:axId val="430234544"/>
        <c:axId val="430235528"/>
      </c:barChart>
      <c:catAx>
        <c:axId val="430234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MRPTS Treatment Cell</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430235528"/>
        <c:crosses val="autoZero"/>
        <c:auto val="1"/>
        <c:lblAlgn val="ctr"/>
        <c:lblOffset val="100"/>
        <c:noMultiLvlLbl val="0"/>
      </c:catAx>
      <c:valAx>
        <c:axId val="430235528"/>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 of Iron (mg/L)</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30234544"/>
        <c:crosses val="autoZero"/>
        <c:crossBetween val="between"/>
      </c:valAx>
      <c:spPr>
        <a:noFill/>
        <a:ln>
          <a:noFill/>
        </a:ln>
        <a:effectLst/>
      </c:spPr>
    </c:plotArea>
    <c:legend>
      <c:legendPos val="b"/>
      <c:layout>
        <c:manualLayout>
          <c:xMode val="edge"/>
          <c:yMode val="edge"/>
          <c:x val="0.30281110768627229"/>
          <c:y val="3.8372883801895893E-2"/>
          <c:w val="0.54621645603908053"/>
          <c:h val="0.1231391436895130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October!$B$73</c:f>
              <c:strCache>
                <c:ptCount val="1"/>
                <c:pt idx="0">
                  <c:v>Total Fe</c:v>
                </c:pt>
              </c:strCache>
            </c:strRef>
          </c:tx>
          <c:spPr>
            <a:solidFill>
              <a:schemeClr val="accent2"/>
            </a:solidFill>
            <a:ln>
              <a:noFill/>
            </a:ln>
            <a:effectLst/>
          </c:spPr>
          <c:invertIfNegative val="0"/>
          <c:errBars>
            <c:errBarType val="both"/>
            <c:errValType val="cust"/>
            <c:noEndCap val="0"/>
            <c:plus>
              <c:numRef>
                <c:f>October!$B$83:$B$89</c:f>
                <c:numCache>
                  <c:formatCode>General</c:formatCode>
                  <c:ptCount val="7"/>
                  <c:pt idx="0">
                    <c:v>5.8429984142209355</c:v>
                  </c:pt>
                  <c:pt idx="1">
                    <c:v>15.807238966663368</c:v>
                  </c:pt>
                  <c:pt idx="2">
                    <c:v>21.062106812751061</c:v>
                  </c:pt>
                  <c:pt idx="3">
                    <c:v>20.76911825655413</c:v>
                  </c:pt>
                  <c:pt idx="4">
                    <c:v>12.074582641090522</c:v>
                  </c:pt>
                  <c:pt idx="5">
                    <c:v>4.0596736291152391</c:v>
                  </c:pt>
                  <c:pt idx="6">
                    <c:v>21.343340846401741</c:v>
                  </c:pt>
                </c:numCache>
              </c:numRef>
            </c:plus>
            <c:minus>
              <c:numRef>
                <c:f>October!$B$83:$B$89</c:f>
                <c:numCache>
                  <c:formatCode>General</c:formatCode>
                  <c:ptCount val="7"/>
                  <c:pt idx="0">
                    <c:v>5.8429984142209355</c:v>
                  </c:pt>
                  <c:pt idx="1">
                    <c:v>15.807238966663368</c:v>
                  </c:pt>
                  <c:pt idx="2">
                    <c:v>21.062106812751061</c:v>
                  </c:pt>
                  <c:pt idx="3">
                    <c:v>20.76911825655413</c:v>
                  </c:pt>
                  <c:pt idx="4">
                    <c:v>12.074582641090522</c:v>
                  </c:pt>
                  <c:pt idx="5">
                    <c:v>4.0596736291152391</c:v>
                  </c:pt>
                  <c:pt idx="6">
                    <c:v>21.343340846401741</c:v>
                  </c:pt>
                </c:numCache>
              </c:numRef>
            </c:minus>
            <c:spPr>
              <a:noFill/>
              <a:ln w="9525" cap="flat" cmpd="sng" algn="ctr">
                <a:solidFill>
                  <a:schemeClr val="tx1">
                    <a:lumMod val="65000"/>
                    <a:lumOff val="35000"/>
                  </a:schemeClr>
                </a:solidFill>
                <a:round/>
              </a:ln>
              <a:effectLst/>
            </c:spPr>
          </c:errBars>
          <c:cat>
            <c:strRef>
              <c:f>October!$A$74:$A$80</c:f>
              <c:strCache>
                <c:ptCount val="7"/>
                <c:pt idx="0">
                  <c:v>Average Seep</c:v>
                </c:pt>
                <c:pt idx="1">
                  <c:v>Cat 1-1</c:v>
                </c:pt>
                <c:pt idx="2">
                  <c:v>S2B</c:v>
                </c:pt>
                <c:pt idx="3">
                  <c:v>S2U</c:v>
                </c:pt>
                <c:pt idx="4">
                  <c:v>Cat 2-1</c:v>
                </c:pt>
                <c:pt idx="5">
                  <c:v>Cat 3-1</c:v>
                </c:pt>
                <c:pt idx="6">
                  <c:v>C1Out</c:v>
                </c:pt>
              </c:strCache>
            </c:strRef>
          </c:cat>
          <c:val>
            <c:numRef>
              <c:f>October!$B$74:$B$80</c:f>
              <c:numCache>
                <c:formatCode>0.000</c:formatCode>
                <c:ptCount val="7"/>
                <c:pt idx="0">
                  <c:v>176.49749839742822</c:v>
                </c:pt>
                <c:pt idx="1">
                  <c:v>23.501129189983217</c:v>
                </c:pt>
                <c:pt idx="2">
                  <c:v>24.176311390718713</c:v>
                </c:pt>
                <c:pt idx="3">
                  <c:v>19.765319516354683</c:v>
                </c:pt>
                <c:pt idx="4">
                  <c:v>16.189870416651789</c:v>
                </c:pt>
                <c:pt idx="5">
                  <c:v>6.0771744174883153</c:v>
                </c:pt>
                <c:pt idx="6">
                  <c:v>28.960257494251142</c:v>
                </c:pt>
              </c:numCache>
            </c:numRef>
          </c:val>
          <c:extLst>
            <c:ext xmlns:c16="http://schemas.microsoft.com/office/drawing/2014/chart" uri="{C3380CC4-5D6E-409C-BE32-E72D297353CC}">
              <c16:uniqueId val="{00000000-B5DD-4D66-9575-54130C67304B}"/>
            </c:ext>
          </c:extLst>
        </c:ser>
        <c:ser>
          <c:idx val="1"/>
          <c:order val="1"/>
          <c:tx>
            <c:strRef>
              <c:f>October!$C$73</c:f>
              <c:strCache>
                <c:ptCount val="1"/>
                <c:pt idx="0">
                  <c:v>Dissolved Fe</c:v>
                </c:pt>
              </c:strCache>
            </c:strRef>
          </c:tx>
          <c:spPr>
            <a:solidFill>
              <a:srgbClr val="00B0F0"/>
            </a:solidFill>
            <a:ln>
              <a:noFill/>
            </a:ln>
            <a:effectLst/>
          </c:spPr>
          <c:invertIfNegative val="0"/>
          <c:errBars>
            <c:errBarType val="both"/>
            <c:errValType val="cust"/>
            <c:noEndCap val="0"/>
            <c:plus>
              <c:numRef>
                <c:f>October!$C$83:$C$89</c:f>
                <c:numCache>
                  <c:formatCode>General</c:formatCode>
                  <c:ptCount val="7"/>
                  <c:pt idx="0">
                    <c:v>1.140113041368366</c:v>
                  </c:pt>
                  <c:pt idx="1">
                    <c:v>0.67647075537970103</c:v>
                  </c:pt>
                  <c:pt idx="2">
                    <c:v>4.8869238020341061</c:v>
                  </c:pt>
                  <c:pt idx="3">
                    <c:v>3.233948510597727</c:v>
                  </c:pt>
                  <c:pt idx="4">
                    <c:v>0.10934033889579164</c:v>
                  </c:pt>
                  <c:pt idx="5">
                    <c:v>5.8187880305098937E-2</c:v>
                  </c:pt>
                  <c:pt idx="6">
                    <c:v>22.058518404445273</c:v>
                  </c:pt>
                </c:numCache>
              </c:numRef>
            </c:plus>
            <c:minus>
              <c:numRef>
                <c:f>October!$C$83:$C$89</c:f>
                <c:numCache>
                  <c:formatCode>General</c:formatCode>
                  <c:ptCount val="7"/>
                  <c:pt idx="0">
                    <c:v>1.140113041368366</c:v>
                  </c:pt>
                  <c:pt idx="1">
                    <c:v>0.67647075537970103</c:v>
                  </c:pt>
                  <c:pt idx="2">
                    <c:v>4.8869238020341061</c:v>
                  </c:pt>
                  <c:pt idx="3">
                    <c:v>3.233948510597727</c:v>
                  </c:pt>
                  <c:pt idx="4">
                    <c:v>0.10934033889579164</c:v>
                  </c:pt>
                  <c:pt idx="5">
                    <c:v>5.8187880305098937E-2</c:v>
                  </c:pt>
                  <c:pt idx="6">
                    <c:v>22.058518404445273</c:v>
                  </c:pt>
                </c:numCache>
              </c:numRef>
            </c:minus>
            <c:spPr>
              <a:noFill/>
              <a:ln w="9525" cap="flat" cmpd="sng" algn="ctr">
                <a:solidFill>
                  <a:schemeClr val="tx1">
                    <a:lumMod val="65000"/>
                    <a:lumOff val="35000"/>
                  </a:schemeClr>
                </a:solidFill>
                <a:round/>
              </a:ln>
              <a:effectLst/>
            </c:spPr>
          </c:errBars>
          <c:cat>
            <c:strRef>
              <c:f>October!$A$74:$A$80</c:f>
              <c:strCache>
                <c:ptCount val="7"/>
                <c:pt idx="0">
                  <c:v>Average Seep</c:v>
                </c:pt>
                <c:pt idx="1">
                  <c:v>Cat 1-1</c:v>
                </c:pt>
                <c:pt idx="2">
                  <c:v>S2B</c:v>
                </c:pt>
                <c:pt idx="3">
                  <c:v>S2U</c:v>
                </c:pt>
                <c:pt idx="4">
                  <c:v>Cat 2-1</c:v>
                </c:pt>
                <c:pt idx="5">
                  <c:v>Cat 3-1</c:v>
                </c:pt>
                <c:pt idx="6">
                  <c:v>C1Out</c:v>
                </c:pt>
              </c:strCache>
            </c:strRef>
          </c:cat>
          <c:val>
            <c:numRef>
              <c:f>October!$C$74:$C$80</c:f>
              <c:numCache>
                <c:formatCode>0.000</c:formatCode>
                <c:ptCount val="7"/>
                <c:pt idx="0">
                  <c:v>174.27675270404555</c:v>
                </c:pt>
                <c:pt idx="1">
                  <c:v>5.0727496836331234</c:v>
                </c:pt>
                <c:pt idx="2">
                  <c:v>3.6446290557614041</c:v>
                </c:pt>
                <c:pt idx="3">
                  <c:v>2.5026144045566601</c:v>
                </c:pt>
                <c:pt idx="4">
                  <c:v>0.13874508813740538</c:v>
                </c:pt>
                <c:pt idx="5">
                  <c:v>0.30105132402242002</c:v>
                </c:pt>
                <c:pt idx="6">
                  <c:v>19.958951179282106</c:v>
                </c:pt>
              </c:numCache>
            </c:numRef>
          </c:val>
          <c:extLst>
            <c:ext xmlns:c16="http://schemas.microsoft.com/office/drawing/2014/chart" uri="{C3380CC4-5D6E-409C-BE32-E72D297353CC}">
              <c16:uniqueId val="{00000001-B5DD-4D66-9575-54130C67304B}"/>
            </c:ext>
          </c:extLst>
        </c:ser>
        <c:dLbls>
          <c:showLegendKey val="0"/>
          <c:showVal val="0"/>
          <c:showCatName val="0"/>
          <c:showSerName val="0"/>
          <c:showPercent val="0"/>
          <c:showBubbleSize val="0"/>
        </c:dLbls>
        <c:gapWidth val="219"/>
        <c:overlap val="-27"/>
        <c:axId val="413276480"/>
        <c:axId val="413284024"/>
      </c:barChart>
      <c:catAx>
        <c:axId val="413276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Location Within Cell 1</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284024"/>
        <c:crosses val="autoZero"/>
        <c:auto val="1"/>
        <c:lblAlgn val="ctr"/>
        <c:lblOffset val="100"/>
        <c:noMultiLvlLbl val="0"/>
      </c:catAx>
      <c:valAx>
        <c:axId val="413284024"/>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[Fe] (mg/L)</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276480"/>
        <c:crosses val="autoZero"/>
        <c:crossBetween val="between"/>
      </c:valAx>
      <c:spPr>
        <a:noFill/>
        <a:ln>
          <a:noFill/>
        </a:ln>
        <a:effectLst/>
      </c:spPr>
    </c:plotArea>
    <c:legend>
      <c:legendPos val="b"/>
      <c:layout>
        <c:manualLayout>
          <c:xMode val="edge"/>
          <c:yMode val="edge"/>
          <c:x val="0.39558005249343831"/>
          <c:y val="0.8616892680081657"/>
          <c:w val="0.31439523184601925"/>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Winter!$C$72</c:f>
              <c:strCache>
                <c:ptCount val="1"/>
                <c:pt idx="0">
                  <c:v>Total Fe</c:v>
                </c:pt>
              </c:strCache>
            </c:strRef>
          </c:tx>
          <c:spPr>
            <a:solidFill>
              <a:schemeClr val="accent2"/>
            </a:solidFill>
            <a:ln>
              <a:noFill/>
            </a:ln>
            <a:effectLst/>
          </c:spPr>
          <c:invertIfNegative val="0"/>
          <c:errBars>
            <c:errBarType val="both"/>
            <c:errValType val="cust"/>
            <c:noEndCap val="0"/>
            <c:plus>
              <c:numRef>
                <c:f>Winter!$C$82:$C$88</c:f>
                <c:numCache>
                  <c:formatCode>General</c:formatCode>
                  <c:ptCount val="7"/>
                  <c:pt idx="0">
                    <c:v>4.6453925811572345</c:v>
                  </c:pt>
                  <c:pt idx="1">
                    <c:v>42.717018635709927</c:v>
                  </c:pt>
                  <c:pt idx="2">
                    <c:v>46.971052663778579</c:v>
                  </c:pt>
                  <c:pt idx="3">
                    <c:v>50.811760913867545</c:v>
                  </c:pt>
                  <c:pt idx="4">
                    <c:v>41.257784561104543</c:v>
                  </c:pt>
                  <c:pt idx="5">
                    <c:v>50.328048704153275</c:v>
                  </c:pt>
                  <c:pt idx="6">
                    <c:v>27.36561126568143</c:v>
                  </c:pt>
                </c:numCache>
              </c:numRef>
            </c:plus>
            <c:minus>
              <c:numRef>
                <c:f>Winter!$C$82:$C$88</c:f>
                <c:numCache>
                  <c:formatCode>General</c:formatCode>
                  <c:ptCount val="7"/>
                  <c:pt idx="0">
                    <c:v>4.6453925811572345</c:v>
                  </c:pt>
                  <c:pt idx="1">
                    <c:v>42.717018635709927</c:v>
                  </c:pt>
                  <c:pt idx="2">
                    <c:v>46.971052663778579</c:v>
                  </c:pt>
                  <c:pt idx="3">
                    <c:v>50.811760913867545</c:v>
                  </c:pt>
                  <c:pt idx="4">
                    <c:v>41.257784561104543</c:v>
                  </c:pt>
                  <c:pt idx="5">
                    <c:v>50.328048704153275</c:v>
                  </c:pt>
                  <c:pt idx="6">
                    <c:v>27.36561126568143</c:v>
                  </c:pt>
                </c:numCache>
              </c:numRef>
            </c:minus>
            <c:spPr>
              <a:noFill/>
              <a:ln w="9525" cap="flat" cmpd="sng" algn="ctr">
                <a:solidFill>
                  <a:schemeClr val="tx1">
                    <a:lumMod val="65000"/>
                    <a:lumOff val="35000"/>
                  </a:schemeClr>
                </a:solidFill>
                <a:round/>
              </a:ln>
              <a:effectLst/>
            </c:spPr>
          </c:errBars>
          <c:cat>
            <c:strRef>
              <c:f>Winter!$B$73:$B$79</c:f>
              <c:strCache>
                <c:ptCount val="7"/>
                <c:pt idx="0">
                  <c:v>Average Seep</c:v>
                </c:pt>
                <c:pt idx="1">
                  <c:v>Cat 1-1  </c:v>
                </c:pt>
                <c:pt idx="2">
                  <c:v>S2B  </c:v>
                </c:pt>
                <c:pt idx="3">
                  <c:v>S2U  </c:v>
                </c:pt>
                <c:pt idx="4">
                  <c:v>Cat 2-1 </c:v>
                </c:pt>
                <c:pt idx="5">
                  <c:v>Cat 3-1  </c:v>
                </c:pt>
                <c:pt idx="6">
                  <c:v>C1Out </c:v>
                </c:pt>
              </c:strCache>
            </c:strRef>
          </c:cat>
          <c:val>
            <c:numRef>
              <c:f>Winter!$C$73:$C$79</c:f>
              <c:numCache>
                <c:formatCode>0.000</c:formatCode>
                <c:ptCount val="7"/>
                <c:pt idx="0">
                  <c:v>172.94887149884036</c:v>
                </c:pt>
                <c:pt idx="1">
                  <c:v>94.783513291964184</c:v>
                </c:pt>
                <c:pt idx="2">
                  <c:v>73.45555120574879</c:v>
                </c:pt>
                <c:pt idx="3">
                  <c:v>57.111705818977782</c:v>
                </c:pt>
                <c:pt idx="4">
                  <c:v>50.859383784694359</c:v>
                </c:pt>
                <c:pt idx="5">
                  <c:v>41.889333320575481</c:v>
                </c:pt>
                <c:pt idx="6">
                  <c:v>30.782616094023481</c:v>
                </c:pt>
              </c:numCache>
            </c:numRef>
          </c:val>
          <c:extLst>
            <c:ext xmlns:c16="http://schemas.microsoft.com/office/drawing/2014/chart" uri="{C3380CC4-5D6E-409C-BE32-E72D297353CC}">
              <c16:uniqueId val="{00000000-6407-4D19-95C6-F5D1C09E6ADE}"/>
            </c:ext>
          </c:extLst>
        </c:ser>
        <c:ser>
          <c:idx val="1"/>
          <c:order val="1"/>
          <c:tx>
            <c:strRef>
              <c:f>Winter!$D$72</c:f>
              <c:strCache>
                <c:ptCount val="1"/>
                <c:pt idx="0">
                  <c:v>Dissolved Fe</c:v>
                </c:pt>
              </c:strCache>
            </c:strRef>
          </c:tx>
          <c:spPr>
            <a:solidFill>
              <a:srgbClr val="00B0F0"/>
            </a:solidFill>
            <a:ln>
              <a:noFill/>
            </a:ln>
            <a:effectLst/>
          </c:spPr>
          <c:invertIfNegative val="0"/>
          <c:errBars>
            <c:errBarType val="both"/>
            <c:errValType val="cust"/>
            <c:noEndCap val="0"/>
            <c:plus>
              <c:numRef>
                <c:f>Winter!$D$82:$D$88</c:f>
                <c:numCache>
                  <c:formatCode>General</c:formatCode>
                  <c:ptCount val="7"/>
                  <c:pt idx="0">
                    <c:v>13.934492359531546</c:v>
                  </c:pt>
                  <c:pt idx="1">
                    <c:v>44.71912468588279</c:v>
                  </c:pt>
                  <c:pt idx="2">
                    <c:v>64.078916377131335</c:v>
                  </c:pt>
                  <c:pt idx="3">
                    <c:v>46.758504451920992</c:v>
                  </c:pt>
                  <c:pt idx="4">
                    <c:v>41.130509636571176</c:v>
                  </c:pt>
                  <c:pt idx="5">
                    <c:v>40.495104998210287</c:v>
                  </c:pt>
                  <c:pt idx="6">
                    <c:v>35.224625779055984</c:v>
                  </c:pt>
                </c:numCache>
              </c:numRef>
            </c:plus>
            <c:minus>
              <c:numRef>
                <c:f>Winter!$D$82:$D$88</c:f>
                <c:numCache>
                  <c:formatCode>General</c:formatCode>
                  <c:ptCount val="7"/>
                  <c:pt idx="0">
                    <c:v>13.934492359531546</c:v>
                  </c:pt>
                  <c:pt idx="1">
                    <c:v>44.71912468588279</c:v>
                  </c:pt>
                  <c:pt idx="2">
                    <c:v>64.078916377131335</c:v>
                  </c:pt>
                  <c:pt idx="3">
                    <c:v>46.758504451920992</c:v>
                  </c:pt>
                  <c:pt idx="4">
                    <c:v>41.130509636571176</c:v>
                  </c:pt>
                  <c:pt idx="5">
                    <c:v>40.495104998210287</c:v>
                  </c:pt>
                  <c:pt idx="6">
                    <c:v>35.224625779055984</c:v>
                  </c:pt>
                </c:numCache>
              </c:numRef>
            </c:minus>
            <c:spPr>
              <a:noFill/>
              <a:ln w="9525" cap="flat" cmpd="sng" algn="ctr">
                <a:solidFill>
                  <a:schemeClr val="tx1">
                    <a:lumMod val="65000"/>
                    <a:lumOff val="35000"/>
                  </a:schemeClr>
                </a:solidFill>
                <a:round/>
              </a:ln>
              <a:effectLst/>
            </c:spPr>
          </c:errBars>
          <c:cat>
            <c:strRef>
              <c:f>Winter!$B$73:$B$79</c:f>
              <c:strCache>
                <c:ptCount val="7"/>
                <c:pt idx="0">
                  <c:v>Average Seep</c:v>
                </c:pt>
                <c:pt idx="1">
                  <c:v>Cat 1-1  </c:v>
                </c:pt>
                <c:pt idx="2">
                  <c:v>S2B  </c:v>
                </c:pt>
                <c:pt idx="3">
                  <c:v>S2U  </c:v>
                </c:pt>
                <c:pt idx="4">
                  <c:v>Cat 2-1 </c:v>
                </c:pt>
                <c:pt idx="5">
                  <c:v>Cat 3-1  </c:v>
                </c:pt>
                <c:pt idx="6">
                  <c:v>C1Out </c:v>
                </c:pt>
              </c:strCache>
            </c:strRef>
          </c:cat>
          <c:val>
            <c:numRef>
              <c:f>Winter!$D$73:$D$79</c:f>
              <c:numCache>
                <c:formatCode>0.000</c:formatCode>
                <c:ptCount val="7"/>
                <c:pt idx="0">
                  <c:v>174.19404366303212</c:v>
                </c:pt>
                <c:pt idx="1">
                  <c:v>75.793209303377196</c:v>
                </c:pt>
                <c:pt idx="2">
                  <c:v>57.773179105438651</c:v>
                </c:pt>
                <c:pt idx="3">
                  <c:v>39.562976982726894</c:v>
                </c:pt>
                <c:pt idx="4">
                  <c:v>36.414362984054662</c:v>
                </c:pt>
                <c:pt idx="5">
                  <c:v>24.30316944941913</c:v>
                </c:pt>
                <c:pt idx="6">
                  <c:v>20.725211378743204</c:v>
                </c:pt>
              </c:numCache>
            </c:numRef>
          </c:val>
          <c:extLst>
            <c:ext xmlns:c16="http://schemas.microsoft.com/office/drawing/2014/chart" uri="{C3380CC4-5D6E-409C-BE32-E72D297353CC}">
              <c16:uniqueId val="{00000001-6407-4D19-95C6-F5D1C09E6ADE}"/>
            </c:ext>
          </c:extLst>
        </c:ser>
        <c:dLbls>
          <c:showLegendKey val="0"/>
          <c:showVal val="0"/>
          <c:showCatName val="0"/>
          <c:showSerName val="0"/>
          <c:showPercent val="0"/>
          <c:showBubbleSize val="0"/>
        </c:dLbls>
        <c:gapWidth val="219"/>
        <c:overlap val="-27"/>
        <c:axId val="413276480"/>
        <c:axId val="413284024"/>
      </c:barChart>
      <c:catAx>
        <c:axId val="413276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Location Within Cell 1</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284024"/>
        <c:crosses val="autoZero"/>
        <c:auto val="1"/>
        <c:lblAlgn val="ctr"/>
        <c:lblOffset val="100"/>
        <c:noMultiLvlLbl val="0"/>
      </c:catAx>
      <c:valAx>
        <c:axId val="413284024"/>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[Fe]total (mg/L)</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276480"/>
        <c:crosses val="autoZero"/>
        <c:crossBetween val="between"/>
      </c:valAx>
      <c:spPr>
        <a:noFill/>
        <a:ln>
          <a:noFill/>
        </a:ln>
        <a:effectLst/>
      </c:spPr>
    </c:plotArea>
    <c:legend>
      <c:legendPos val="b"/>
      <c:layout>
        <c:manualLayout>
          <c:xMode val="edge"/>
          <c:yMode val="edge"/>
          <c:x val="0.39558005249343831"/>
          <c:y val="0.8616892680081657"/>
          <c:w val="0.31439523184601925"/>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28140779492465"/>
          <c:y val="0.21265822784810126"/>
          <c:w val="0.70142288306995937"/>
          <c:h val="0.60506329113924051"/>
        </c:manualLayout>
      </c:layout>
      <c:scatterChart>
        <c:scatterStyle val="smoothMarker"/>
        <c:varyColors val="0"/>
        <c:ser>
          <c:idx val="0"/>
          <c:order val="0"/>
          <c:tx>
            <c:strRef>
              <c:f>Average!$D$3</c:f>
              <c:strCache>
                <c:ptCount val="1"/>
                <c:pt idx="0">
                  <c:v>14 Deg C</c:v>
                </c:pt>
              </c:strCache>
            </c:strRef>
          </c:tx>
          <c:xVal>
            <c:numRef>
              <c:f>Average!$A$4:$A$10</c:f>
              <c:numCache>
                <c:formatCode>General</c:formatCode>
                <c:ptCount val="7"/>
                <c:pt idx="0">
                  <c:v>0</c:v>
                </c:pt>
                <c:pt idx="1">
                  <c:v>0.83</c:v>
                </c:pt>
                <c:pt idx="2">
                  <c:v>2.3199999999999998</c:v>
                </c:pt>
                <c:pt idx="3">
                  <c:v>3.39</c:v>
                </c:pt>
                <c:pt idx="4">
                  <c:v>4.5</c:v>
                </c:pt>
                <c:pt idx="5">
                  <c:v>6.48</c:v>
                </c:pt>
                <c:pt idx="6">
                  <c:v>7.09</c:v>
                </c:pt>
              </c:numCache>
            </c:numRef>
          </c:xVal>
          <c:yVal>
            <c:numRef>
              <c:f>Average!$D$4:$D$10</c:f>
              <c:numCache>
                <c:formatCode>0.000</c:formatCode>
                <c:ptCount val="7"/>
                <c:pt idx="0">
                  <c:v>169.96271723180413</c:v>
                </c:pt>
                <c:pt idx="1">
                  <c:v>15.728111988646242</c:v>
                </c:pt>
                <c:pt idx="2">
                  <c:v>15.465996606443923</c:v>
                </c:pt>
                <c:pt idx="3">
                  <c:v>14.107375227156174</c:v>
                </c:pt>
                <c:pt idx="4">
                  <c:v>10.763844185261325</c:v>
                </c:pt>
                <c:pt idx="5">
                  <c:v>8.082215055123859</c:v>
                </c:pt>
                <c:pt idx="6">
                  <c:v>13.075877820031531</c:v>
                </c:pt>
              </c:numCache>
            </c:numRef>
          </c:yVal>
          <c:smooth val="1"/>
          <c:extLst>
            <c:ext xmlns:c16="http://schemas.microsoft.com/office/drawing/2014/chart" uri="{C3380CC4-5D6E-409C-BE32-E72D297353CC}">
              <c16:uniqueId val="{00000000-7BDD-46BD-A3D2-139BABDACFDC}"/>
            </c:ext>
          </c:extLst>
        </c:ser>
        <c:ser>
          <c:idx val="1"/>
          <c:order val="1"/>
          <c:tx>
            <c:strRef>
              <c:f>Average!$E$3</c:f>
              <c:strCache>
                <c:ptCount val="1"/>
                <c:pt idx="0">
                  <c:v>24 Deg C</c:v>
                </c:pt>
              </c:strCache>
            </c:strRef>
          </c:tx>
          <c:xVal>
            <c:numRef>
              <c:f>Average!$A$4:$A$10</c:f>
              <c:numCache>
                <c:formatCode>General</c:formatCode>
                <c:ptCount val="7"/>
                <c:pt idx="0">
                  <c:v>0</c:v>
                </c:pt>
                <c:pt idx="1">
                  <c:v>0.83</c:v>
                </c:pt>
                <c:pt idx="2">
                  <c:v>2.3199999999999998</c:v>
                </c:pt>
                <c:pt idx="3">
                  <c:v>3.39</c:v>
                </c:pt>
                <c:pt idx="4">
                  <c:v>4.5</c:v>
                </c:pt>
                <c:pt idx="5">
                  <c:v>6.48</c:v>
                </c:pt>
                <c:pt idx="6">
                  <c:v>7.09</c:v>
                </c:pt>
              </c:numCache>
            </c:numRef>
          </c:xVal>
          <c:yVal>
            <c:numRef>
              <c:f>Average!$E$4:$E$10</c:f>
              <c:numCache>
                <c:formatCode>General</c:formatCode>
                <c:ptCount val="7"/>
                <c:pt idx="0">
                  <c:v>168.4025528458647</c:v>
                </c:pt>
                <c:pt idx="1">
                  <c:v>34.617274193731284</c:v>
                </c:pt>
                <c:pt idx="2">
                  <c:v>17.281928953853168</c:v>
                </c:pt>
                <c:pt idx="3">
                  <c:v>17.912694016301163</c:v>
                </c:pt>
                <c:pt idx="4">
                  <c:v>23.545726877111516</c:v>
                </c:pt>
                <c:pt idx="5">
                  <c:v>21.02534674676259</c:v>
                </c:pt>
                <c:pt idx="6">
                  <c:v>35.342835853638412</c:v>
                </c:pt>
              </c:numCache>
            </c:numRef>
          </c:yVal>
          <c:smooth val="1"/>
          <c:extLst>
            <c:ext xmlns:c16="http://schemas.microsoft.com/office/drawing/2014/chart" uri="{C3380CC4-5D6E-409C-BE32-E72D297353CC}">
              <c16:uniqueId val="{00000001-7BDD-46BD-A3D2-139BABDACFDC}"/>
            </c:ext>
          </c:extLst>
        </c:ser>
        <c:ser>
          <c:idx val="2"/>
          <c:order val="2"/>
          <c:tx>
            <c:strRef>
              <c:f>Average!$F$3</c:f>
              <c:strCache>
                <c:ptCount val="1"/>
                <c:pt idx="0">
                  <c:v>19 Deg C</c:v>
                </c:pt>
              </c:strCache>
            </c:strRef>
          </c:tx>
          <c:xVal>
            <c:numRef>
              <c:f>Average!$A$4:$A$10</c:f>
              <c:numCache>
                <c:formatCode>General</c:formatCode>
                <c:ptCount val="7"/>
                <c:pt idx="0">
                  <c:v>0</c:v>
                </c:pt>
                <c:pt idx="1">
                  <c:v>0.83</c:v>
                </c:pt>
                <c:pt idx="2">
                  <c:v>2.3199999999999998</c:v>
                </c:pt>
                <c:pt idx="3">
                  <c:v>3.39</c:v>
                </c:pt>
                <c:pt idx="4">
                  <c:v>4.5</c:v>
                </c:pt>
                <c:pt idx="5">
                  <c:v>6.48</c:v>
                </c:pt>
                <c:pt idx="6">
                  <c:v>7.09</c:v>
                </c:pt>
              </c:numCache>
            </c:numRef>
          </c:xVal>
          <c:yVal>
            <c:numRef>
              <c:f>Average!$F$4:$F$10</c:f>
              <c:numCache>
                <c:formatCode>0.000</c:formatCode>
                <c:ptCount val="7"/>
                <c:pt idx="0">
                  <c:v>176.49749839742822</c:v>
                </c:pt>
                <c:pt idx="1">
                  <c:v>23.501129189983217</c:v>
                </c:pt>
                <c:pt idx="2">
                  <c:v>24.176311390718713</c:v>
                </c:pt>
                <c:pt idx="3">
                  <c:v>19.765319516354683</c:v>
                </c:pt>
                <c:pt idx="4">
                  <c:v>16.189870416651789</c:v>
                </c:pt>
                <c:pt idx="5">
                  <c:v>6.0771744174883153</c:v>
                </c:pt>
                <c:pt idx="6">
                  <c:v>28.960257494251142</c:v>
                </c:pt>
              </c:numCache>
            </c:numRef>
          </c:yVal>
          <c:smooth val="1"/>
          <c:extLst>
            <c:ext xmlns:c16="http://schemas.microsoft.com/office/drawing/2014/chart" uri="{C3380CC4-5D6E-409C-BE32-E72D297353CC}">
              <c16:uniqueId val="{00000002-7BDD-46BD-A3D2-139BABDACFDC}"/>
            </c:ext>
          </c:extLst>
        </c:ser>
        <c:ser>
          <c:idx val="3"/>
          <c:order val="3"/>
          <c:tx>
            <c:strRef>
              <c:f>Average!$G$3</c:f>
              <c:strCache>
                <c:ptCount val="1"/>
                <c:pt idx="0">
                  <c:v>6 Deg C</c:v>
                </c:pt>
              </c:strCache>
            </c:strRef>
          </c:tx>
          <c:marker>
            <c:symbol val="circle"/>
            <c:size val="4"/>
            <c:spPr>
              <a:solidFill>
                <a:sysClr val="windowText" lastClr="000000"/>
              </a:solidFill>
            </c:spPr>
          </c:marker>
          <c:errBars>
            <c:errDir val="y"/>
            <c:errBarType val="both"/>
            <c:errValType val="cust"/>
            <c:noEndCap val="0"/>
            <c:plus>
              <c:numRef>
                <c:f>Winter!$C$82:$C$88</c:f>
                <c:numCache>
                  <c:formatCode>General</c:formatCode>
                  <c:ptCount val="7"/>
                  <c:pt idx="0">
                    <c:v>4.6453925811572345</c:v>
                  </c:pt>
                  <c:pt idx="1">
                    <c:v>42.717018635709927</c:v>
                  </c:pt>
                  <c:pt idx="2">
                    <c:v>46.971052663778579</c:v>
                  </c:pt>
                  <c:pt idx="3">
                    <c:v>50.811760913867545</c:v>
                  </c:pt>
                  <c:pt idx="4">
                    <c:v>41.257784561104543</c:v>
                  </c:pt>
                  <c:pt idx="5">
                    <c:v>50.328048704153275</c:v>
                  </c:pt>
                  <c:pt idx="6">
                    <c:v>27.36561126568143</c:v>
                  </c:pt>
                </c:numCache>
              </c:numRef>
            </c:plus>
            <c:minus>
              <c:numRef>
                <c:f>Winter!$C$82:$C$88</c:f>
                <c:numCache>
                  <c:formatCode>General</c:formatCode>
                  <c:ptCount val="7"/>
                  <c:pt idx="0">
                    <c:v>4.6453925811572345</c:v>
                  </c:pt>
                  <c:pt idx="1">
                    <c:v>42.717018635709927</c:v>
                  </c:pt>
                  <c:pt idx="2">
                    <c:v>46.971052663778579</c:v>
                  </c:pt>
                  <c:pt idx="3">
                    <c:v>50.811760913867545</c:v>
                  </c:pt>
                  <c:pt idx="4">
                    <c:v>41.257784561104543</c:v>
                  </c:pt>
                  <c:pt idx="5">
                    <c:v>50.328048704153275</c:v>
                  </c:pt>
                  <c:pt idx="6">
                    <c:v>27.36561126568143</c:v>
                  </c:pt>
                </c:numCache>
              </c:numRef>
            </c:minus>
          </c:errBars>
          <c:errBars>
            <c:errDir val="x"/>
            <c:errBarType val="both"/>
            <c:errValType val="fixedVal"/>
            <c:noEndCap val="0"/>
            <c:val val="0"/>
          </c:errBars>
          <c:xVal>
            <c:numRef>
              <c:f>Average!$A$4:$A$10</c:f>
              <c:numCache>
                <c:formatCode>General</c:formatCode>
                <c:ptCount val="7"/>
                <c:pt idx="0">
                  <c:v>0</c:v>
                </c:pt>
                <c:pt idx="1">
                  <c:v>0.83</c:v>
                </c:pt>
                <c:pt idx="2">
                  <c:v>2.3199999999999998</c:v>
                </c:pt>
                <c:pt idx="3">
                  <c:v>3.39</c:v>
                </c:pt>
                <c:pt idx="4">
                  <c:v>4.5</c:v>
                </c:pt>
                <c:pt idx="5">
                  <c:v>6.48</c:v>
                </c:pt>
                <c:pt idx="6">
                  <c:v>7.09</c:v>
                </c:pt>
              </c:numCache>
            </c:numRef>
          </c:xVal>
          <c:yVal>
            <c:numRef>
              <c:f>Average!$G$4:$G$10</c:f>
              <c:numCache>
                <c:formatCode>0.000</c:formatCode>
                <c:ptCount val="7"/>
                <c:pt idx="0">
                  <c:v>172.94887149884036</c:v>
                </c:pt>
                <c:pt idx="1">
                  <c:v>94.783513291964184</c:v>
                </c:pt>
                <c:pt idx="2">
                  <c:v>73.45555120574879</c:v>
                </c:pt>
                <c:pt idx="3">
                  <c:v>57.111705818977782</c:v>
                </c:pt>
                <c:pt idx="4">
                  <c:v>50.859383784694359</c:v>
                </c:pt>
                <c:pt idx="5">
                  <c:v>41.889333320575481</c:v>
                </c:pt>
                <c:pt idx="6">
                  <c:v>30.782616094023481</c:v>
                </c:pt>
              </c:numCache>
            </c:numRef>
          </c:yVal>
          <c:smooth val="1"/>
          <c:extLst>
            <c:ext xmlns:c16="http://schemas.microsoft.com/office/drawing/2014/chart" uri="{C3380CC4-5D6E-409C-BE32-E72D297353CC}">
              <c16:uniqueId val="{00000003-7BDD-46BD-A3D2-139BABDACFDC}"/>
            </c:ext>
          </c:extLst>
        </c:ser>
        <c:dLbls>
          <c:showLegendKey val="0"/>
          <c:showVal val="0"/>
          <c:showCatName val="0"/>
          <c:showSerName val="0"/>
          <c:showPercent val="0"/>
          <c:showBubbleSize val="0"/>
        </c:dLbls>
        <c:axId val="332920632"/>
        <c:axId val="1"/>
      </c:scatterChart>
      <c:valAx>
        <c:axId val="332920632"/>
        <c:scaling>
          <c:orientation val="minMax"/>
        </c:scaling>
        <c:delete val="0"/>
        <c:axPos val="b"/>
        <c:title>
          <c:tx>
            <c:rich>
              <a:bodyPr/>
              <a:lstStyle/>
              <a:p>
                <a:pPr>
                  <a:defRPr/>
                </a:pPr>
                <a:r>
                  <a:rPr lang="en-US"/>
                  <a:t>HRT from AMD Source (Days)</a:t>
                </a:r>
              </a:p>
            </c:rich>
          </c:tx>
          <c:layout/>
          <c:overlay val="0"/>
        </c:title>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
        <c:crosses val="autoZero"/>
        <c:crossBetween val="midCat"/>
        <c:majorUnit val="1"/>
      </c:valAx>
      <c:valAx>
        <c:axId val="1"/>
        <c:scaling>
          <c:orientation val="minMax"/>
        </c:scaling>
        <c:delete val="0"/>
        <c:axPos val="l"/>
        <c:title>
          <c:tx>
            <c:rich>
              <a:bodyPr/>
              <a:lstStyle/>
              <a:p>
                <a:pPr>
                  <a:defRPr/>
                </a:pPr>
                <a:r>
                  <a:rPr lang="en-US"/>
                  <a:t>Total Iron Concentration (mg/L)</a:t>
                </a:r>
              </a:p>
            </c:rich>
          </c:tx>
          <c:layout/>
          <c:overlay val="0"/>
        </c:title>
        <c:numFmt formatCode="0" sourceLinked="0"/>
        <c:majorTickMark val="none"/>
        <c:minorTickMark val="none"/>
        <c:tickLblPos val="nextTo"/>
        <c:crossAx val="332920632"/>
        <c:crosses val="autoZero"/>
        <c:crossBetween val="midCat"/>
      </c:valAx>
    </c:plotArea>
    <c:legend>
      <c:legendPos val="r"/>
      <c:layout>
        <c:manualLayout>
          <c:xMode val="edge"/>
          <c:yMode val="edge"/>
          <c:x val="0.74077505017755119"/>
          <c:y val="2.1254326260064949E-2"/>
          <c:w val="0.19484576192681799"/>
          <c:h val="0.52435108323323987"/>
        </c:manualLayout>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Average!$C$31</c:f>
              <c:strCache>
                <c:ptCount val="1"/>
                <c:pt idx="0">
                  <c:v>Average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Average!$D$23:$G$23</c:f>
              <c:strCache>
                <c:ptCount val="4"/>
                <c:pt idx="0">
                  <c:v>April </c:v>
                </c:pt>
                <c:pt idx="1">
                  <c:v>July</c:v>
                </c:pt>
                <c:pt idx="2">
                  <c:v>October</c:v>
                </c:pt>
                <c:pt idx="3">
                  <c:v>Winter</c:v>
                </c:pt>
              </c:strCache>
            </c:strRef>
          </c:cat>
          <c:val>
            <c:numRef>
              <c:f>Average!$D$31:$G$31</c:f>
              <c:numCache>
                <c:formatCode>0.000</c:formatCode>
                <c:ptCount val="4"/>
                <c:pt idx="0">
                  <c:v>9.0757334365559647E-2</c:v>
                </c:pt>
                <c:pt idx="1">
                  <c:v>0.83367070757447659</c:v>
                </c:pt>
                <c:pt idx="2">
                  <c:v>0.47930940492249219</c:v>
                </c:pt>
                <c:pt idx="3">
                  <c:v>2.6488512569784364</c:v>
                </c:pt>
              </c:numCache>
            </c:numRef>
          </c:val>
          <c:extLst>
            <c:ext xmlns:c16="http://schemas.microsoft.com/office/drawing/2014/chart" uri="{C3380CC4-5D6E-409C-BE32-E72D297353CC}">
              <c16:uniqueId val="{00000000-941B-4082-A913-8DD7D226356D}"/>
            </c:ext>
          </c:extLst>
        </c:ser>
        <c:dLbls>
          <c:showLegendKey val="0"/>
          <c:showVal val="0"/>
          <c:showCatName val="0"/>
          <c:showSerName val="0"/>
          <c:showPercent val="0"/>
          <c:showBubbleSize val="0"/>
        </c:dLbls>
        <c:gapWidth val="219"/>
        <c:overlap val="-27"/>
        <c:axId val="422599392"/>
        <c:axId val="422597096"/>
      </c:barChart>
      <c:catAx>
        <c:axId val="422599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Seasonal Profile Collection Month</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597096"/>
        <c:crosses val="autoZero"/>
        <c:auto val="1"/>
        <c:lblAlgn val="ctr"/>
        <c:lblOffset val="100"/>
        <c:noMultiLvlLbl val="0"/>
      </c:catAx>
      <c:valAx>
        <c:axId val="4225970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D:P ratio of Iron in Cell 1</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599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Average!$S$34</c:f>
              <c:strCache>
                <c:ptCount val="1"/>
                <c:pt idx="0">
                  <c:v>Total</c:v>
                </c:pt>
              </c:strCache>
            </c:strRef>
          </c:tx>
          <c:spPr>
            <a:solidFill>
              <a:schemeClr val="accent2">
                <a:lumMod val="75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1"/>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Average!$R$35:$R$38</c:f>
              <c:numCache>
                <c:formatCode>General</c:formatCode>
                <c:ptCount val="4"/>
                <c:pt idx="0">
                  <c:v>0</c:v>
                </c:pt>
                <c:pt idx="1">
                  <c:v>0.5</c:v>
                </c:pt>
                <c:pt idx="2">
                  <c:v>1</c:v>
                </c:pt>
                <c:pt idx="3">
                  <c:v>1.5</c:v>
                </c:pt>
              </c:numCache>
            </c:numRef>
          </c:cat>
          <c:val>
            <c:numRef>
              <c:f>Average!$S$35:$S$38</c:f>
              <c:numCache>
                <c:formatCode>0.000</c:formatCode>
                <c:ptCount val="4"/>
                <c:pt idx="0">
                  <c:v>137.6278711439069</c:v>
                </c:pt>
                <c:pt idx="1">
                  <c:v>94.783513291964184</c:v>
                </c:pt>
                <c:pt idx="2">
                  <c:v>183.43663060862835</c:v>
                </c:pt>
                <c:pt idx="3">
                  <c:v>1310.0302901417067</c:v>
                </c:pt>
              </c:numCache>
            </c:numRef>
          </c:val>
          <c:extLst>
            <c:ext xmlns:c16="http://schemas.microsoft.com/office/drawing/2014/chart" uri="{C3380CC4-5D6E-409C-BE32-E72D297353CC}">
              <c16:uniqueId val="{00000000-F249-4C85-9DB4-70833ED6A833}"/>
            </c:ext>
          </c:extLst>
        </c:ser>
        <c:ser>
          <c:idx val="1"/>
          <c:order val="1"/>
          <c:tx>
            <c:strRef>
              <c:f>Average!$T$34</c:f>
              <c:strCache>
                <c:ptCount val="1"/>
                <c:pt idx="0">
                  <c:v>Dissolved</c:v>
                </c:pt>
              </c:strCache>
            </c:strRef>
          </c:tx>
          <c:spPr>
            <a:solidFill>
              <a:srgbClr val="00B0F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1"/>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Average!$R$35:$R$38</c:f>
              <c:numCache>
                <c:formatCode>General</c:formatCode>
                <c:ptCount val="4"/>
                <c:pt idx="0">
                  <c:v>0</c:v>
                </c:pt>
                <c:pt idx="1">
                  <c:v>0.5</c:v>
                </c:pt>
                <c:pt idx="2">
                  <c:v>1</c:v>
                </c:pt>
                <c:pt idx="3">
                  <c:v>1.5</c:v>
                </c:pt>
              </c:numCache>
            </c:numRef>
          </c:cat>
          <c:val>
            <c:numRef>
              <c:f>Average!$T$35:$T$38</c:f>
              <c:numCache>
                <c:formatCode>0.000</c:formatCode>
                <c:ptCount val="4"/>
                <c:pt idx="0">
                  <c:v>118.76353948592717</c:v>
                </c:pt>
                <c:pt idx="1">
                  <c:v>75.793209303377196</c:v>
                </c:pt>
                <c:pt idx="2">
                  <c:v>113.54776254946145</c:v>
                </c:pt>
                <c:pt idx="3">
                  <c:v>145.41455533241194</c:v>
                </c:pt>
              </c:numCache>
            </c:numRef>
          </c:val>
          <c:extLst>
            <c:ext xmlns:c16="http://schemas.microsoft.com/office/drawing/2014/chart" uri="{C3380CC4-5D6E-409C-BE32-E72D297353CC}">
              <c16:uniqueId val="{00000001-F249-4C85-9DB4-70833ED6A833}"/>
            </c:ext>
          </c:extLst>
        </c:ser>
        <c:dLbls>
          <c:showLegendKey val="0"/>
          <c:showVal val="0"/>
          <c:showCatName val="0"/>
          <c:showSerName val="0"/>
          <c:showPercent val="0"/>
          <c:showBubbleSize val="0"/>
        </c:dLbls>
        <c:gapWidth val="182"/>
        <c:axId val="529630904"/>
        <c:axId val="529626968"/>
      </c:barChart>
      <c:catAx>
        <c:axId val="529630904"/>
        <c:scaling>
          <c:orientation val="maxMin"/>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from Surface (m)</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626968"/>
        <c:crosses val="autoZero"/>
        <c:auto val="1"/>
        <c:lblAlgn val="ctr"/>
        <c:lblOffset val="100"/>
        <c:noMultiLvlLbl val="0"/>
      </c:catAx>
      <c:valAx>
        <c:axId val="529626968"/>
        <c:scaling>
          <c:orientation val="minMax"/>
          <c:max val="2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[Fe] (mg/L)</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low"/>
        <c:spPr>
          <a:noFill/>
          <a:ln>
            <a:noFill/>
          </a:ln>
          <a:effectLst/>
        </c:spPr>
        <c:txPr>
          <a:bodyPr rot="-60000000" spcFirstLastPara="1" vertOverflow="ellipsis" vert="horz" wrap="square" anchor="b"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529630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Average!$S$39</c:f>
              <c:strCache>
                <c:ptCount val="1"/>
                <c:pt idx="0">
                  <c:v>Total</c:v>
                </c:pt>
              </c:strCache>
            </c:strRef>
          </c:tx>
          <c:spPr>
            <a:solidFill>
              <a:schemeClr val="accent2">
                <a:lumMod val="75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1"/>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Average!$R$40:$R$43</c:f>
              <c:numCache>
                <c:formatCode>General</c:formatCode>
                <c:ptCount val="4"/>
                <c:pt idx="0">
                  <c:v>0</c:v>
                </c:pt>
                <c:pt idx="1">
                  <c:v>0.5</c:v>
                </c:pt>
                <c:pt idx="2">
                  <c:v>1</c:v>
                </c:pt>
                <c:pt idx="3">
                  <c:v>1.5</c:v>
                </c:pt>
              </c:numCache>
            </c:numRef>
          </c:cat>
          <c:val>
            <c:numRef>
              <c:f>Average!$S$40:$S$43</c:f>
              <c:numCache>
                <c:formatCode>0.000</c:formatCode>
                <c:ptCount val="4"/>
                <c:pt idx="0">
                  <c:v>50.611029043065379</c:v>
                </c:pt>
                <c:pt idx="1">
                  <c:v>50.859383784694359</c:v>
                </c:pt>
                <c:pt idx="2">
                  <c:v>50.174093712298259</c:v>
                </c:pt>
                <c:pt idx="3">
                  <c:v>663.02077532139435</c:v>
                </c:pt>
              </c:numCache>
            </c:numRef>
          </c:val>
          <c:extLst>
            <c:ext xmlns:c16="http://schemas.microsoft.com/office/drawing/2014/chart" uri="{C3380CC4-5D6E-409C-BE32-E72D297353CC}">
              <c16:uniqueId val="{00000000-28D4-4846-999E-030A3AEEF750}"/>
            </c:ext>
          </c:extLst>
        </c:ser>
        <c:ser>
          <c:idx val="1"/>
          <c:order val="1"/>
          <c:tx>
            <c:strRef>
              <c:f>Average!$T$39</c:f>
              <c:strCache>
                <c:ptCount val="1"/>
                <c:pt idx="0">
                  <c:v>Dissolved</c:v>
                </c:pt>
              </c:strCache>
            </c:strRef>
          </c:tx>
          <c:spPr>
            <a:solidFill>
              <a:srgbClr val="00B0F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1"/>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Average!$R$40:$R$43</c:f>
              <c:numCache>
                <c:formatCode>General</c:formatCode>
                <c:ptCount val="4"/>
                <c:pt idx="0">
                  <c:v>0</c:v>
                </c:pt>
                <c:pt idx="1">
                  <c:v>0.5</c:v>
                </c:pt>
                <c:pt idx="2">
                  <c:v>1</c:v>
                </c:pt>
                <c:pt idx="3">
                  <c:v>1.5</c:v>
                </c:pt>
              </c:numCache>
            </c:numRef>
          </c:cat>
          <c:val>
            <c:numRef>
              <c:f>Average!$T$40:$T$43</c:f>
              <c:numCache>
                <c:formatCode>0.000</c:formatCode>
                <c:ptCount val="4"/>
                <c:pt idx="0">
                  <c:v>40.323380459209822</c:v>
                </c:pt>
                <c:pt idx="1">
                  <c:v>36.414362984054662</c:v>
                </c:pt>
                <c:pt idx="2">
                  <c:v>36.460226180658395</c:v>
                </c:pt>
                <c:pt idx="3">
                  <c:v>39.237369464041066</c:v>
                </c:pt>
              </c:numCache>
            </c:numRef>
          </c:val>
          <c:extLst>
            <c:ext xmlns:c16="http://schemas.microsoft.com/office/drawing/2014/chart" uri="{C3380CC4-5D6E-409C-BE32-E72D297353CC}">
              <c16:uniqueId val="{00000001-28D4-4846-999E-030A3AEEF750}"/>
            </c:ext>
          </c:extLst>
        </c:ser>
        <c:dLbls>
          <c:showLegendKey val="0"/>
          <c:showVal val="0"/>
          <c:showCatName val="0"/>
          <c:showSerName val="0"/>
          <c:showPercent val="0"/>
          <c:showBubbleSize val="0"/>
        </c:dLbls>
        <c:gapWidth val="182"/>
        <c:axId val="529630904"/>
        <c:axId val="529626968"/>
      </c:barChart>
      <c:catAx>
        <c:axId val="529630904"/>
        <c:scaling>
          <c:orientation val="maxMin"/>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from Surface (m)</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626968"/>
        <c:crosses val="autoZero"/>
        <c:auto val="1"/>
        <c:lblAlgn val="ctr"/>
        <c:lblOffset val="100"/>
        <c:noMultiLvlLbl val="0"/>
      </c:catAx>
      <c:valAx>
        <c:axId val="529626968"/>
        <c:scaling>
          <c:orientation val="minMax"/>
          <c:max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[Fe] (mg/L)</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low"/>
        <c:spPr>
          <a:noFill/>
          <a:ln>
            <a:noFill/>
          </a:ln>
          <a:effectLst/>
        </c:spPr>
        <c:txPr>
          <a:bodyPr rot="-60000000" spcFirstLastPara="1" vertOverflow="ellipsis" vert="horz" wrap="square" anchor="b"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529630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Average!$S$44</c:f>
              <c:strCache>
                <c:ptCount val="1"/>
                <c:pt idx="0">
                  <c:v>Total</c:v>
                </c:pt>
              </c:strCache>
            </c:strRef>
          </c:tx>
          <c:spPr>
            <a:solidFill>
              <a:schemeClr val="accent2">
                <a:lumMod val="75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1"/>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Average!$R$45:$R$48</c:f>
              <c:numCache>
                <c:formatCode>General</c:formatCode>
                <c:ptCount val="4"/>
                <c:pt idx="0">
                  <c:v>0</c:v>
                </c:pt>
                <c:pt idx="1">
                  <c:v>0.5</c:v>
                </c:pt>
                <c:pt idx="2">
                  <c:v>1</c:v>
                </c:pt>
                <c:pt idx="3">
                  <c:v>1.5</c:v>
                </c:pt>
              </c:numCache>
            </c:numRef>
          </c:cat>
          <c:val>
            <c:numRef>
              <c:f>Average!$S$45:$S$48</c:f>
              <c:numCache>
                <c:formatCode>0.000</c:formatCode>
                <c:ptCount val="4"/>
                <c:pt idx="0">
                  <c:v>34.067779836438596</c:v>
                </c:pt>
                <c:pt idx="1">
                  <c:v>41.889333320575481</c:v>
                </c:pt>
                <c:pt idx="2">
                  <c:v>40.083994137096006</c:v>
                </c:pt>
                <c:pt idx="3">
                  <c:v>589.05428153723733</c:v>
                </c:pt>
              </c:numCache>
            </c:numRef>
          </c:val>
          <c:extLst>
            <c:ext xmlns:c16="http://schemas.microsoft.com/office/drawing/2014/chart" uri="{C3380CC4-5D6E-409C-BE32-E72D297353CC}">
              <c16:uniqueId val="{00000000-9361-4F0C-ACF9-DAC871E63EF5}"/>
            </c:ext>
          </c:extLst>
        </c:ser>
        <c:ser>
          <c:idx val="1"/>
          <c:order val="1"/>
          <c:tx>
            <c:strRef>
              <c:f>Average!$T$44</c:f>
              <c:strCache>
                <c:ptCount val="1"/>
                <c:pt idx="0">
                  <c:v>Dissolved</c:v>
                </c:pt>
              </c:strCache>
            </c:strRef>
          </c:tx>
          <c:spPr>
            <a:solidFill>
              <a:srgbClr val="00B0F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1"/>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Average!$R$45:$R$48</c:f>
              <c:numCache>
                <c:formatCode>General</c:formatCode>
                <c:ptCount val="4"/>
                <c:pt idx="0">
                  <c:v>0</c:v>
                </c:pt>
                <c:pt idx="1">
                  <c:v>0.5</c:v>
                </c:pt>
                <c:pt idx="2">
                  <c:v>1</c:v>
                </c:pt>
                <c:pt idx="3">
                  <c:v>1.5</c:v>
                </c:pt>
              </c:numCache>
            </c:numRef>
          </c:cat>
          <c:val>
            <c:numRef>
              <c:f>Average!$T$45:$T$48</c:f>
              <c:numCache>
                <c:formatCode>0.000</c:formatCode>
                <c:ptCount val="4"/>
                <c:pt idx="0">
                  <c:v>28.332910421649647</c:v>
                </c:pt>
                <c:pt idx="1">
                  <c:v>24.30316944941913</c:v>
                </c:pt>
                <c:pt idx="2">
                  <c:v>25.651528863118241</c:v>
                </c:pt>
                <c:pt idx="3">
                  <c:v>26.187456661790595</c:v>
                </c:pt>
              </c:numCache>
            </c:numRef>
          </c:val>
          <c:extLst>
            <c:ext xmlns:c16="http://schemas.microsoft.com/office/drawing/2014/chart" uri="{C3380CC4-5D6E-409C-BE32-E72D297353CC}">
              <c16:uniqueId val="{00000001-9361-4F0C-ACF9-DAC871E63EF5}"/>
            </c:ext>
          </c:extLst>
        </c:ser>
        <c:dLbls>
          <c:showLegendKey val="0"/>
          <c:showVal val="0"/>
          <c:showCatName val="0"/>
          <c:showSerName val="0"/>
          <c:showPercent val="0"/>
          <c:showBubbleSize val="0"/>
        </c:dLbls>
        <c:gapWidth val="182"/>
        <c:axId val="529630904"/>
        <c:axId val="529626968"/>
      </c:barChart>
      <c:catAx>
        <c:axId val="529630904"/>
        <c:scaling>
          <c:orientation val="maxMin"/>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from Surface (m)</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626968"/>
        <c:crosses val="autoZero"/>
        <c:auto val="1"/>
        <c:lblAlgn val="ctr"/>
        <c:lblOffset val="100"/>
        <c:noMultiLvlLbl val="0"/>
      </c:catAx>
      <c:valAx>
        <c:axId val="529626968"/>
        <c:scaling>
          <c:orientation val="minMax"/>
          <c:max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[Fe] (mg/L)</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low"/>
        <c:spPr>
          <a:noFill/>
          <a:ln>
            <a:noFill/>
          </a:ln>
          <a:effectLst/>
        </c:spPr>
        <c:txPr>
          <a:bodyPr rot="-60000000" spcFirstLastPara="1" vertOverflow="ellipsis" vert="horz" wrap="square" anchor="b"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529630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'SFreq Monthly'!$H$3</c:f>
              <c:strCache>
                <c:ptCount val="1"/>
                <c:pt idx="0">
                  <c:v>J</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'SFreq Monthly'!$I$2:$K$2</c:f>
              <c:numCache>
                <c:formatCode>General</c:formatCode>
                <c:ptCount val="3"/>
                <c:pt idx="0">
                  <c:v>2011</c:v>
                </c:pt>
                <c:pt idx="1">
                  <c:v>2012</c:v>
                </c:pt>
                <c:pt idx="2">
                  <c:v>2013</c:v>
                </c:pt>
              </c:numCache>
            </c:numRef>
          </c:cat>
          <c:val>
            <c:numRef>
              <c:f>'SFreq Monthly'!$I$3:$K$3</c:f>
              <c:numCache>
                <c:formatCode>General</c:formatCode>
                <c:ptCount val="3"/>
                <c:pt idx="0">
                  <c:v>7</c:v>
                </c:pt>
                <c:pt idx="1">
                  <c:v>2</c:v>
                </c:pt>
                <c:pt idx="2">
                  <c:v>11</c:v>
                </c:pt>
              </c:numCache>
            </c:numRef>
          </c:val>
          <c:extLst>
            <c:ext xmlns:c16="http://schemas.microsoft.com/office/drawing/2014/chart" uri="{C3380CC4-5D6E-409C-BE32-E72D297353CC}">
              <c16:uniqueId val="{00000000-119A-4722-A68B-C9B56232699F}"/>
            </c:ext>
          </c:extLst>
        </c:ser>
        <c:ser>
          <c:idx val="1"/>
          <c:order val="1"/>
          <c:tx>
            <c:strRef>
              <c:f>'SFreq Monthly'!$H$4</c:f>
              <c:strCache>
                <c:ptCount val="1"/>
                <c:pt idx="0">
                  <c:v>F</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'SFreq Monthly'!$I$2:$K$2</c:f>
              <c:numCache>
                <c:formatCode>General</c:formatCode>
                <c:ptCount val="3"/>
                <c:pt idx="0">
                  <c:v>2011</c:v>
                </c:pt>
                <c:pt idx="1">
                  <c:v>2012</c:v>
                </c:pt>
                <c:pt idx="2">
                  <c:v>2013</c:v>
                </c:pt>
              </c:numCache>
            </c:numRef>
          </c:cat>
          <c:val>
            <c:numRef>
              <c:f>'SFreq Monthly'!$I$4:$K$4</c:f>
              <c:numCache>
                <c:formatCode>General</c:formatCode>
                <c:ptCount val="3"/>
                <c:pt idx="0">
                  <c:v>9</c:v>
                </c:pt>
                <c:pt idx="1">
                  <c:v>10</c:v>
                </c:pt>
                <c:pt idx="2">
                  <c:v>13</c:v>
                </c:pt>
              </c:numCache>
            </c:numRef>
          </c:val>
          <c:extLst>
            <c:ext xmlns:c16="http://schemas.microsoft.com/office/drawing/2014/chart" uri="{C3380CC4-5D6E-409C-BE32-E72D297353CC}">
              <c16:uniqueId val="{00000001-119A-4722-A68B-C9B56232699F}"/>
            </c:ext>
          </c:extLst>
        </c:ser>
        <c:ser>
          <c:idx val="2"/>
          <c:order val="2"/>
          <c:tx>
            <c:strRef>
              <c:f>'SFreq Monthly'!$H$5</c:f>
              <c:strCache>
                <c:ptCount val="1"/>
                <c:pt idx="0">
                  <c:v>M</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'SFreq Monthly'!$I$2:$K$2</c:f>
              <c:numCache>
                <c:formatCode>General</c:formatCode>
                <c:ptCount val="3"/>
                <c:pt idx="0">
                  <c:v>2011</c:v>
                </c:pt>
                <c:pt idx="1">
                  <c:v>2012</c:v>
                </c:pt>
                <c:pt idx="2">
                  <c:v>2013</c:v>
                </c:pt>
              </c:numCache>
            </c:numRef>
          </c:cat>
          <c:val>
            <c:numRef>
              <c:f>'SFreq Monthly'!$I$5:$K$5</c:f>
              <c:numCache>
                <c:formatCode>General</c:formatCode>
                <c:ptCount val="3"/>
                <c:pt idx="0">
                  <c:v>9</c:v>
                </c:pt>
                <c:pt idx="1">
                  <c:v>8</c:v>
                </c:pt>
                <c:pt idx="2">
                  <c:v>11</c:v>
                </c:pt>
              </c:numCache>
            </c:numRef>
          </c:val>
          <c:extLst>
            <c:ext xmlns:c16="http://schemas.microsoft.com/office/drawing/2014/chart" uri="{C3380CC4-5D6E-409C-BE32-E72D297353CC}">
              <c16:uniqueId val="{00000002-119A-4722-A68B-C9B56232699F}"/>
            </c:ext>
          </c:extLst>
        </c:ser>
        <c:ser>
          <c:idx val="3"/>
          <c:order val="3"/>
          <c:tx>
            <c:strRef>
              <c:f>'SFreq Monthly'!$H$6</c:f>
              <c:strCache>
                <c:ptCount val="1"/>
                <c:pt idx="0">
                  <c:v>A</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'SFreq Monthly'!$I$2:$K$2</c:f>
              <c:numCache>
                <c:formatCode>General</c:formatCode>
                <c:ptCount val="3"/>
                <c:pt idx="0">
                  <c:v>2011</c:v>
                </c:pt>
                <c:pt idx="1">
                  <c:v>2012</c:v>
                </c:pt>
                <c:pt idx="2">
                  <c:v>2013</c:v>
                </c:pt>
              </c:numCache>
            </c:numRef>
          </c:cat>
          <c:val>
            <c:numRef>
              <c:f>'SFreq Monthly'!$I$6:$K$6</c:f>
              <c:numCache>
                <c:formatCode>General</c:formatCode>
                <c:ptCount val="3"/>
                <c:pt idx="0">
                  <c:v>7</c:v>
                </c:pt>
                <c:pt idx="1">
                  <c:v>2</c:v>
                </c:pt>
                <c:pt idx="2">
                  <c:v>10</c:v>
                </c:pt>
              </c:numCache>
            </c:numRef>
          </c:val>
          <c:extLst>
            <c:ext xmlns:c16="http://schemas.microsoft.com/office/drawing/2014/chart" uri="{C3380CC4-5D6E-409C-BE32-E72D297353CC}">
              <c16:uniqueId val="{00000003-119A-4722-A68B-C9B56232699F}"/>
            </c:ext>
          </c:extLst>
        </c:ser>
        <c:ser>
          <c:idx val="4"/>
          <c:order val="4"/>
          <c:tx>
            <c:strRef>
              <c:f>'SFreq Monthly'!$H$7</c:f>
              <c:strCache>
                <c:ptCount val="1"/>
                <c:pt idx="0">
                  <c:v>M</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'SFreq Monthly'!$I$2:$K$2</c:f>
              <c:numCache>
                <c:formatCode>General</c:formatCode>
                <c:ptCount val="3"/>
                <c:pt idx="0">
                  <c:v>2011</c:v>
                </c:pt>
                <c:pt idx="1">
                  <c:v>2012</c:v>
                </c:pt>
                <c:pt idx="2">
                  <c:v>2013</c:v>
                </c:pt>
              </c:numCache>
            </c:numRef>
          </c:cat>
          <c:val>
            <c:numRef>
              <c:f>'SFreq Monthly'!$I$7:$K$7</c:f>
              <c:numCache>
                <c:formatCode>General</c:formatCode>
                <c:ptCount val="3"/>
                <c:pt idx="0">
                  <c:v>13</c:v>
                </c:pt>
                <c:pt idx="1">
                  <c:v>5</c:v>
                </c:pt>
                <c:pt idx="2">
                  <c:v>17</c:v>
                </c:pt>
              </c:numCache>
            </c:numRef>
          </c:val>
          <c:extLst>
            <c:ext xmlns:c16="http://schemas.microsoft.com/office/drawing/2014/chart" uri="{C3380CC4-5D6E-409C-BE32-E72D297353CC}">
              <c16:uniqueId val="{00000004-119A-4722-A68B-C9B56232699F}"/>
            </c:ext>
          </c:extLst>
        </c:ser>
        <c:ser>
          <c:idx val="5"/>
          <c:order val="5"/>
          <c:tx>
            <c:strRef>
              <c:f>'SFreq Monthly'!$H$8</c:f>
              <c:strCache>
                <c:ptCount val="1"/>
                <c:pt idx="0">
                  <c:v>J</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'SFreq Monthly'!$I$2:$K$2</c:f>
              <c:numCache>
                <c:formatCode>General</c:formatCode>
                <c:ptCount val="3"/>
                <c:pt idx="0">
                  <c:v>2011</c:v>
                </c:pt>
                <c:pt idx="1">
                  <c:v>2012</c:v>
                </c:pt>
                <c:pt idx="2">
                  <c:v>2013</c:v>
                </c:pt>
              </c:numCache>
            </c:numRef>
          </c:cat>
          <c:val>
            <c:numRef>
              <c:f>'SFreq Monthly'!$I$8:$K$8</c:f>
              <c:numCache>
                <c:formatCode>General</c:formatCode>
                <c:ptCount val="3"/>
                <c:pt idx="0">
                  <c:v>9</c:v>
                </c:pt>
                <c:pt idx="1">
                  <c:v>5</c:v>
                </c:pt>
                <c:pt idx="2">
                  <c:v>7</c:v>
                </c:pt>
              </c:numCache>
            </c:numRef>
          </c:val>
          <c:extLst>
            <c:ext xmlns:c16="http://schemas.microsoft.com/office/drawing/2014/chart" uri="{C3380CC4-5D6E-409C-BE32-E72D297353CC}">
              <c16:uniqueId val="{00000005-119A-4722-A68B-C9B56232699F}"/>
            </c:ext>
          </c:extLst>
        </c:ser>
        <c:ser>
          <c:idx val="6"/>
          <c:order val="6"/>
          <c:tx>
            <c:strRef>
              <c:f>'SFreq Monthly'!$H$9</c:f>
              <c:strCache>
                <c:ptCount val="1"/>
                <c:pt idx="0">
                  <c:v>J</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'SFreq Monthly'!$I$2:$K$2</c:f>
              <c:numCache>
                <c:formatCode>General</c:formatCode>
                <c:ptCount val="3"/>
                <c:pt idx="0">
                  <c:v>2011</c:v>
                </c:pt>
                <c:pt idx="1">
                  <c:v>2012</c:v>
                </c:pt>
                <c:pt idx="2">
                  <c:v>2013</c:v>
                </c:pt>
              </c:numCache>
            </c:numRef>
          </c:cat>
          <c:val>
            <c:numRef>
              <c:f>'SFreq Monthly'!$I$9:$K$9</c:f>
              <c:numCache>
                <c:formatCode>General</c:formatCode>
                <c:ptCount val="3"/>
                <c:pt idx="0">
                  <c:v>6</c:v>
                </c:pt>
                <c:pt idx="1">
                  <c:v>6</c:v>
                </c:pt>
                <c:pt idx="2">
                  <c:v>12</c:v>
                </c:pt>
              </c:numCache>
            </c:numRef>
          </c:val>
          <c:extLst>
            <c:ext xmlns:c16="http://schemas.microsoft.com/office/drawing/2014/chart" uri="{C3380CC4-5D6E-409C-BE32-E72D297353CC}">
              <c16:uniqueId val="{00000006-119A-4722-A68B-C9B56232699F}"/>
            </c:ext>
          </c:extLst>
        </c:ser>
        <c:ser>
          <c:idx val="7"/>
          <c:order val="7"/>
          <c:tx>
            <c:strRef>
              <c:f>'SFreq Monthly'!$H$10</c:f>
              <c:strCache>
                <c:ptCount val="1"/>
                <c:pt idx="0">
                  <c:v>A</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'SFreq Monthly'!$I$2:$K$2</c:f>
              <c:numCache>
                <c:formatCode>General</c:formatCode>
                <c:ptCount val="3"/>
                <c:pt idx="0">
                  <c:v>2011</c:v>
                </c:pt>
                <c:pt idx="1">
                  <c:v>2012</c:v>
                </c:pt>
                <c:pt idx="2">
                  <c:v>2013</c:v>
                </c:pt>
              </c:numCache>
            </c:numRef>
          </c:cat>
          <c:val>
            <c:numRef>
              <c:f>'SFreq Monthly'!$I$10:$K$10</c:f>
              <c:numCache>
                <c:formatCode>General</c:formatCode>
                <c:ptCount val="3"/>
                <c:pt idx="0">
                  <c:v>9</c:v>
                </c:pt>
                <c:pt idx="1">
                  <c:v>8</c:v>
                </c:pt>
                <c:pt idx="2">
                  <c:v>11</c:v>
                </c:pt>
              </c:numCache>
            </c:numRef>
          </c:val>
          <c:extLst>
            <c:ext xmlns:c16="http://schemas.microsoft.com/office/drawing/2014/chart" uri="{C3380CC4-5D6E-409C-BE32-E72D297353CC}">
              <c16:uniqueId val="{00000007-119A-4722-A68B-C9B56232699F}"/>
            </c:ext>
          </c:extLst>
        </c:ser>
        <c:ser>
          <c:idx val="8"/>
          <c:order val="8"/>
          <c:tx>
            <c:strRef>
              <c:f>'SFreq Monthly'!$H$11</c:f>
              <c:strCache>
                <c:ptCount val="1"/>
                <c:pt idx="0">
                  <c:v>S </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'SFreq Monthly'!$I$2:$K$2</c:f>
              <c:numCache>
                <c:formatCode>General</c:formatCode>
                <c:ptCount val="3"/>
                <c:pt idx="0">
                  <c:v>2011</c:v>
                </c:pt>
                <c:pt idx="1">
                  <c:v>2012</c:v>
                </c:pt>
                <c:pt idx="2">
                  <c:v>2013</c:v>
                </c:pt>
              </c:numCache>
            </c:numRef>
          </c:cat>
          <c:val>
            <c:numRef>
              <c:f>'SFreq Monthly'!$I$11:$K$11</c:f>
              <c:numCache>
                <c:formatCode>General</c:formatCode>
                <c:ptCount val="3"/>
                <c:pt idx="0">
                  <c:v>7</c:v>
                </c:pt>
                <c:pt idx="1">
                  <c:v>11</c:v>
                </c:pt>
                <c:pt idx="2">
                  <c:v>8</c:v>
                </c:pt>
              </c:numCache>
            </c:numRef>
          </c:val>
          <c:extLst>
            <c:ext xmlns:c16="http://schemas.microsoft.com/office/drawing/2014/chart" uri="{C3380CC4-5D6E-409C-BE32-E72D297353CC}">
              <c16:uniqueId val="{00000008-119A-4722-A68B-C9B56232699F}"/>
            </c:ext>
          </c:extLst>
        </c:ser>
        <c:ser>
          <c:idx val="9"/>
          <c:order val="9"/>
          <c:tx>
            <c:strRef>
              <c:f>'SFreq Monthly'!$H$12</c:f>
              <c:strCache>
                <c:ptCount val="1"/>
                <c:pt idx="0">
                  <c:v>O</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'SFreq Monthly'!$I$2:$K$2</c:f>
              <c:numCache>
                <c:formatCode>General</c:formatCode>
                <c:ptCount val="3"/>
                <c:pt idx="0">
                  <c:v>2011</c:v>
                </c:pt>
                <c:pt idx="1">
                  <c:v>2012</c:v>
                </c:pt>
                <c:pt idx="2">
                  <c:v>2013</c:v>
                </c:pt>
              </c:numCache>
            </c:numRef>
          </c:cat>
          <c:val>
            <c:numRef>
              <c:f>'SFreq Monthly'!$I$12:$K$12</c:f>
              <c:numCache>
                <c:formatCode>General</c:formatCode>
                <c:ptCount val="3"/>
                <c:pt idx="0">
                  <c:v>5</c:v>
                </c:pt>
                <c:pt idx="1">
                  <c:v>6</c:v>
                </c:pt>
                <c:pt idx="2">
                  <c:v>13</c:v>
                </c:pt>
              </c:numCache>
            </c:numRef>
          </c:val>
          <c:extLst>
            <c:ext xmlns:c16="http://schemas.microsoft.com/office/drawing/2014/chart" uri="{C3380CC4-5D6E-409C-BE32-E72D297353CC}">
              <c16:uniqueId val="{00000009-119A-4722-A68B-C9B56232699F}"/>
            </c:ext>
          </c:extLst>
        </c:ser>
        <c:ser>
          <c:idx val="10"/>
          <c:order val="10"/>
          <c:tx>
            <c:strRef>
              <c:f>'SFreq Monthly'!$H$13</c:f>
              <c:strCache>
                <c:ptCount val="1"/>
                <c:pt idx="0">
                  <c:v>N</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'SFreq Monthly'!$I$2:$K$2</c:f>
              <c:numCache>
                <c:formatCode>General</c:formatCode>
                <c:ptCount val="3"/>
                <c:pt idx="0">
                  <c:v>2011</c:v>
                </c:pt>
                <c:pt idx="1">
                  <c:v>2012</c:v>
                </c:pt>
                <c:pt idx="2">
                  <c:v>2013</c:v>
                </c:pt>
              </c:numCache>
            </c:numRef>
          </c:cat>
          <c:val>
            <c:numRef>
              <c:f>'SFreq Monthly'!$I$13:$K$13</c:f>
              <c:numCache>
                <c:formatCode>General</c:formatCode>
                <c:ptCount val="3"/>
                <c:pt idx="0">
                  <c:v>14</c:v>
                </c:pt>
                <c:pt idx="1">
                  <c:v>3</c:v>
                </c:pt>
                <c:pt idx="2">
                  <c:v>9</c:v>
                </c:pt>
              </c:numCache>
            </c:numRef>
          </c:val>
          <c:extLst>
            <c:ext xmlns:c16="http://schemas.microsoft.com/office/drawing/2014/chart" uri="{C3380CC4-5D6E-409C-BE32-E72D297353CC}">
              <c16:uniqueId val="{0000000A-119A-4722-A68B-C9B56232699F}"/>
            </c:ext>
          </c:extLst>
        </c:ser>
        <c:ser>
          <c:idx val="11"/>
          <c:order val="11"/>
          <c:tx>
            <c:strRef>
              <c:f>'SFreq Monthly'!$H$14</c:f>
              <c:strCache>
                <c:ptCount val="1"/>
                <c:pt idx="0">
                  <c:v>D</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'SFreq Monthly'!$I$2:$K$2</c:f>
              <c:numCache>
                <c:formatCode>General</c:formatCode>
                <c:ptCount val="3"/>
                <c:pt idx="0">
                  <c:v>2011</c:v>
                </c:pt>
                <c:pt idx="1">
                  <c:v>2012</c:v>
                </c:pt>
                <c:pt idx="2">
                  <c:v>2013</c:v>
                </c:pt>
              </c:numCache>
            </c:numRef>
          </c:cat>
          <c:val>
            <c:numRef>
              <c:f>'SFreq Monthly'!$I$14:$K$14</c:f>
              <c:numCache>
                <c:formatCode>General</c:formatCode>
                <c:ptCount val="3"/>
                <c:pt idx="0">
                  <c:v>8</c:v>
                </c:pt>
                <c:pt idx="1">
                  <c:v>7</c:v>
                </c:pt>
                <c:pt idx="2">
                  <c:v>12</c:v>
                </c:pt>
              </c:numCache>
            </c:numRef>
          </c:val>
          <c:extLst>
            <c:ext xmlns:c16="http://schemas.microsoft.com/office/drawing/2014/chart" uri="{C3380CC4-5D6E-409C-BE32-E72D297353CC}">
              <c16:uniqueId val="{0000000B-119A-4722-A68B-C9B56232699F}"/>
            </c:ext>
          </c:extLst>
        </c:ser>
        <c:dLbls>
          <c:showLegendKey val="0"/>
          <c:showVal val="0"/>
          <c:showCatName val="0"/>
          <c:showSerName val="0"/>
          <c:showPercent val="0"/>
          <c:showBubbleSize val="0"/>
        </c:dLbls>
        <c:gapWidth val="300"/>
        <c:overlap val="-28"/>
        <c:axId val="768421208"/>
        <c:axId val="768427112"/>
      </c:barChart>
      <c:catAx>
        <c:axId val="768421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8427112"/>
        <c:crosses val="autoZero"/>
        <c:auto val="1"/>
        <c:lblAlgn val="ctr"/>
        <c:lblOffset val="100"/>
        <c:noMultiLvlLbl val="0"/>
      </c:catAx>
      <c:valAx>
        <c:axId val="768427112"/>
        <c:scaling>
          <c:orientation val="minMax"/>
          <c:max val="2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Storm Frequency</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8421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4062521031025"/>
          <c:y val="0.16066238221735143"/>
          <c:w val="0.86480343386679548"/>
          <c:h val="0.65968115096724012"/>
        </c:manualLayout>
      </c:layout>
      <c:barChart>
        <c:barDir val="col"/>
        <c:grouping val="clustered"/>
        <c:varyColors val="0"/>
        <c:ser>
          <c:idx val="0"/>
          <c:order val="0"/>
          <c:tx>
            <c:strRef>
              <c:f>'SFreq Monthly'!$H$36</c:f>
              <c:strCache>
                <c:ptCount val="1"/>
                <c:pt idx="0">
                  <c:v>2011</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'SFreq Monthly'!$I$35:$L$35</c:f>
              <c:strCache>
                <c:ptCount val="4"/>
                <c:pt idx="0">
                  <c:v>0.25-0.99</c:v>
                </c:pt>
                <c:pt idx="1">
                  <c:v>1.00-1.99</c:v>
                </c:pt>
                <c:pt idx="2">
                  <c:v>2.00-2.99</c:v>
                </c:pt>
                <c:pt idx="3">
                  <c:v>3.00-max</c:v>
                </c:pt>
              </c:strCache>
            </c:strRef>
          </c:cat>
          <c:val>
            <c:numRef>
              <c:f>'SFreq Monthly'!$I$36:$L$36</c:f>
              <c:numCache>
                <c:formatCode>General</c:formatCode>
                <c:ptCount val="4"/>
                <c:pt idx="0">
                  <c:v>68</c:v>
                </c:pt>
                <c:pt idx="1">
                  <c:v>11</c:v>
                </c:pt>
                <c:pt idx="2">
                  <c:v>14</c:v>
                </c:pt>
                <c:pt idx="3">
                  <c:v>16</c:v>
                </c:pt>
              </c:numCache>
            </c:numRef>
          </c:val>
          <c:extLst>
            <c:ext xmlns:c16="http://schemas.microsoft.com/office/drawing/2014/chart" uri="{C3380CC4-5D6E-409C-BE32-E72D297353CC}">
              <c16:uniqueId val="{00000000-2B35-4C89-A0A1-28CDC7A39C12}"/>
            </c:ext>
          </c:extLst>
        </c:ser>
        <c:ser>
          <c:idx val="1"/>
          <c:order val="1"/>
          <c:tx>
            <c:strRef>
              <c:f>'SFreq Monthly'!$H$37</c:f>
              <c:strCache>
                <c:ptCount val="1"/>
                <c:pt idx="0">
                  <c:v>2012</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'SFreq Monthly'!$I$35:$L$35</c:f>
              <c:strCache>
                <c:ptCount val="4"/>
                <c:pt idx="0">
                  <c:v>0.25-0.99</c:v>
                </c:pt>
                <c:pt idx="1">
                  <c:v>1.00-1.99</c:v>
                </c:pt>
                <c:pt idx="2">
                  <c:v>2.00-2.99</c:v>
                </c:pt>
                <c:pt idx="3">
                  <c:v>3.00-max</c:v>
                </c:pt>
              </c:strCache>
            </c:strRef>
          </c:cat>
          <c:val>
            <c:numRef>
              <c:f>'SFreq Monthly'!$I$37:$L$37</c:f>
              <c:numCache>
                <c:formatCode>General</c:formatCode>
                <c:ptCount val="4"/>
                <c:pt idx="0">
                  <c:v>43</c:v>
                </c:pt>
                <c:pt idx="1">
                  <c:v>12</c:v>
                </c:pt>
                <c:pt idx="2">
                  <c:v>6</c:v>
                </c:pt>
                <c:pt idx="3">
                  <c:v>22</c:v>
                </c:pt>
              </c:numCache>
            </c:numRef>
          </c:val>
          <c:extLst>
            <c:ext xmlns:c16="http://schemas.microsoft.com/office/drawing/2014/chart" uri="{C3380CC4-5D6E-409C-BE32-E72D297353CC}">
              <c16:uniqueId val="{00000001-2B35-4C89-A0A1-28CDC7A39C12}"/>
            </c:ext>
          </c:extLst>
        </c:ser>
        <c:ser>
          <c:idx val="2"/>
          <c:order val="2"/>
          <c:tx>
            <c:strRef>
              <c:f>'SFreq Monthly'!$H$38</c:f>
              <c:strCache>
                <c:ptCount val="1"/>
                <c:pt idx="0">
                  <c:v>2013</c:v>
                </c:pt>
              </c:strCache>
            </c:strRef>
          </c:tx>
          <c:spPr>
            <a:solidFill>
              <a:schemeClr val="tx1">
                <a:lumMod val="65000"/>
                <a:lumOff val="3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'SFreq Monthly'!$I$35:$L$35</c:f>
              <c:strCache>
                <c:ptCount val="4"/>
                <c:pt idx="0">
                  <c:v>0.25-0.99</c:v>
                </c:pt>
                <c:pt idx="1">
                  <c:v>1.00-1.99</c:v>
                </c:pt>
                <c:pt idx="2">
                  <c:v>2.00-2.99</c:v>
                </c:pt>
                <c:pt idx="3">
                  <c:v>3.00-max</c:v>
                </c:pt>
              </c:strCache>
            </c:strRef>
          </c:cat>
          <c:val>
            <c:numRef>
              <c:f>'SFreq Monthly'!$I$38:$L$38</c:f>
              <c:numCache>
                <c:formatCode>General</c:formatCode>
                <c:ptCount val="4"/>
                <c:pt idx="0">
                  <c:v>84</c:v>
                </c:pt>
                <c:pt idx="1">
                  <c:v>9</c:v>
                </c:pt>
                <c:pt idx="2">
                  <c:v>11</c:v>
                </c:pt>
                <c:pt idx="3">
                  <c:v>30</c:v>
                </c:pt>
              </c:numCache>
            </c:numRef>
          </c:val>
          <c:extLst>
            <c:ext xmlns:c16="http://schemas.microsoft.com/office/drawing/2014/chart" uri="{C3380CC4-5D6E-409C-BE32-E72D297353CC}">
              <c16:uniqueId val="{00000002-2B35-4C89-A0A1-28CDC7A39C12}"/>
            </c:ext>
          </c:extLst>
        </c:ser>
        <c:ser>
          <c:idx val="3"/>
          <c:order val="3"/>
          <c:tx>
            <c:strRef>
              <c:f>'SFreq Monthly'!$H$39</c:f>
              <c:strCache>
                <c:ptCount val="1"/>
                <c:pt idx="0">
                  <c:v>Average (n=3)</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'SFreq Monthly'!$I$35:$L$35</c:f>
              <c:strCache>
                <c:ptCount val="4"/>
                <c:pt idx="0">
                  <c:v>0.25-0.99</c:v>
                </c:pt>
                <c:pt idx="1">
                  <c:v>1.00-1.99</c:v>
                </c:pt>
                <c:pt idx="2">
                  <c:v>2.00-2.99</c:v>
                </c:pt>
                <c:pt idx="3">
                  <c:v>3.00-max</c:v>
                </c:pt>
              </c:strCache>
            </c:strRef>
          </c:cat>
          <c:val>
            <c:numRef>
              <c:f>'SFreq Monthly'!$I$39:$L$39</c:f>
              <c:numCache>
                <c:formatCode>0</c:formatCode>
                <c:ptCount val="4"/>
                <c:pt idx="0" formatCode="General">
                  <c:v>65</c:v>
                </c:pt>
                <c:pt idx="1">
                  <c:v>10.666666666666666</c:v>
                </c:pt>
                <c:pt idx="2">
                  <c:v>10.333333333333334</c:v>
                </c:pt>
                <c:pt idx="3">
                  <c:v>22.666666666666668</c:v>
                </c:pt>
              </c:numCache>
            </c:numRef>
          </c:val>
          <c:extLst>
            <c:ext xmlns:c16="http://schemas.microsoft.com/office/drawing/2014/chart" uri="{C3380CC4-5D6E-409C-BE32-E72D297353CC}">
              <c16:uniqueId val="{00000003-2B35-4C89-A0A1-28CDC7A39C12}"/>
            </c:ext>
          </c:extLst>
        </c:ser>
        <c:dLbls>
          <c:dLblPos val="outEnd"/>
          <c:showLegendKey val="0"/>
          <c:showVal val="1"/>
          <c:showCatName val="0"/>
          <c:showSerName val="0"/>
          <c:showPercent val="0"/>
          <c:showBubbleSize val="0"/>
        </c:dLbls>
        <c:gapWidth val="211"/>
        <c:overlap val="-10"/>
        <c:axId val="695302328"/>
        <c:axId val="695302656"/>
      </c:barChart>
      <c:catAx>
        <c:axId val="69530232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Rainfall Intensity (cm/hr)</a:t>
                </a:r>
              </a:p>
            </c:rich>
          </c:tx>
          <c:layout>
            <c:manualLayout>
              <c:xMode val="edge"/>
              <c:yMode val="edge"/>
              <c:x val="0.41134990300125529"/>
              <c:y val="0.894362463951265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crossAx val="695302656"/>
        <c:crosses val="autoZero"/>
        <c:auto val="1"/>
        <c:lblAlgn val="ctr"/>
        <c:lblOffset val="100"/>
        <c:noMultiLvlLbl val="0"/>
      </c:catAx>
      <c:valAx>
        <c:axId val="695302656"/>
        <c:scaling>
          <c:orientation val="minMax"/>
          <c:max val="10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Frequency of Storm Event</a:t>
                </a:r>
              </a:p>
            </c:rich>
          </c:tx>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5302328"/>
        <c:crosses val="autoZero"/>
        <c:crossBetween val="between"/>
      </c:valAx>
      <c:spPr>
        <a:noFill/>
        <a:ln>
          <a:noFill/>
        </a:ln>
        <a:effectLst/>
      </c:spPr>
    </c:plotArea>
    <c:legend>
      <c:legendPos val="b"/>
      <c:layout>
        <c:manualLayout>
          <c:xMode val="edge"/>
          <c:yMode val="edge"/>
          <c:x val="0.32627734033245842"/>
          <c:y val="3.6304944640540722E-3"/>
          <c:w val="0.61801875309064624"/>
          <c:h val="0.21540441065556459"/>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10225284339457"/>
          <c:y val="0.12593073593073595"/>
          <c:w val="0.84360145086030913"/>
          <c:h val="0.64721512083716803"/>
        </c:manualLayout>
      </c:layout>
      <c:barChart>
        <c:barDir val="col"/>
        <c:grouping val="clustered"/>
        <c:varyColors val="0"/>
        <c:ser>
          <c:idx val="0"/>
          <c:order val="0"/>
          <c:tx>
            <c:strRef>
              <c:f>'Sppt Monthly '!$H$3</c:f>
              <c:strCache>
                <c:ptCount val="1"/>
                <c:pt idx="0">
                  <c:v>J</c:v>
                </c:pt>
              </c:strCache>
            </c:strRef>
          </c:tx>
          <c:spPr>
            <a:solidFill>
              <a:schemeClr val="accent5">
                <a:lumMod val="75000"/>
              </a:schemeClr>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inBase"/>
              <c:showLegendKey val="0"/>
              <c:showVal val="0"/>
              <c:showCatName val="0"/>
              <c:showSerName val="1"/>
              <c:showPercent val="0"/>
              <c:showBubbleSize val="0"/>
              <c:extLst>
                <c:ext xmlns:c16="http://schemas.microsoft.com/office/drawing/2014/chart" uri="{C3380CC4-5D6E-409C-BE32-E72D297353CC}">
                  <c16:uniqueId val="{00000000-389B-4BF1-9E67-23BBFD1A7F1A}"/>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inBase"/>
              <c:showLegendKey val="0"/>
              <c:showVal val="0"/>
              <c:showCatName val="0"/>
              <c:showSerName val="1"/>
              <c:showPercent val="0"/>
              <c:showBubbleSize val="0"/>
              <c:extLst>
                <c:ext xmlns:c16="http://schemas.microsoft.com/office/drawing/2014/chart" uri="{C3380CC4-5D6E-409C-BE32-E72D297353CC}">
                  <c16:uniqueId val="{00000001-389B-4BF1-9E67-23BBFD1A7F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'Sppt Monthly '!$I$2:$K$2</c:f>
              <c:numCache>
                <c:formatCode>General</c:formatCode>
                <c:ptCount val="3"/>
                <c:pt idx="0">
                  <c:v>2011</c:v>
                </c:pt>
                <c:pt idx="1">
                  <c:v>2012</c:v>
                </c:pt>
                <c:pt idx="2">
                  <c:v>2013</c:v>
                </c:pt>
              </c:numCache>
            </c:numRef>
          </c:cat>
          <c:val>
            <c:numRef>
              <c:f>'Sppt Monthly '!$I$3:$K$3</c:f>
              <c:numCache>
                <c:formatCode>0.00</c:formatCode>
                <c:ptCount val="3"/>
                <c:pt idx="0">
                  <c:v>0.48259999999999997</c:v>
                </c:pt>
                <c:pt idx="1">
                  <c:v>1.0668</c:v>
                </c:pt>
                <c:pt idx="2">
                  <c:v>7.1627999999999989</c:v>
                </c:pt>
              </c:numCache>
            </c:numRef>
          </c:val>
          <c:extLst>
            <c:ext xmlns:c16="http://schemas.microsoft.com/office/drawing/2014/chart" uri="{C3380CC4-5D6E-409C-BE32-E72D297353CC}">
              <c16:uniqueId val="{00000002-389B-4BF1-9E67-23BBFD1A7F1A}"/>
            </c:ext>
          </c:extLst>
        </c:ser>
        <c:ser>
          <c:idx val="1"/>
          <c:order val="1"/>
          <c:tx>
            <c:strRef>
              <c:f>'Sppt Monthly '!$H$4</c:f>
              <c:strCache>
                <c:ptCount val="1"/>
                <c:pt idx="0">
                  <c:v>F</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'Sppt Monthly '!$I$2:$K$2</c:f>
              <c:numCache>
                <c:formatCode>General</c:formatCode>
                <c:ptCount val="3"/>
                <c:pt idx="0">
                  <c:v>2011</c:v>
                </c:pt>
                <c:pt idx="1">
                  <c:v>2012</c:v>
                </c:pt>
                <c:pt idx="2">
                  <c:v>2013</c:v>
                </c:pt>
              </c:numCache>
            </c:numRef>
          </c:cat>
          <c:val>
            <c:numRef>
              <c:f>'Sppt Monthly '!$I$4:$K$4</c:f>
              <c:numCache>
                <c:formatCode>0.00</c:formatCode>
                <c:ptCount val="3"/>
                <c:pt idx="0">
                  <c:v>6.4008000000000003</c:v>
                </c:pt>
                <c:pt idx="1">
                  <c:v>4.8513999999999999</c:v>
                </c:pt>
                <c:pt idx="2">
                  <c:v>5.5625999999999998</c:v>
                </c:pt>
              </c:numCache>
            </c:numRef>
          </c:val>
          <c:extLst>
            <c:ext xmlns:c16="http://schemas.microsoft.com/office/drawing/2014/chart" uri="{C3380CC4-5D6E-409C-BE32-E72D297353CC}">
              <c16:uniqueId val="{00000003-389B-4BF1-9E67-23BBFD1A7F1A}"/>
            </c:ext>
          </c:extLst>
        </c:ser>
        <c:ser>
          <c:idx val="2"/>
          <c:order val="2"/>
          <c:tx>
            <c:strRef>
              <c:f>'Sppt Monthly '!$H$5</c:f>
              <c:strCache>
                <c:ptCount val="1"/>
                <c:pt idx="0">
                  <c:v>M</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'Sppt Monthly '!$I$2:$K$2</c:f>
              <c:numCache>
                <c:formatCode>General</c:formatCode>
                <c:ptCount val="3"/>
                <c:pt idx="0">
                  <c:v>2011</c:v>
                </c:pt>
                <c:pt idx="1">
                  <c:v>2012</c:v>
                </c:pt>
                <c:pt idx="2">
                  <c:v>2013</c:v>
                </c:pt>
              </c:numCache>
            </c:numRef>
          </c:cat>
          <c:val>
            <c:numRef>
              <c:f>'Sppt Monthly '!$I$5:$K$5</c:f>
              <c:numCache>
                <c:formatCode>0.00</c:formatCode>
                <c:ptCount val="3"/>
                <c:pt idx="0">
                  <c:v>8.5344000000000015</c:v>
                </c:pt>
                <c:pt idx="1">
                  <c:v>17.7546</c:v>
                </c:pt>
                <c:pt idx="2">
                  <c:v>5.7911999999999999</c:v>
                </c:pt>
              </c:numCache>
            </c:numRef>
          </c:val>
          <c:extLst>
            <c:ext xmlns:c16="http://schemas.microsoft.com/office/drawing/2014/chart" uri="{C3380CC4-5D6E-409C-BE32-E72D297353CC}">
              <c16:uniqueId val="{00000004-389B-4BF1-9E67-23BBFD1A7F1A}"/>
            </c:ext>
          </c:extLst>
        </c:ser>
        <c:ser>
          <c:idx val="3"/>
          <c:order val="3"/>
          <c:tx>
            <c:strRef>
              <c:f>'Sppt Monthly '!$H$6</c:f>
              <c:strCache>
                <c:ptCount val="1"/>
                <c:pt idx="0">
                  <c:v>A</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'Sppt Monthly '!$I$2:$K$2</c:f>
              <c:numCache>
                <c:formatCode>General</c:formatCode>
                <c:ptCount val="3"/>
                <c:pt idx="0">
                  <c:v>2011</c:v>
                </c:pt>
                <c:pt idx="1">
                  <c:v>2012</c:v>
                </c:pt>
                <c:pt idx="2">
                  <c:v>2013</c:v>
                </c:pt>
              </c:numCache>
            </c:numRef>
          </c:cat>
          <c:val>
            <c:numRef>
              <c:f>'Sppt Monthly '!$I$6:$K$6</c:f>
              <c:numCache>
                <c:formatCode>0.00</c:formatCode>
                <c:ptCount val="3"/>
                <c:pt idx="0">
                  <c:v>17.551400000000001</c:v>
                </c:pt>
                <c:pt idx="1">
                  <c:v>19.151599999999998</c:v>
                </c:pt>
                <c:pt idx="2">
                  <c:v>12.928599999999999</c:v>
                </c:pt>
              </c:numCache>
            </c:numRef>
          </c:val>
          <c:extLst>
            <c:ext xmlns:c16="http://schemas.microsoft.com/office/drawing/2014/chart" uri="{C3380CC4-5D6E-409C-BE32-E72D297353CC}">
              <c16:uniqueId val="{00000005-389B-4BF1-9E67-23BBFD1A7F1A}"/>
            </c:ext>
          </c:extLst>
        </c:ser>
        <c:ser>
          <c:idx val="4"/>
          <c:order val="4"/>
          <c:tx>
            <c:strRef>
              <c:f>'Sppt Monthly '!$H$7</c:f>
              <c:strCache>
                <c:ptCount val="1"/>
                <c:pt idx="0">
                  <c:v>M</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'Sppt Monthly '!$I$2:$K$2</c:f>
              <c:numCache>
                <c:formatCode>General</c:formatCode>
                <c:ptCount val="3"/>
                <c:pt idx="0">
                  <c:v>2011</c:v>
                </c:pt>
                <c:pt idx="1">
                  <c:v>2012</c:v>
                </c:pt>
                <c:pt idx="2">
                  <c:v>2013</c:v>
                </c:pt>
              </c:numCache>
            </c:numRef>
          </c:cat>
          <c:val>
            <c:numRef>
              <c:f>'Sppt Monthly '!$I$7:$K$7</c:f>
              <c:numCache>
                <c:formatCode>0.00</c:formatCode>
                <c:ptCount val="3"/>
                <c:pt idx="0">
                  <c:v>31.267399999999999</c:v>
                </c:pt>
                <c:pt idx="1">
                  <c:v>7.620000000000001</c:v>
                </c:pt>
                <c:pt idx="2">
                  <c:v>19.8628</c:v>
                </c:pt>
              </c:numCache>
            </c:numRef>
          </c:val>
          <c:extLst>
            <c:ext xmlns:c16="http://schemas.microsoft.com/office/drawing/2014/chart" uri="{C3380CC4-5D6E-409C-BE32-E72D297353CC}">
              <c16:uniqueId val="{00000006-389B-4BF1-9E67-23BBFD1A7F1A}"/>
            </c:ext>
          </c:extLst>
        </c:ser>
        <c:ser>
          <c:idx val="5"/>
          <c:order val="5"/>
          <c:tx>
            <c:strRef>
              <c:f>'Sppt Monthly '!$H$8</c:f>
              <c:strCache>
                <c:ptCount val="1"/>
                <c:pt idx="0">
                  <c:v>J</c:v>
                </c:pt>
              </c:strCache>
            </c:strRef>
          </c:tx>
          <c:spPr>
            <a:solidFill>
              <a:schemeClr val="accent5">
                <a:lumMod val="75000"/>
              </a:schemeClr>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inBase"/>
              <c:showLegendKey val="0"/>
              <c:showVal val="0"/>
              <c:showCatName val="0"/>
              <c:showSerName val="1"/>
              <c:showPercent val="0"/>
              <c:showBubbleSize val="0"/>
              <c:extLst>
                <c:ext xmlns:c16="http://schemas.microsoft.com/office/drawing/2014/chart" uri="{C3380CC4-5D6E-409C-BE32-E72D297353CC}">
                  <c16:uniqueId val="{00000007-389B-4BF1-9E67-23BBFD1A7F1A}"/>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inBase"/>
              <c:showLegendKey val="0"/>
              <c:showVal val="0"/>
              <c:showCatName val="0"/>
              <c:showSerName val="1"/>
              <c:showPercent val="0"/>
              <c:showBubbleSize val="0"/>
              <c:extLst>
                <c:ext xmlns:c16="http://schemas.microsoft.com/office/drawing/2014/chart" uri="{C3380CC4-5D6E-409C-BE32-E72D297353CC}">
                  <c16:uniqueId val="{00000008-389B-4BF1-9E67-23BBFD1A7F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'Sppt Monthly '!$I$2:$K$2</c:f>
              <c:numCache>
                <c:formatCode>General</c:formatCode>
                <c:ptCount val="3"/>
                <c:pt idx="0">
                  <c:v>2011</c:v>
                </c:pt>
                <c:pt idx="1">
                  <c:v>2012</c:v>
                </c:pt>
                <c:pt idx="2">
                  <c:v>2013</c:v>
                </c:pt>
              </c:numCache>
            </c:numRef>
          </c:cat>
          <c:val>
            <c:numRef>
              <c:f>'Sppt Monthly '!$I$8:$K$8</c:f>
              <c:numCache>
                <c:formatCode>0.00</c:formatCode>
                <c:ptCount val="3"/>
                <c:pt idx="0">
                  <c:v>1.5493999999999999</c:v>
                </c:pt>
                <c:pt idx="1">
                  <c:v>1.7526000000000002</c:v>
                </c:pt>
                <c:pt idx="2">
                  <c:v>6.35</c:v>
                </c:pt>
              </c:numCache>
            </c:numRef>
          </c:val>
          <c:extLst>
            <c:ext xmlns:c16="http://schemas.microsoft.com/office/drawing/2014/chart" uri="{C3380CC4-5D6E-409C-BE32-E72D297353CC}">
              <c16:uniqueId val="{00000009-389B-4BF1-9E67-23BBFD1A7F1A}"/>
            </c:ext>
          </c:extLst>
        </c:ser>
        <c:ser>
          <c:idx val="6"/>
          <c:order val="6"/>
          <c:tx>
            <c:strRef>
              <c:f>'Sppt Monthly '!$H$9</c:f>
              <c:strCache>
                <c:ptCount val="1"/>
                <c:pt idx="0">
                  <c:v>J</c:v>
                </c:pt>
              </c:strCache>
            </c:strRef>
          </c:tx>
          <c:spPr>
            <a:solidFill>
              <a:schemeClr val="accent5">
                <a:lumMod val="75000"/>
              </a:schemeClr>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inBase"/>
              <c:showLegendKey val="0"/>
              <c:showVal val="0"/>
              <c:showCatName val="0"/>
              <c:showSerName val="1"/>
              <c:showPercent val="0"/>
              <c:showBubbleSize val="0"/>
              <c:extLst>
                <c:ext xmlns:c16="http://schemas.microsoft.com/office/drawing/2014/chart" uri="{C3380CC4-5D6E-409C-BE32-E72D297353CC}">
                  <c16:uniqueId val="{0000000A-389B-4BF1-9E67-23BBFD1A7F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'Sppt Monthly '!$I$2:$K$2</c:f>
              <c:numCache>
                <c:formatCode>General</c:formatCode>
                <c:ptCount val="3"/>
                <c:pt idx="0">
                  <c:v>2011</c:v>
                </c:pt>
                <c:pt idx="1">
                  <c:v>2012</c:v>
                </c:pt>
                <c:pt idx="2">
                  <c:v>2013</c:v>
                </c:pt>
              </c:numCache>
            </c:numRef>
          </c:cat>
          <c:val>
            <c:numRef>
              <c:f>'Sppt Monthly '!$I$9:$K$9</c:f>
              <c:numCache>
                <c:formatCode>0.00</c:formatCode>
                <c:ptCount val="3"/>
                <c:pt idx="0">
                  <c:v>1.6001999999999998</c:v>
                </c:pt>
                <c:pt idx="1">
                  <c:v>3.6067999999999998</c:v>
                </c:pt>
                <c:pt idx="2">
                  <c:v>21.920199999999998</c:v>
                </c:pt>
              </c:numCache>
            </c:numRef>
          </c:val>
          <c:extLst>
            <c:ext xmlns:c16="http://schemas.microsoft.com/office/drawing/2014/chart" uri="{C3380CC4-5D6E-409C-BE32-E72D297353CC}">
              <c16:uniqueId val="{0000000B-389B-4BF1-9E67-23BBFD1A7F1A}"/>
            </c:ext>
          </c:extLst>
        </c:ser>
        <c:ser>
          <c:idx val="7"/>
          <c:order val="7"/>
          <c:tx>
            <c:strRef>
              <c:f>'Sppt Monthly '!$H$10</c:f>
              <c:strCache>
                <c:ptCount val="1"/>
                <c:pt idx="0">
                  <c:v>A</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'Sppt Monthly '!$I$2:$K$2</c:f>
              <c:numCache>
                <c:formatCode>General</c:formatCode>
                <c:ptCount val="3"/>
                <c:pt idx="0">
                  <c:v>2011</c:v>
                </c:pt>
                <c:pt idx="1">
                  <c:v>2012</c:v>
                </c:pt>
                <c:pt idx="2">
                  <c:v>2013</c:v>
                </c:pt>
              </c:numCache>
            </c:numRef>
          </c:cat>
          <c:val>
            <c:numRef>
              <c:f>'Sppt Monthly '!$I$10:$K$10</c:f>
              <c:numCache>
                <c:formatCode>0.00</c:formatCode>
                <c:ptCount val="3"/>
                <c:pt idx="0">
                  <c:v>8.4581999999999997</c:v>
                </c:pt>
                <c:pt idx="1">
                  <c:v>7.0358000000000009</c:v>
                </c:pt>
                <c:pt idx="2">
                  <c:v>16.129000000000001</c:v>
                </c:pt>
              </c:numCache>
            </c:numRef>
          </c:val>
          <c:extLst>
            <c:ext xmlns:c16="http://schemas.microsoft.com/office/drawing/2014/chart" uri="{C3380CC4-5D6E-409C-BE32-E72D297353CC}">
              <c16:uniqueId val="{0000000C-389B-4BF1-9E67-23BBFD1A7F1A}"/>
            </c:ext>
          </c:extLst>
        </c:ser>
        <c:ser>
          <c:idx val="8"/>
          <c:order val="8"/>
          <c:tx>
            <c:strRef>
              <c:f>'Sppt Monthly '!$H$11</c:f>
              <c:strCache>
                <c:ptCount val="1"/>
                <c:pt idx="0">
                  <c:v>S </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'Sppt Monthly '!$I$2:$K$2</c:f>
              <c:numCache>
                <c:formatCode>General</c:formatCode>
                <c:ptCount val="3"/>
                <c:pt idx="0">
                  <c:v>2011</c:v>
                </c:pt>
                <c:pt idx="1">
                  <c:v>2012</c:v>
                </c:pt>
                <c:pt idx="2">
                  <c:v>2013</c:v>
                </c:pt>
              </c:numCache>
            </c:numRef>
          </c:cat>
          <c:val>
            <c:numRef>
              <c:f>'Sppt Monthly '!$I$11:$K$11</c:f>
              <c:numCache>
                <c:formatCode>0.00</c:formatCode>
                <c:ptCount val="3"/>
                <c:pt idx="0">
                  <c:v>10.2616</c:v>
                </c:pt>
                <c:pt idx="1">
                  <c:v>11.099799999999998</c:v>
                </c:pt>
                <c:pt idx="2">
                  <c:v>4.7751999999999999</c:v>
                </c:pt>
              </c:numCache>
            </c:numRef>
          </c:val>
          <c:extLst>
            <c:ext xmlns:c16="http://schemas.microsoft.com/office/drawing/2014/chart" uri="{C3380CC4-5D6E-409C-BE32-E72D297353CC}">
              <c16:uniqueId val="{0000000D-389B-4BF1-9E67-23BBFD1A7F1A}"/>
            </c:ext>
          </c:extLst>
        </c:ser>
        <c:ser>
          <c:idx val="9"/>
          <c:order val="9"/>
          <c:tx>
            <c:strRef>
              <c:f>'Sppt Monthly '!$H$12</c:f>
              <c:strCache>
                <c:ptCount val="1"/>
                <c:pt idx="0">
                  <c:v>O</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'Sppt Monthly '!$I$2:$K$2</c:f>
              <c:numCache>
                <c:formatCode>General</c:formatCode>
                <c:ptCount val="3"/>
                <c:pt idx="0">
                  <c:v>2011</c:v>
                </c:pt>
                <c:pt idx="1">
                  <c:v>2012</c:v>
                </c:pt>
                <c:pt idx="2">
                  <c:v>2013</c:v>
                </c:pt>
              </c:numCache>
            </c:numRef>
          </c:cat>
          <c:val>
            <c:numRef>
              <c:f>'Sppt Monthly '!$I$12:$K$12</c:f>
              <c:numCache>
                <c:formatCode>0.00</c:formatCode>
                <c:ptCount val="3"/>
                <c:pt idx="0">
                  <c:v>2.5145999999999997</c:v>
                </c:pt>
                <c:pt idx="1">
                  <c:v>9.7027999999999999</c:v>
                </c:pt>
                <c:pt idx="2">
                  <c:v>11.455400000000001</c:v>
                </c:pt>
              </c:numCache>
            </c:numRef>
          </c:val>
          <c:extLst>
            <c:ext xmlns:c16="http://schemas.microsoft.com/office/drawing/2014/chart" uri="{C3380CC4-5D6E-409C-BE32-E72D297353CC}">
              <c16:uniqueId val="{0000000E-389B-4BF1-9E67-23BBFD1A7F1A}"/>
            </c:ext>
          </c:extLst>
        </c:ser>
        <c:ser>
          <c:idx val="10"/>
          <c:order val="10"/>
          <c:tx>
            <c:strRef>
              <c:f>'Sppt Monthly '!$H$13</c:f>
              <c:strCache>
                <c:ptCount val="1"/>
                <c:pt idx="0">
                  <c:v>N</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'Sppt Monthly '!$I$2:$K$2</c:f>
              <c:numCache>
                <c:formatCode>General</c:formatCode>
                <c:ptCount val="3"/>
                <c:pt idx="0">
                  <c:v>2011</c:v>
                </c:pt>
                <c:pt idx="1">
                  <c:v>2012</c:v>
                </c:pt>
                <c:pt idx="2">
                  <c:v>2013</c:v>
                </c:pt>
              </c:numCache>
            </c:numRef>
          </c:cat>
          <c:val>
            <c:numRef>
              <c:f>'Sppt Monthly '!$I$13:$K$13</c:f>
              <c:numCache>
                <c:formatCode>0.00</c:formatCode>
                <c:ptCount val="3"/>
                <c:pt idx="0">
                  <c:v>14.2494</c:v>
                </c:pt>
                <c:pt idx="1">
                  <c:v>3.1242000000000001</c:v>
                </c:pt>
                <c:pt idx="2">
                  <c:v>6.0706000000000007</c:v>
                </c:pt>
              </c:numCache>
            </c:numRef>
          </c:val>
          <c:extLst>
            <c:ext xmlns:c16="http://schemas.microsoft.com/office/drawing/2014/chart" uri="{C3380CC4-5D6E-409C-BE32-E72D297353CC}">
              <c16:uniqueId val="{0000000F-389B-4BF1-9E67-23BBFD1A7F1A}"/>
            </c:ext>
          </c:extLst>
        </c:ser>
        <c:ser>
          <c:idx val="11"/>
          <c:order val="11"/>
          <c:tx>
            <c:strRef>
              <c:f>'Sppt Monthly '!$H$14</c:f>
              <c:strCache>
                <c:ptCount val="1"/>
                <c:pt idx="0">
                  <c:v>D</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'Sppt Monthly '!$I$2:$K$2</c:f>
              <c:numCache>
                <c:formatCode>General</c:formatCode>
                <c:ptCount val="3"/>
                <c:pt idx="0">
                  <c:v>2011</c:v>
                </c:pt>
                <c:pt idx="1">
                  <c:v>2012</c:v>
                </c:pt>
                <c:pt idx="2">
                  <c:v>2013</c:v>
                </c:pt>
              </c:numCache>
            </c:numRef>
          </c:cat>
          <c:val>
            <c:numRef>
              <c:f>'Sppt Monthly '!$I$14:$K$14</c:f>
              <c:numCache>
                <c:formatCode>0.00</c:formatCode>
                <c:ptCount val="3"/>
                <c:pt idx="0">
                  <c:v>6.6040000000000001</c:v>
                </c:pt>
                <c:pt idx="1">
                  <c:v>2.7686000000000002</c:v>
                </c:pt>
                <c:pt idx="2">
                  <c:v>4.1402000000000001</c:v>
                </c:pt>
              </c:numCache>
            </c:numRef>
          </c:val>
          <c:extLst>
            <c:ext xmlns:c16="http://schemas.microsoft.com/office/drawing/2014/chart" uri="{C3380CC4-5D6E-409C-BE32-E72D297353CC}">
              <c16:uniqueId val="{00000010-389B-4BF1-9E67-23BBFD1A7F1A}"/>
            </c:ext>
          </c:extLst>
        </c:ser>
        <c:dLbls>
          <c:showLegendKey val="0"/>
          <c:showVal val="0"/>
          <c:showCatName val="0"/>
          <c:showSerName val="0"/>
          <c:showPercent val="0"/>
          <c:showBubbleSize val="0"/>
        </c:dLbls>
        <c:gapWidth val="300"/>
        <c:overlap val="-28"/>
        <c:axId val="768421208"/>
        <c:axId val="768427112"/>
      </c:barChart>
      <c:catAx>
        <c:axId val="768421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8427112"/>
        <c:crosses val="autoZero"/>
        <c:auto val="1"/>
        <c:lblAlgn val="ctr"/>
        <c:lblOffset val="100"/>
        <c:noMultiLvlLbl val="0"/>
      </c:catAx>
      <c:valAx>
        <c:axId val="7684271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Monthly Precipitation (cm)</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8421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Average!$V$3</c:f>
              <c:strCache>
                <c:ptCount val="1"/>
                <c:pt idx="0">
                  <c:v>Total Fe</c:v>
                </c:pt>
              </c:strCache>
            </c:strRef>
          </c:tx>
          <c:spPr>
            <a:solidFill>
              <a:schemeClr val="accent2">
                <a:lumMod val="75000"/>
              </a:schemeClr>
            </a:solidFill>
            <a:ln>
              <a:noFill/>
            </a:ln>
            <a:effectLst/>
          </c:spPr>
          <c:invertIfNegative val="0"/>
          <c:errBars>
            <c:errBarType val="both"/>
            <c:errValType val="cust"/>
            <c:noEndCap val="0"/>
            <c:plus>
              <c:numRef>
                <c:f>Average!$V$13:$V$19</c:f>
                <c:numCache>
                  <c:formatCode>General</c:formatCode>
                  <c:ptCount val="7"/>
                  <c:pt idx="0">
                    <c:v>3.568899278755767</c:v>
                  </c:pt>
                  <c:pt idx="1">
                    <c:v>35.930140563185681</c:v>
                  </c:pt>
                  <c:pt idx="2">
                    <c:v>27.497586953811286</c:v>
                  </c:pt>
                  <c:pt idx="3">
                    <c:v>20.063674787477574</c:v>
                  </c:pt>
                  <c:pt idx="4">
                    <c:v>17.801194287393979</c:v>
                  </c:pt>
                  <c:pt idx="5">
                    <c:v>16.4715173567328</c:v>
                  </c:pt>
                  <c:pt idx="6">
                    <c:v>9.688968897861324</c:v>
                  </c:pt>
                </c:numCache>
              </c:numRef>
            </c:plus>
            <c:minus>
              <c:numRef>
                <c:f>Average!$V$13:$V$19</c:f>
                <c:numCache>
                  <c:formatCode>General</c:formatCode>
                  <c:ptCount val="7"/>
                  <c:pt idx="0">
                    <c:v>3.568899278755767</c:v>
                  </c:pt>
                  <c:pt idx="1">
                    <c:v>35.930140563185681</c:v>
                  </c:pt>
                  <c:pt idx="2">
                    <c:v>27.497586953811286</c:v>
                  </c:pt>
                  <c:pt idx="3">
                    <c:v>20.063674787477574</c:v>
                  </c:pt>
                  <c:pt idx="4">
                    <c:v>17.801194287393979</c:v>
                  </c:pt>
                  <c:pt idx="5">
                    <c:v>16.4715173567328</c:v>
                  </c:pt>
                  <c:pt idx="6">
                    <c:v>9.688968897861324</c:v>
                  </c:pt>
                </c:numCache>
              </c:numRef>
            </c:minus>
            <c:spPr>
              <a:noFill/>
              <a:ln w="9525" cap="flat" cmpd="sng" algn="ctr">
                <a:solidFill>
                  <a:schemeClr val="tx1">
                    <a:lumMod val="65000"/>
                    <a:lumOff val="35000"/>
                  </a:schemeClr>
                </a:solidFill>
                <a:round/>
              </a:ln>
              <a:effectLst/>
            </c:spPr>
          </c:errBars>
          <c:cat>
            <c:strRef>
              <c:f>Average!$U$4:$U$10</c:f>
              <c:strCache>
                <c:ptCount val="7"/>
                <c:pt idx="0">
                  <c:v>Average Seep</c:v>
                </c:pt>
                <c:pt idx="1">
                  <c:v>Cat 1-1</c:v>
                </c:pt>
                <c:pt idx="2">
                  <c:v>S2B</c:v>
                </c:pt>
                <c:pt idx="3">
                  <c:v>S2U</c:v>
                </c:pt>
                <c:pt idx="4">
                  <c:v>Cat 2-1</c:v>
                </c:pt>
                <c:pt idx="5">
                  <c:v>Cat 3-1</c:v>
                </c:pt>
                <c:pt idx="6">
                  <c:v>C1Out</c:v>
                </c:pt>
              </c:strCache>
            </c:strRef>
          </c:cat>
          <c:val>
            <c:numRef>
              <c:f>Average!$V$4:$V$10</c:f>
              <c:numCache>
                <c:formatCode>General</c:formatCode>
                <c:ptCount val="7"/>
                <c:pt idx="0">
                  <c:v>171.95290999348435</c:v>
                </c:pt>
                <c:pt idx="1">
                  <c:v>42.157507166081231</c:v>
                </c:pt>
                <c:pt idx="2">
                  <c:v>32.594947039191148</c:v>
                </c:pt>
                <c:pt idx="3">
                  <c:v>27.224273644697451</c:v>
                </c:pt>
                <c:pt idx="4">
                  <c:v>25.339706315929746</c:v>
                </c:pt>
                <c:pt idx="5">
                  <c:v>19.268517384987561</c:v>
                </c:pt>
                <c:pt idx="6">
                  <c:v>27.04039681548614</c:v>
                </c:pt>
              </c:numCache>
            </c:numRef>
          </c:val>
          <c:extLst>
            <c:ext xmlns:c16="http://schemas.microsoft.com/office/drawing/2014/chart" uri="{C3380CC4-5D6E-409C-BE32-E72D297353CC}">
              <c16:uniqueId val="{00000000-7DA5-43A7-9815-574B133A2566}"/>
            </c:ext>
          </c:extLst>
        </c:ser>
        <c:ser>
          <c:idx val="1"/>
          <c:order val="1"/>
          <c:tx>
            <c:strRef>
              <c:f>Average!$W$3</c:f>
              <c:strCache>
                <c:ptCount val="1"/>
                <c:pt idx="0">
                  <c:v>Dissolved Fe</c:v>
                </c:pt>
              </c:strCache>
            </c:strRef>
          </c:tx>
          <c:spPr>
            <a:solidFill>
              <a:srgbClr val="00B0F0"/>
            </a:solidFill>
            <a:ln>
              <a:noFill/>
            </a:ln>
            <a:effectLst/>
          </c:spPr>
          <c:invertIfNegative val="0"/>
          <c:errBars>
            <c:errBarType val="both"/>
            <c:errValType val="cust"/>
            <c:noEndCap val="0"/>
            <c:plus>
              <c:numRef>
                <c:f>Average!$W$13:$W$19</c:f>
                <c:numCache>
                  <c:formatCode>General</c:formatCode>
                  <c:ptCount val="7"/>
                  <c:pt idx="0">
                    <c:v>3.4985749711573306</c:v>
                  </c:pt>
                  <c:pt idx="1">
                    <c:v>34.810008509070492</c:v>
                  </c:pt>
                  <c:pt idx="2">
                    <c:v>26.555271942264607</c:v>
                  </c:pt>
                  <c:pt idx="3">
                    <c:v>18.061776394565815</c:v>
                  </c:pt>
                  <c:pt idx="4">
                    <c:v>19.161715815416841</c:v>
                  </c:pt>
                  <c:pt idx="5">
                    <c:v>11.815963033708195</c:v>
                  </c:pt>
                  <c:pt idx="6">
                    <c:v>9.8961764553236709</c:v>
                  </c:pt>
                </c:numCache>
              </c:numRef>
            </c:plus>
            <c:minus>
              <c:numRef>
                <c:f>Average!$W$13:$W$19</c:f>
                <c:numCache>
                  <c:formatCode>General</c:formatCode>
                  <c:ptCount val="7"/>
                  <c:pt idx="0">
                    <c:v>3.4985749711573306</c:v>
                  </c:pt>
                  <c:pt idx="1">
                    <c:v>34.810008509070492</c:v>
                  </c:pt>
                  <c:pt idx="2">
                    <c:v>26.555271942264607</c:v>
                  </c:pt>
                  <c:pt idx="3">
                    <c:v>18.061776394565815</c:v>
                  </c:pt>
                  <c:pt idx="4">
                    <c:v>19.161715815416841</c:v>
                  </c:pt>
                  <c:pt idx="5">
                    <c:v>11.815963033708195</c:v>
                  </c:pt>
                  <c:pt idx="6">
                    <c:v>9.8961764553236709</c:v>
                  </c:pt>
                </c:numCache>
              </c:numRef>
            </c:minus>
            <c:spPr>
              <a:noFill/>
              <a:ln w="9525" cap="flat" cmpd="sng" algn="ctr">
                <a:solidFill>
                  <a:schemeClr val="tx1">
                    <a:lumMod val="65000"/>
                    <a:lumOff val="35000"/>
                  </a:schemeClr>
                </a:solidFill>
                <a:round/>
              </a:ln>
              <a:effectLst/>
            </c:spPr>
          </c:errBars>
          <c:cat>
            <c:strRef>
              <c:f>Average!$U$4:$U$10</c:f>
              <c:strCache>
                <c:ptCount val="7"/>
                <c:pt idx="0">
                  <c:v>Average Seep</c:v>
                </c:pt>
                <c:pt idx="1">
                  <c:v>Cat 1-1</c:v>
                </c:pt>
                <c:pt idx="2">
                  <c:v>S2B</c:v>
                </c:pt>
                <c:pt idx="3">
                  <c:v>S2U</c:v>
                </c:pt>
                <c:pt idx="4">
                  <c:v>Cat 2-1</c:v>
                </c:pt>
                <c:pt idx="5">
                  <c:v>Cat 3-1</c:v>
                </c:pt>
                <c:pt idx="6">
                  <c:v>C1Out</c:v>
                </c:pt>
              </c:strCache>
            </c:strRef>
          </c:cat>
          <c:val>
            <c:numRef>
              <c:f>Average!$W$4:$W$10</c:f>
              <c:numCache>
                <c:formatCode>0.000</c:formatCode>
                <c:ptCount val="7"/>
                <c:pt idx="0">
                  <c:v>172.2513308320124</c:v>
                </c:pt>
                <c:pt idx="1">
                  <c:v>24.899442833180949</c:v>
                </c:pt>
                <c:pt idx="2">
                  <c:v>18.40344150863314</c:v>
                </c:pt>
                <c:pt idx="3">
                  <c:v>13.366370384000048</c:v>
                </c:pt>
                <c:pt idx="4">
                  <c:v>16.644197823736263</c:v>
                </c:pt>
                <c:pt idx="5">
                  <c:v>9.8697187109635962</c:v>
                </c:pt>
                <c:pt idx="6">
                  <c:v>17.685903443194199</c:v>
                </c:pt>
              </c:numCache>
            </c:numRef>
          </c:val>
          <c:extLst>
            <c:ext xmlns:c16="http://schemas.microsoft.com/office/drawing/2014/chart" uri="{C3380CC4-5D6E-409C-BE32-E72D297353CC}">
              <c16:uniqueId val="{00000001-7DA5-43A7-9815-574B133A2566}"/>
            </c:ext>
          </c:extLst>
        </c:ser>
        <c:dLbls>
          <c:showLegendKey val="0"/>
          <c:showVal val="0"/>
          <c:showCatName val="0"/>
          <c:showSerName val="0"/>
          <c:showPercent val="0"/>
          <c:showBubbleSize val="0"/>
        </c:dLbls>
        <c:gapWidth val="219"/>
        <c:overlap val="-27"/>
        <c:axId val="413276480"/>
        <c:axId val="413284024"/>
      </c:barChart>
      <c:catAx>
        <c:axId val="413276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Location Within Cell 1</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284024"/>
        <c:crosses val="autoZero"/>
        <c:auto val="1"/>
        <c:lblAlgn val="ctr"/>
        <c:lblOffset val="100"/>
        <c:noMultiLvlLbl val="0"/>
      </c:catAx>
      <c:valAx>
        <c:axId val="413284024"/>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[Fe] (mg/L)</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276480"/>
        <c:crosses val="autoZero"/>
        <c:crossBetween val="between"/>
      </c:valAx>
      <c:spPr>
        <a:noFill/>
        <a:ln>
          <a:noFill/>
        </a:ln>
        <a:effectLst/>
      </c:spPr>
    </c:plotArea>
    <c:legend>
      <c:legendPos val="b"/>
      <c:layout>
        <c:manualLayout>
          <c:xMode val="edge"/>
          <c:yMode val="edge"/>
          <c:x val="0.39558005249343831"/>
          <c:y val="0.8616892680081657"/>
          <c:w val="0.31439523184601925"/>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275196034534474"/>
          <c:y val="0.20916662516243248"/>
          <c:w val="0.80455796150481185"/>
          <c:h val="0.64176727909011377"/>
        </c:manualLayout>
      </c:layout>
      <c:barChart>
        <c:barDir val="col"/>
        <c:grouping val="clustered"/>
        <c:varyColors val="0"/>
        <c:ser>
          <c:idx val="0"/>
          <c:order val="0"/>
          <c:tx>
            <c:strRef>
              <c:f>Monthy!$G$100</c:f>
              <c:strCache>
                <c:ptCount val="1"/>
                <c:pt idx="0">
                  <c:v>J</c:v>
                </c:pt>
              </c:strCache>
            </c:strRef>
          </c:tx>
          <c:spPr>
            <a:solidFill>
              <a:schemeClr val="accent2"/>
            </a:solidFill>
            <a:ln>
              <a:noFill/>
            </a:ln>
            <a:effectLst/>
          </c:spPr>
          <c:invertIfNegative val="0"/>
          <c:cat>
            <c:numRef>
              <c:f>Monthy!$H$99:$J$99</c:f>
              <c:numCache>
                <c:formatCode>General</c:formatCode>
                <c:ptCount val="3"/>
                <c:pt idx="0">
                  <c:v>2011</c:v>
                </c:pt>
                <c:pt idx="1">
                  <c:v>2012</c:v>
                </c:pt>
                <c:pt idx="2">
                  <c:v>2013</c:v>
                </c:pt>
              </c:numCache>
            </c:numRef>
          </c:cat>
          <c:val>
            <c:numRef>
              <c:f>Monthy!$H$100:$J$100</c:f>
              <c:numCache>
                <c:formatCode>0.00</c:formatCode>
                <c:ptCount val="3"/>
                <c:pt idx="0">
                  <c:v>64.621619555090788</c:v>
                </c:pt>
                <c:pt idx="1">
                  <c:v>19.500091389928713</c:v>
                </c:pt>
                <c:pt idx="2">
                  <c:v>90.433582792755516</c:v>
                </c:pt>
              </c:numCache>
            </c:numRef>
          </c:val>
          <c:extLst>
            <c:ext xmlns:c16="http://schemas.microsoft.com/office/drawing/2014/chart" uri="{C3380CC4-5D6E-409C-BE32-E72D297353CC}">
              <c16:uniqueId val="{00000000-E642-452A-B8D3-7DB85C01F747}"/>
            </c:ext>
          </c:extLst>
        </c:ser>
        <c:ser>
          <c:idx val="1"/>
          <c:order val="1"/>
          <c:tx>
            <c:strRef>
              <c:f>Monthy!$G$101</c:f>
              <c:strCache>
                <c:ptCount val="1"/>
                <c:pt idx="0">
                  <c:v>F </c:v>
                </c:pt>
              </c:strCache>
            </c:strRef>
          </c:tx>
          <c:spPr>
            <a:solidFill>
              <a:schemeClr val="accent2"/>
            </a:solidFill>
            <a:ln>
              <a:noFill/>
            </a:ln>
            <a:effectLst/>
          </c:spPr>
          <c:invertIfNegative val="0"/>
          <c:cat>
            <c:numRef>
              <c:f>Monthy!$H$99:$J$99</c:f>
              <c:numCache>
                <c:formatCode>General</c:formatCode>
                <c:ptCount val="3"/>
                <c:pt idx="0">
                  <c:v>2011</c:v>
                </c:pt>
                <c:pt idx="1">
                  <c:v>2012</c:v>
                </c:pt>
                <c:pt idx="2">
                  <c:v>2013</c:v>
                </c:pt>
              </c:numCache>
            </c:numRef>
          </c:cat>
          <c:val>
            <c:numRef>
              <c:f>Monthy!$H$101:$J$101</c:f>
              <c:numCache>
                <c:formatCode>0.00</c:formatCode>
                <c:ptCount val="3"/>
                <c:pt idx="0">
                  <c:v>78.032641846995787</c:v>
                </c:pt>
                <c:pt idx="1">
                  <c:v>83.275465890405229</c:v>
                </c:pt>
                <c:pt idx="2">
                  <c:v>121.04835069078567</c:v>
                </c:pt>
              </c:numCache>
            </c:numRef>
          </c:val>
          <c:extLst>
            <c:ext xmlns:c16="http://schemas.microsoft.com/office/drawing/2014/chart" uri="{C3380CC4-5D6E-409C-BE32-E72D297353CC}">
              <c16:uniqueId val="{00000001-E642-452A-B8D3-7DB85C01F747}"/>
            </c:ext>
          </c:extLst>
        </c:ser>
        <c:ser>
          <c:idx val="2"/>
          <c:order val="2"/>
          <c:tx>
            <c:strRef>
              <c:f>Monthy!$G$102</c:f>
              <c:strCache>
                <c:ptCount val="1"/>
                <c:pt idx="0">
                  <c:v>M </c:v>
                </c:pt>
              </c:strCache>
            </c:strRef>
          </c:tx>
          <c:spPr>
            <a:solidFill>
              <a:schemeClr val="accent2"/>
            </a:solidFill>
            <a:ln>
              <a:noFill/>
            </a:ln>
            <a:effectLst/>
          </c:spPr>
          <c:invertIfNegative val="0"/>
          <c:cat>
            <c:numRef>
              <c:f>Monthy!$H$99:$J$99</c:f>
              <c:numCache>
                <c:formatCode>General</c:formatCode>
                <c:ptCount val="3"/>
                <c:pt idx="0">
                  <c:v>2011</c:v>
                </c:pt>
                <c:pt idx="1">
                  <c:v>2012</c:v>
                </c:pt>
                <c:pt idx="2">
                  <c:v>2013</c:v>
                </c:pt>
              </c:numCache>
            </c:numRef>
          </c:cat>
          <c:val>
            <c:numRef>
              <c:f>Monthy!$H$102:$J$102</c:f>
              <c:numCache>
                <c:formatCode>0.00</c:formatCode>
                <c:ptCount val="3"/>
                <c:pt idx="0">
                  <c:v>68.991508372985606</c:v>
                </c:pt>
                <c:pt idx="1">
                  <c:v>63.775374500476516</c:v>
                </c:pt>
                <c:pt idx="2">
                  <c:v>92.480435655946408</c:v>
                </c:pt>
              </c:numCache>
            </c:numRef>
          </c:val>
          <c:extLst>
            <c:ext xmlns:c16="http://schemas.microsoft.com/office/drawing/2014/chart" uri="{C3380CC4-5D6E-409C-BE32-E72D297353CC}">
              <c16:uniqueId val="{00000002-E642-452A-B8D3-7DB85C01F747}"/>
            </c:ext>
          </c:extLst>
        </c:ser>
        <c:ser>
          <c:idx val="3"/>
          <c:order val="3"/>
          <c:tx>
            <c:strRef>
              <c:f>Monthy!$G$103</c:f>
              <c:strCache>
                <c:ptCount val="1"/>
                <c:pt idx="0">
                  <c:v>A</c:v>
                </c:pt>
              </c:strCache>
            </c:strRef>
          </c:tx>
          <c:spPr>
            <a:solidFill>
              <a:schemeClr val="accent2"/>
            </a:solidFill>
            <a:ln>
              <a:noFill/>
            </a:ln>
            <a:effectLst/>
          </c:spPr>
          <c:invertIfNegative val="0"/>
          <c:cat>
            <c:numRef>
              <c:f>Monthy!$H$99:$J$99</c:f>
              <c:numCache>
                <c:formatCode>General</c:formatCode>
                <c:ptCount val="3"/>
                <c:pt idx="0">
                  <c:v>2011</c:v>
                </c:pt>
                <c:pt idx="1">
                  <c:v>2012</c:v>
                </c:pt>
                <c:pt idx="2">
                  <c:v>2013</c:v>
                </c:pt>
              </c:numCache>
            </c:numRef>
          </c:cat>
          <c:val>
            <c:numRef>
              <c:f>Monthy!$H$103:$J$103</c:f>
              <c:numCache>
                <c:formatCode>0.00</c:formatCode>
                <c:ptCount val="3"/>
                <c:pt idx="0">
                  <c:v>33.324442893977348</c:v>
                </c:pt>
                <c:pt idx="1">
                  <c:v>20.536862906974346</c:v>
                </c:pt>
                <c:pt idx="2">
                  <c:v>65.061638938134791</c:v>
                </c:pt>
              </c:numCache>
            </c:numRef>
          </c:val>
          <c:extLst>
            <c:ext xmlns:c16="http://schemas.microsoft.com/office/drawing/2014/chart" uri="{C3380CC4-5D6E-409C-BE32-E72D297353CC}">
              <c16:uniqueId val="{00000003-E642-452A-B8D3-7DB85C01F747}"/>
            </c:ext>
          </c:extLst>
        </c:ser>
        <c:ser>
          <c:idx val="4"/>
          <c:order val="4"/>
          <c:tx>
            <c:strRef>
              <c:f>Monthy!$G$104</c:f>
              <c:strCache>
                <c:ptCount val="1"/>
                <c:pt idx="0">
                  <c:v>M </c:v>
                </c:pt>
              </c:strCache>
            </c:strRef>
          </c:tx>
          <c:spPr>
            <a:solidFill>
              <a:schemeClr val="accent2"/>
            </a:solidFill>
            <a:ln>
              <a:noFill/>
            </a:ln>
            <a:effectLst/>
          </c:spPr>
          <c:invertIfNegative val="0"/>
          <c:cat>
            <c:numRef>
              <c:f>Monthy!$H$99:$J$99</c:f>
              <c:numCache>
                <c:formatCode>General</c:formatCode>
                <c:ptCount val="3"/>
                <c:pt idx="0">
                  <c:v>2011</c:v>
                </c:pt>
                <c:pt idx="1">
                  <c:v>2012</c:v>
                </c:pt>
                <c:pt idx="2">
                  <c:v>2013</c:v>
                </c:pt>
              </c:numCache>
            </c:numRef>
          </c:cat>
          <c:val>
            <c:numRef>
              <c:f>Monthy!$H$104:$J$104</c:f>
              <c:numCache>
                <c:formatCode>0.00</c:formatCode>
                <c:ptCount val="3"/>
                <c:pt idx="0">
                  <c:v>101.9026220548193</c:v>
                </c:pt>
                <c:pt idx="1">
                  <c:v>26.985880875340996</c:v>
                </c:pt>
                <c:pt idx="2">
                  <c:v>126.62443343363769</c:v>
                </c:pt>
              </c:numCache>
            </c:numRef>
          </c:val>
          <c:extLst>
            <c:ext xmlns:c16="http://schemas.microsoft.com/office/drawing/2014/chart" uri="{C3380CC4-5D6E-409C-BE32-E72D297353CC}">
              <c16:uniqueId val="{00000004-E642-452A-B8D3-7DB85C01F747}"/>
            </c:ext>
          </c:extLst>
        </c:ser>
        <c:ser>
          <c:idx val="5"/>
          <c:order val="5"/>
          <c:tx>
            <c:strRef>
              <c:f>Monthy!$G$105</c:f>
              <c:strCache>
                <c:ptCount val="1"/>
                <c:pt idx="0">
                  <c:v>J </c:v>
                </c:pt>
              </c:strCache>
            </c:strRef>
          </c:tx>
          <c:spPr>
            <a:solidFill>
              <a:schemeClr val="accent2"/>
            </a:solidFill>
            <a:ln>
              <a:noFill/>
            </a:ln>
            <a:effectLst/>
          </c:spPr>
          <c:invertIfNegative val="0"/>
          <c:cat>
            <c:numRef>
              <c:f>Monthy!$H$99:$J$99</c:f>
              <c:numCache>
                <c:formatCode>General</c:formatCode>
                <c:ptCount val="3"/>
                <c:pt idx="0">
                  <c:v>2011</c:v>
                </c:pt>
                <c:pt idx="1">
                  <c:v>2012</c:v>
                </c:pt>
                <c:pt idx="2">
                  <c:v>2013</c:v>
                </c:pt>
              </c:numCache>
            </c:numRef>
          </c:cat>
          <c:val>
            <c:numRef>
              <c:f>Monthy!$H$105:$J$105</c:f>
              <c:numCache>
                <c:formatCode>0.00</c:formatCode>
                <c:ptCount val="3"/>
                <c:pt idx="0">
                  <c:v>78.059332017896139</c:v>
                </c:pt>
                <c:pt idx="1">
                  <c:v>40.095920755084343</c:v>
                </c:pt>
                <c:pt idx="2">
                  <c:v>57.627338944271514</c:v>
                </c:pt>
              </c:numCache>
            </c:numRef>
          </c:val>
          <c:extLst>
            <c:ext xmlns:c16="http://schemas.microsoft.com/office/drawing/2014/chart" uri="{C3380CC4-5D6E-409C-BE32-E72D297353CC}">
              <c16:uniqueId val="{00000005-E642-452A-B8D3-7DB85C01F747}"/>
            </c:ext>
          </c:extLst>
        </c:ser>
        <c:ser>
          <c:idx val="6"/>
          <c:order val="6"/>
          <c:tx>
            <c:strRef>
              <c:f>Monthy!$G$106</c:f>
              <c:strCache>
                <c:ptCount val="1"/>
                <c:pt idx="0">
                  <c:v>J </c:v>
                </c:pt>
              </c:strCache>
            </c:strRef>
          </c:tx>
          <c:spPr>
            <a:solidFill>
              <a:schemeClr val="accent2"/>
            </a:solidFill>
            <a:ln>
              <a:noFill/>
            </a:ln>
            <a:effectLst/>
          </c:spPr>
          <c:invertIfNegative val="0"/>
          <c:cat>
            <c:numRef>
              <c:f>Monthy!$H$99:$J$99</c:f>
              <c:numCache>
                <c:formatCode>General</c:formatCode>
                <c:ptCount val="3"/>
                <c:pt idx="0">
                  <c:v>2011</c:v>
                </c:pt>
                <c:pt idx="1">
                  <c:v>2012</c:v>
                </c:pt>
                <c:pt idx="2">
                  <c:v>2013</c:v>
                </c:pt>
              </c:numCache>
            </c:numRef>
          </c:cat>
          <c:val>
            <c:numRef>
              <c:f>Monthy!$H$106:$J$106</c:f>
              <c:numCache>
                <c:formatCode>0.00</c:formatCode>
                <c:ptCount val="3"/>
                <c:pt idx="0">
                  <c:v>49.327580691525888</c:v>
                </c:pt>
                <c:pt idx="1">
                  <c:v>40.233066875714989</c:v>
                </c:pt>
                <c:pt idx="2">
                  <c:v>69.351457243328525</c:v>
                </c:pt>
              </c:numCache>
            </c:numRef>
          </c:val>
          <c:extLst>
            <c:ext xmlns:c16="http://schemas.microsoft.com/office/drawing/2014/chart" uri="{C3380CC4-5D6E-409C-BE32-E72D297353CC}">
              <c16:uniqueId val="{00000006-E642-452A-B8D3-7DB85C01F747}"/>
            </c:ext>
          </c:extLst>
        </c:ser>
        <c:ser>
          <c:idx val="7"/>
          <c:order val="7"/>
          <c:tx>
            <c:strRef>
              <c:f>Monthy!$G$107</c:f>
              <c:strCache>
                <c:ptCount val="1"/>
                <c:pt idx="0">
                  <c:v>A</c:v>
                </c:pt>
              </c:strCache>
            </c:strRef>
          </c:tx>
          <c:spPr>
            <a:solidFill>
              <a:schemeClr val="accent2"/>
            </a:solidFill>
            <a:ln>
              <a:noFill/>
            </a:ln>
            <a:effectLst/>
          </c:spPr>
          <c:invertIfNegative val="0"/>
          <c:cat>
            <c:numRef>
              <c:f>Monthy!$H$99:$J$99</c:f>
              <c:numCache>
                <c:formatCode>General</c:formatCode>
                <c:ptCount val="3"/>
                <c:pt idx="0">
                  <c:v>2011</c:v>
                </c:pt>
                <c:pt idx="1">
                  <c:v>2012</c:v>
                </c:pt>
                <c:pt idx="2">
                  <c:v>2013</c:v>
                </c:pt>
              </c:numCache>
            </c:numRef>
          </c:cat>
          <c:val>
            <c:numRef>
              <c:f>Monthy!$H$107:$J$107</c:f>
              <c:numCache>
                <c:formatCode>0.00</c:formatCode>
                <c:ptCount val="3"/>
                <c:pt idx="0">
                  <c:v>60.855586411770986</c:v>
                </c:pt>
                <c:pt idx="1">
                  <c:v>65.848917534567775</c:v>
                </c:pt>
                <c:pt idx="2">
                  <c:v>71.2611639858888</c:v>
                </c:pt>
              </c:numCache>
            </c:numRef>
          </c:val>
          <c:extLst>
            <c:ext xmlns:c16="http://schemas.microsoft.com/office/drawing/2014/chart" uri="{C3380CC4-5D6E-409C-BE32-E72D297353CC}">
              <c16:uniqueId val="{00000007-E642-452A-B8D3-7DB85C01F747}"/>
            </c:ext>
          </c:extLst>
        </c:ser>
        <c:ser>
          <c:idx val="8"/>
          <c:order val="8"/>
          <c:tx>
            <c:strRef>
              <c:f>Monthy!$G$108</c:f>
              <c:strCache>
                <c:ptCount val="1"/>
                <c:pt idx="0">
                  <c:v>S </c:v>
                </c:pt>
              </c:strCache>
            </c:strRef>
          </c:tx>
          <c:spPr>
            <a:solidFill>
              <a:schemeClr val="accent2"/>
            </a:solidFill>
            <a:ln>
              <a:noFill/>
            </a:ln>
            <a:effectLst/>
          </c:spPr>
          <c:invertIfNegative val="0"/>
          <c:cat>
            <c:numRef>
              <c:f>Monthy!$H$99:$J$99</c:f>
              <c:numCache>
                <c:formatCode>General</c:formatCode>
                <c:ptCount val="3"/>
                <c:pt idx="0">
                  <c:v>2011</c:v>
                </c:pt>
                <c:pt idx="1">
                  <c:v>2012</c:v>
                </c:pt>
                <c:pt idx="2">
                  <c:v>2013</c:v>
                </c:pt>
              </c:numCache>
            </c:numRef>
          </c:cat>
          <c:val>
            <c:numRef>
              <c:f>Monthy!$H$108:$J$108</c:f>
              <c:numCache>
                <c:formatCode>0.00</c:formatCode>
                <c:ptCount val="3"/>
                <c:pt idx="0">
                  <c:v>49.49141698305688</c:v>
                </c:pt>
                <c:pt idx="1">
                  <c:v>85.407975382677762</c:v>
                </c:pt>
                <c:pt idx="2">
                  <c:v>63.775374500476516</c:v>
                </c:pt>
              </c:numCache>
            </c:numRef>
          </c:val>
          <c:extLst>
            <c:ext xmlns:c16="http://schemas.microsoft.com/office/drawing/2014/chart" uri="{C3380CC4-5D6E-409C-BE32-E72D297353CC}">
              <c16:uniqueId val="{00000008-E642-452A-B8D3-7DB85C01F747}"/>
            </c:ext>
          </c:extLst>
        </c:ser>
        <c:ser>
          <c:idx val="9"/>
          <c:order val="9"/>
          <c:tx>
            <c:strRef>
              <c:f>Monthy!$G$109</c:f>
              <c:strCache>
                <c:ptCount val="1"/>
                <c:pt idx="0">
                  <c:v>O </c:v>
                </c:pt>
              </c:strCache>
            </c:strRef>
          </c:tx>
          <c:spPr>
            <a:solidFill>
              <a:schemeClr val="accent2"/>
            </a:solidFill>
            <a:ln>
              <a:noFill/>
            </a:ln>
            <a:effectLst/>
          </c:spPr>
          <c:invertIfNegative val="0"/>
          <c:cat>
            <c:numRef>
              <c:f>Monthy!$H$99:$J$99</c:f>
              <c:numCache>
                <c:formatCode>General</c:formatCode>
                <c:ptCount val="3"/>
                <c:pt idx="0">
                  <c:v>2011</c:v>
                </c:pt>
                <c:pt idx="1">
                  <c:v>2012</c:v>
                </c:pt>
                <c:pt idx="2">
                  <c:v>2013</c:v>
                </c:pt>
              </c:numCache>
            </c:numRef>
          </c:cat>
          <c:val>
            <c:numRef>
              <c:f>Monthy!$H$109:$J$109</c:f>
              <c:numCache>
                <c:formatCode>0.00</c:formatCode>
                <c:ptCount val="3"/>
                <c:pt idx="0">
                  <c:v>34.033541827960981</c:v>
                </c:pt>
                <c:pt idx="1">
                  <c:v>40.233066875714989</c:v>
                </c:pt>
                <c:pt idx="2">
                  <c:v>93.766700093604669</c:v>
                </c:pt>
              </c:numCache>
            </c:numRef>
          </c:val>
          <c:extLst>
            <c:ext xmlns:c16="http://schemas.microsoft.com/office/drawing/2014/chart" uri="{C3380CC4-5D6E-409C-BE32-E72D297353CC}">
              <c16:uniqueId val="{00000009-E642-452A-B8D3-7DB85C01F747}"/>
            </c:ext>
          </c:extLst>
        </c:ser>
        <c:ser>
          <c:idx val="10"/>
          <c:order val="10"/>
          <c:tx>
            <c:strRef>
              <c:f>Monthy!$G$110</c:f>
              <c:strCache>
                <c:ptCount val="1"/>
                <c:pt idx="0">
                  <c:v>N </c:v>
                </c:pt>
              </c:strCache>
            </c:strRef>
          </c:tx>
          <c:spPr>
            <a:solidFill>
              <a:schemeClr val="accent2"/>
            </a:solidFill>
            <a:ln>
              <a:noFill/>
            </a:ln>
            <a:effectLst/>
          </c:spPr>
          <c:invertIfNegative val="0"/>
          <c:cat>
            <c:numRef>
              <c:f>Monthy!$H$99:$J$99</c:f>
              <c:numCache>
                <c:formatCode>General</c:formatCode>
                <c:ptCount val="3"/>
                <c:pt idx="0">
                  <c:v>2011</c:v>
                </c:pt>
                <c:pt idx="1">
                  <c:v>2012</c:v>
                </c:pt>
                <c:pt idx="2">
                  <c:v>2013</c:v>
                </c:pt>
              </c:numCache>
            </c:numRef>
          </c:cat>
          <c:val>
            <c:numRef>
              <c:f>Monthy!$H$110:$J$110</c:f>
              <c:numCache>
                <c:formatCode>0.00</c:formatCode>
                <c:ptCount val="3"/>
                <c:pt idx="0">
                  <c:v>114.13972670904803</c:v>
                </c:pt>
                <c:pt idx="1">
                  <c:v>22.642682228346537</c:v>
                </c:pt>
                <c:pt idx="2">
                  <c:v>70.960181573727141</c:v>
                </c:pt>
              </c:numCache>
            </c:numRef>
          </c:val>
          <c:extLst>
            <c:ext xmlns:c16="http://schemas.microsoft.com/office/drawing/2014/chart" uri="{C3380CC4-5D6E-409C-BE32-E72D297353CC}">
              <c16:uniqueId val="{0000000A-E642-452A-B8D3-7DB85C01F747}"/>
            </c:ext>
          </c:extLst>
        </c:ser>
        <c:ser>
          <c:idx val="11"/>
          <c:order val="11"/>
          <c:tx>
            <c:strRef>
              <c:f>Monthy!$G$111</c:f>
              <c:strCache>
                <c:ptCount val="1"/>
                <c:pt idx="0">
                  <c:v>D </c:v>
                </c:pt>
              </c:strCache>
            </c:strRef>
          </c:tx>
          <c:spPr>
            <a:solidFill>
              <a:schemeClr val="accent2"/>
            </a:solidFill>
            <a:ln>
              <a:noFill/>
            </a:ln>
            <a:effectLst/>
          </c:spPr>
          <c:invertIfNegative val="0"/>
          <c:cat>
            <c:numRef>
              <c:f>Monthy!$H$99:$J$99</c:f>
              <c:numCache>
                <c:formatCode>General</c:formatCode>
                <c:ptCount val="3"/>
                <c:pt idx="0">
                  <c:v>2011</c:v>
                </c:pt>
                <c:pt idx="1">
                  <c:v>2012</c:v>
                </c:pt>
                <c:pt idx="2">
                  <c:v>2013</c:v>
                </c:pt>
              </c:numCache>
            </c:numRef>
          </c:cat>
          <c:val>
            <c:numRef>
              <c:f>Monthy!$H$111:$J$111</c:f>
              <c:numCache>
                <c:formatCode>0.00</c:formatCode>
                <c:ptCount val="3"/>
                <c:pt idx="0">
                  <c:v>63.775374500476516</c:v>
                </c:pt>
                <c:pt idx="1">
                  <c:v>60.60609349115834</c:v>
                </c:pt>
                <c:pt idx="2">
                  <c:v>105.72762165632041</c:v>
                </c:pt>
              </c:numCache>
            </c:numRef>
          </c:val>
          <c:extLst>
            <c:ext xmlns:c16="http://schemas.microsoft.com/office/drawing/2014/chart" uri="{C3380CC4-5D6E-409C-BE32-E72D297353CC}">
              <c16:uniqueId val="{0000000B-E642-452A-B8D3-7DB85C01F747}"/>
            </c:ext>
          </c:extLst>
        </c:ser>
        <c:dLbls>
          <c:showLegendKey val="0"/>
          <c:showVal val="0"/>
          <c:showCatName val="0"/>
          <c:showSerName val="0"/>
          <c:showPercent val="0"/>
          <c:showBubbleSize val="0"/>
        </c:dLbls>
        <c:gapWidth val="219"/>
        <c:overlap val="-27"/>
        <c:axId val="537624016"/>
        <c:axId val="537626968"/>
      </c:barChart>
      <c:catAx>
        <c:axId val="53762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b"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537626968"/>
        <c:crosses val="autoZero"/>
        <c:auto val="1"/>
        <c:lblAlgn val="ctr"/>
        <c:lblOffset val="500"/>
        <c:noMultiLvlLbl val="0"/>
      </c:catAx>
      <c:valAx>
        <c:axId val="5376269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Iron (kg)</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7624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Monthy!$U$19</c:f>
              <c:strCache>
                <c:ptCount val="1"/>
                <c:pt idx="0">
                  <c:v>0.25-0.999</c:v>
                </c:pt>
              </c:strCache>
            </c:strRef>
          </c:tx>
          <c:spPr>
            <a:solidFill>
              <a:schemeClr val="accent1"/>
            </a:solidFill>
            <a:ln>
              <a:noFill/>
            </a:ln>
            <a:effectLst/>
          </c:spPr>
          <c:invertIfNegative val="0"/>
          <c:errBars>
            <c:errBarType val="both"/>
            <c:errValType val="cust"/>
            <c:noEndCap val="0"/>
            <c:plus>
              <c:numRef>
                <c:f>Monthy!$U$26:$U$29</c:f>
                <c:numCache>
                  <c:formatCode>General</c:formatCode>
                  <c:ptCount val="4"/>
                  <c:pt idx="0">
                    <c:v>85.776644455554546</c:v>
                  </c:pt>
                  <c:pt idx="1">
                    <c:v>37.309309445601222</c:v>
                  </c:pt>
                  <c:pt idx="2">
                    <c:v>32.420524218143669</c:v>
                  </c:pt>
                  <c:pt idx="3">
                    <c:v>92.930005443807687</c:v>
                  </c:pt>
                </c:numCache>
              </c:numRef>
            </c:plus>
            <c:minus>
              <c:numRef>
                <c:f>Monthy!$U$26:$U$29</c:f>
                <c:numCache>
                  <c:formatCode>General</c:formatCode>
                  <c:ptCount val="4"/>
                  <c:pt idx="0">
                    <c:v>85.776644455554546</c:v>
                  </c:pt>
                  <c:pt idx="1">
                    <c:v>37.309309445601222</c:v>
                  </c:pt>
                  <c:pt idx="2">
                    <c:v>32.420524218143669</c:v>
                  </c:pt>
                  <c:pt idx="3">
                    <c:v>92.930005443807687</c:v>
                  </c:pt>
                </c:numCache>
              </c:numRef>
            </c:minus>
            <c:spPr>
              <a:noFill/>
              <a:ln w="9525" cap="flat" cmpd="sng" algn="ctr">
                <a:solidFill>
                  <a:schemeClr val="tx1">
                    <a:lumMod val="65000"/>
                    <a:lumOff val="35000"/>
                  </a:schemeClr>
                </a:solidFill>
                <a:round/>
              </a:ln>
              <a:effectLst/>
            </c:spPr>
          </c:errBars>
          <c:cat>
            <c:strRef>
              <c:f>Monthy!$T$20:$T$23</c:f>
              <c:strCache>
                <c:ptCount val="4"/>
                <c:pt idx="0">
                  <c:v>Spring (M,A,M)</c:v>
                </c:pt>
                <c:pt idx="1">
                  <c:v>Summer (J,J,A)</c:v>
                </c:pt>
                <c:pt idx="2">
                  <c:v>Fall (S,O,N)</c:v>
                </c:pt>
                <c:pt idx="3">
                  <c:v>Winter (D,J,F)</c:v>
                </c:pt>
              </c:strCache>
            </c:strRef>
          </c:cat>
          <c:val>
            <c:numRef>
              <c:f>Monthy!$U$20:$U$23</c:f>
              <c:numCache>
                <c:formatCode>0.00</c:formatCode>
                <c:ptCount val="4"/>
                <c:pt idx="0">
                  <c:v>116.93435919492619</c:v>
                </c:pt>
                <c:pt idx="1">
                  <c:v>113.85713921611234</c:v>
                </c:pt>
                <c:pt idx="2">
                  <c:v>141.55211902543695</c:v>
                </c:pt>
                <c:pt idx="3">
                  <c:v>196.94207864408622</c:v>
                </c:pt>
              </c:numCache>
            </c:numRef>
          </c:val>
          <c:extLst>
            <c:ext xmlns:c16="http://schemas.microsoft.com/office/drawing/2014/chart" uri="{C3380CC4-5D6E-409C-BE32-E72D297353CC}">
              <c16:uniqueId val="{00000000-31A4-43E7-8765-44EAC01DCC22}"/>
            </c:ext>
          </c:extLst>
        </c:ser>
        <c:ser>
          <c:idx val="1"/>
          <c:order val="1"/>
          <c:tx>
            <c:strRef>
              <c:f>Monthy!$V$19</c:f>
              <c:strCache>
                <c:ptCount val="1"/>
                <c:pt idx="0">
                  <c:v>1.00-1.99</c:v>
                </c:pt>
              </c:strCache>
            </c:strRef>
          </c:tx>
          <c:spPr>
            <a:solidFill>
              <a:schemeClr val="accent2"/>
            </a:solidFill>
            <a:ln>
              <a:noFill/>
            </a:ln>
            <a:effectLst/>
          </c:spPr>
          <c:invertIfNegative val="0"/>
          <c:errBars>
            <c:errBarType val="both"/>
            <c:errValType val="cust"/>
            <c:noEndCap val="0"/>
            <c:plus>
              <c:numRef>
                <c:f>Monthy!$V$26:$V$29</c:f>
                <c:numCache>
                  <c:formatCode>General</c:formatCode>
                  <c:ptCount val="4"/>
                  <c:pt idx="0">
                    <c:v>20.536862906974335</c:v>
                  </c:pt>
                  <c:pt idx="1">
                    <c:v>15.685288134690126</c:v>
                  </c:pt>
                  <c:pt idx="2">
                    <c:v>10.268431453487178</c:v>
                  </c:pt>
                  <c:pt idx="3">
                    <c:v>17.785444991478116</c:v>
                  </c:pt>
                </c:numCache>
              </c:numRef>
            </c:plus>
            <c:minus>
              <c:numRef>
                <c:f>Monthy!$V$26:$V$29</c:f>
                <c:numCache>
                  <c:formatCode>General</c:formatCode>
                  <c:ptCount val="4"/>
                  <c:pt idx="0">
                    <c:v>20.536862906974335</c:v>
                  </c:pt>
                  <c:pt idx="1">
                    <c:v>15.685288134690126</c:v>
                  </c:pt>
                  <c:pt idx="2">
                    <c:v>10.268431453487178</c:v>
                  </c:pt>
                  <c:pt idx="3">
                    <c:v>17.785444991478116</c:v>
                  </c:pt>
                </c:numCache>
              </c:numRef>
            </c:minus>
            <c:spPr>
              <a:noFill/>
              <a:ln w="9525" cap="flat" cmpd="sng" algn="ctr">
                <a:solidFill>
                  <a:schemeClr val="tx1">
                    <a:lumMod val="65000"/>
                    <a:lumOff val="35000"/>
                  </a:schemeClr>
                </a:solidFill>
                <a:round/>
              </a:ln>
              <a:effectLst/>
            </c:spPr>
          </c:errBars>
          <c:cat>
            <c:strRef>
              <c:f>Monthy!$T$20:$T$23</c:f>
              <c:strCache>
                <c:ptCount val="4"/>
                <c:pt idx="0">
                  <c:v>Spring (M,A,M)</c:v>
                </c:pt>
                <c:pt idx="1">
                  <c:v>Summer (J,J,A)</c:v>
                </c:pt>
                <c:pt idx="2">
                  <c:v>Fall (S,O,N)</c:v>
                </c:pt>
                <c:pt idx="3">
                  <c:v>Winter (D,J,F)</c:v>
                </c:pt>
              </c:strCache>
            </c:strRef>
          </c:cat>
          <c:val>
            <c:numRef>
              <c:f>Monthy!$V$20:$V$23</c:f>
              <c:numCache>
                <c:formatCode>0.00</c:formatCode>
                <c:ptCount val="4"/>
                <c:pt idx="0">
                  <c:v>41.073725813948691</c:v>
                </c:pt>
                <c:pt idx="1">
                  <c:v>27.382483875965793</c:v>
                </c:pt>
                <c:pt idx="2">
                  <c:v>20.536862906974346</c:v>
                </c:pt>
                <c:pt idx="3">
                  <c:v>20.536862906974346</c:v>
                </c:pt>
              </c:numCache>
            </c:numRef>
          </c:val>
          <c:extLst>
            <c:ext xmlns:c16="http://schemas.microsoft.com/office/drawing/2014/chart" uri="{C3380CC4-5D6E-409C-BE32-E72D297353CC}">
              <c16:uniqueId val="{00000001-31A4-43E7-8765-44EAC01DCC22}"/>
            </c:ext>
          </c:extLst>
        </c:ser>
        <c:ser>
          <c:idx val="2"/>
          <c:order val="2"/>
          <c:tx>
            <c:strRef>
              <c:f>Monthy!$W$19</c:f>
              <c:strCache>
                <c:ptCount val="1"/>
                <c:pt idx="0">
                  <c:v>2.00-2.99</c:v>
                </c:pt>
              </c:strCache>
            </c:strRef>
          </c:tx>
          <c:spPr>
            <a:solidFill>
              <a:schemeClr val="accent3"/>
            </a:solidFill>
            <a:ln>
              <a:noFill/>
            </a:ln>
            <a:effectLst/>
          </c:spPr>
          <c:invertIfNegative val="0"/>
          <c:errBars>
            <c:errBarType val="both"/>
            <c:errValType val="cust"/>
            <c:noEndCap val="0"/>
            <c:plus>
              <c:numRef>
                <c:f>Monthy!$W$26:$W$29</c:f>
                <c:numCache>
                  <c:formatCode>General</c:formatCode>
                  <c:ptCount val="4"/>
                  <c:pt idx="0">
                    <c:v>4.8411567079288655</c:v>
                  </c:pt>
                  <c:pt idx="1">
                    <c:v>3.6595704877348361</c:v>
                  </c:pt>
                  <c:pt idx="2">
                    <c:v>5.4893557316022559</c:v>
                  </c:pt>
                  <c:pt idx="3">
                    <c:v>5.4389598220420729E-16</c:v>
                  </c:pt>
                </c:numCache>
              </c:numRef>
            </c:plus>
            <c:minus>
              <c:numRef>
                <c:f>Monthy!$W$26:$W$29</c:f>
                <c:numCache>
                  <c:formatCode>General</c:formatCode>
                  <c:ptCount val="4"/>
                  <c:pt idx="0">
                    <c:v>4.8411567079288655</c:v>
                  </c:pt>
                  <c:pt idx="1">
                    <c:v>3.6595704877348361</c:v>
                  </c:pt>
                  <c:pt idx="2">
                    <c:v>5.4893557316022559</c:v>
                  </c:pt>
                  <c:pt idx="3">
                    <c:v>5.4389598220420729E-16</c:v>
                  </c:pt>
                </c:numCache>
              </c:numRef>
            </c:minus>
            <c:spPr>
              <a:noFill/>
              <a:ln w="9525" cap="flat" cmpd="sng" algn="ctr">
                <a:solidFill>
                  <a:schemeClr val="tx1">
                    <a:lumMod val="65000"/>
                    <a:lumOff val="35000"/>
                  </a:schemeClr>
                </a:solidFill>
                <a:round/>
              </a:ln>
              <a:effectLst/>
            </c:spPr>
          </c:errBars>
          <c:cat>
            <c:strRef>
              <c:f>Monthy!$T$20:$T$23</c:f>
              <c:strCache>
                <c:ptCount val="4"/>
                <c:pt idx="0">
                  <c:v>Spring (M,A,M)</c:v>
                </c:pt>
                <c:pt idx="1">
                  <c:v>Summer (J,J,A)</c:v>
                </c:pt>
                <c:pt idx="2">
                  <c:v>Fall (S,O,N)</c:v>
                </c:pt>
                <c:pt idx="3">
                  <c:v>Winter (D,J,F)</c:v>
                </c:pt>
              </c:strCache>
            </c:strRef>
          </c:cat>
          <c:val>
            <c:numRef>
              <c:f>Monthy!$W$20:$W$23</c:f>
              <c:numCache>
                <c:formatCode>0.00</c:formatCode>
                <c:ptCount val="4"/>
                <c:pt idx="0">
                  <c:v>8.4514160248484771</c:v>
                </c:pt>
                <c:pt idx="1">
                  <c:v>8.4514160248484771</c:v>
                </c:pt>
                <c:pt idx="2">
                  <c:v>12.677124037272714</c:v>
                </c:pt>
                <c:pt idx="3">
                  <c:v>3.1692810093181785</c:v>
                </c:pt>
              </c:numCache>
            </c:numRef>
          </c:val>
          <c:extLst>
            <c:ext xmlns:c16="http://schemas.microsoft.com/office/drawing/2014/chart" uri="{C3380CC4-5D6E-409C-BE32-E72D297353CC}">
              <c16:uniqueId val="{00000002-31A4-43E7-8765-44EAC01DCC22}"/>
            </c:ext>
          </c:extLst>
        </c:ser>
        <c:ser>
          <c:idx val="3"/>
          <c:order val="3"/>
          <c:tx>
            <c:strRef>
              <c:f>Monthy!$X$19</c:f>
              <c:strCache>
                <c:ptCount val="1"/>
                <c:pt idx="0">
                  <c:v>3.00-max</c:v>
                </c:pt>
              </c:strCache>
            </c:strRef>
          </c:tx>
          <c:spPr>
            <a:solidFill>
              <a:schemeClr val="accent4"/>
            </a:solidFill>
            <a:ln>
              <a:noFill/>
            </a:ln>
            <a:effectLst/>
          </c:spPr>
          <c:invertIfNegative val="0"/>
          <c:errBars>
            <c:errBarType val="both"/>
            <c:errValType val="cust"/>
            <c:noEndCap val="0"/>
            <c:plus>
              <c:numRef>
                <c:f>Monthy!$X$26:$X$29</c:f>
                <c:numCache>
                  <c:formatCode>General</c:formatCode>
                  <c:ptCount val="4"/>
                  <c:pt idx="0">
                    <c:v>11.057553431381436</c:v>
                  </c:pt>
                  <c:pt idx="1">
                    <c:v>26.869540639820311</c:v>
                  </c:pt>
                  <c:pt idx="2">
                    <c:v>4.1793623554634562</c:v>
                  </c:pt>
                  <c:pt idx="3">
                    <c:v>0</c:v>
                  </c:pt>
                </c:numCache>
              </c:numRef>
            </c:plus>
            <c:minus>
              <c:numRef>
                <c:f>Monthy!$X$26:$X$29</c:f>
                <c:numCache>
                  <c:formatCode>General</c:formatCode>
                  <c:ptCount val="4"/>
                  <c:pt idx="0">
                    <c:v>11.057553431381436</c:v>
                  </c:pt>
                  <c:pt idx="1">
                    <c:v>26.869540639820311</c:v>
                  </c:pt>
                  <c:pt idx="2">
                    <c:v>4.1793623554634562</c:v>
                  </c:pt>
                  <c:pt idx="3">
                    <c:v>0</c:v>
                  </c:pt>
                </c:numCache>
              </c:numRef>
            </c:minus>
            <c:spPr>
              <a:noFill/>
              <a:ln w="9525" cap="flat" cmpd="sng" algn="ctr">
                <a:solidFill>
                  <a:schemeClr val="tx1">
                    <a:lumMod val="65000"/>
                    <a:lumOff val="35000"/>
                  </a:schemeClr>
                </a:solidFill>
                <a:round/>
              </a:ln>
              <a:effectLst/>
            </c:spPr>
          </c:errBars>
          <c:cat>
            <c:strRef>
              <c:f>Monthy!$T$20:$T$23</c:f>
              <c:strCache>
                <c:ptCount val="4"/>
                <c:pt idx="0">
                  <c:v>Spring (M,A,M)</c:v>
                </c:pt>
                <c:pt idx="1">
                  <c:v>Summer (J,J,A)</c:v>
                </c:pt>
                <c:pt idx="2">
                  <c:v>Fall (S,O,N)</c:v>
                </c:pt>
                <c:pt idx="3">
                  <c:v>Winter (D,J,F)</c:v>
                </c:pt>
              </c:strCache>
            </c:strRef>
          </c:cat>
          <c:val>
            <c:numRef>
              <c:f>Monthy!$X$20:$X$23</c:f>
              <c:numCache>
                <c:formatCode>0.00</c:formatCode>
                <c:ptCount val="4"/>
                <c:pt idx="0">
                  <c:v>33.434898843707636</c:v>
                </c:pt>
                <c:pt idx="1">
                  <c:v>27.862415703089699</c:v>
                </c:pt>
                <c:pt idx="2">
                  <c:v>16.717449421853821</c:v>
                </c:pt>
                <c:pt idx="3">
                  <c:v>8.3587247109269107</c:v>
                </c:pt>
              </c:numCache>
            </c:numRef>
          </c:val>
          <c:extLst>
            <c:ext xmlns:c16="http://schemas.microsoft.com/office/drawing/2014/chart" uri="{C3380CC4-5D6E-409C-BE32-E72D297353CC}">
              <c16:uniqueId val="{00000003-31A4-43E7-8765-44EAC01DCC22}"/>
            </c:ext>
          </c:extLst>
        </c:ser>
        <c:dLbls>
          <c:showLegendKey val="0"/>
          <c:showVal val="0"/>
          <c:showCatName val="0"/>
          <c:showSerName val="0"/>
          <c:showPercent val="0"/>
          <c:showBubbleSize val="0"/>
        </c:dLbls>
        <c:gapWidth val="219"/>
        <c:overlap val="-27"/>
        <c:axId val="501701264"/>
        <c:axId val="501708152"/>
      </c:barChart>
      <c:catAx>
        <c:axId val="501701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Rainfall Intensity (cm/hr)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08152"/>
        <c:crosses val="autoZero"/>
        <c:auto val="1"/>
        <c:lblAlgn val="ctr"/>
        <c:lblOffset val="100"/>
        <c:noMultiLvlLbl val="0"/>
      </c:catAx>
      <c:valAx>
        <c:axId val="5017081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Iron Transported (kg/year)</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012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9330927384077"/>
          <c:y val="0.20916666666666667"/>
          <c:w val="0.80455796150481185"/>
          <c:h val="0.64176727909011377"/>
        </c:manualLayout>
      </c:layout>
      <c:barChart>
        <c:barDir val="col"/>
        <c:grouping val="clustered"/>
        <c:varyColors val="0"/>
        <c:ser>
          <c:idx val="0"/>
          <c:order val="0"/>
          <c:tx>
            <c:strRef>
              <c:f>'Monthly Fe Transport'!$G$106</c:f>
              <c:strCache>
                <c:ptCount val="1"/>
                <c:pt idx="0">
                  <c:v>J</c:v>
                </c:pt>
              </c:strCache>
            </c:strRef>
          </c:tx>
          <c:spPr>
            <a:solidFill>
              <a:schemeClr val="accent2"/>
            </a:solidFill>
            <a:ln>
              <a:noFill/>
            </a:ln>
            <a:effectLst/>
          </c:spPr>
          <c:invertIfNegative val="0"/>
          <c:cat>
            <c:numRef>
              <c:f>'Monthly Fe Transport'!$H$105:$J$105</c:f>
              <c:numCache>
                <c:formatCode>General</c:formatCode>
                <c:ptCount val="3"/>
                <c:pt idx="0">
                  <c:v>2011</c:v>
                </c:pt>
                <c:pt idx="1">
                  <c:v>2012</c:v>
                </c:pt>
                <c:pt idx="2">
                  <c:v>2013</c:v>
                </c:pt>
              </c:numCache>
            </c:numRef>
          </c:cat>
          <c:val>
            <c:numRef>
              <c:f>'Monthly Fe Transport'!$H$106:$J$106</c:f>
              <c:numCache>
                <c:formatCode>0.00</c:formatCode>
                <c:ptCount val="3"/>
                <c:pt idx="0">
                  <c:v>9.7583795633559838</c:v>
                </c:pt>
                <c:pt idx="1">
                  <c:v>2.2352337883211266</c:v>
                </c:pt>
                <c:pt idx="2">
                  <c:v>14.109540311249708</c:v>
                </c:pt>
              </c:numCache>
            </c:numRef>
          </c:val>
          <c:extLst>
            <c:ext xmlns:c16="http://schemas.microsoft.com/office/drawing/2014/chart" uri="{C3380CC4-5D6E-409C-BE32-E72D297353CC}">
              <c16:uniqueId val="{00000000-9262-4D4C-80E4-C5A7D6EDA404}"/>
            </c:ext>
          </c:extLst>
        </c:ser>
        <c:ser>
          <c:idx val="1"/>
          <c:order val="1"/>
          <c:tx>
            <c:strRef>
              <c:f>'Monthly Fe Transport'!$G$107</c:f>
              <c:strCache>
                <c:ptCount val="1"/>
                <c:pt idx="0">
                  <c:v>F </c:v>
                </c:pt>
              </c:strCache>
            </c:strRef>
          </c:tx>
          <c:spPr>
            <a:solidFill>
              <a:schemeClr val="accent2"/>
            </a:solidFill>
            <a:ln>
              <a:noFill/>
            </a:ln>
            <a:effectLst/>
          </c:spPr>
          <c:invertIfNegative val="0"/>
          <c:cat>
            <c:numRef>
              <c:f>'Monthly Fe Transport'!$H$105:$J$105</c:f>
              <c:numCache>
                <c:formatCode>General</c:formatCode>
                <c:ptCount val="3"/>
                <c:pt idx="0">
                  <c:v>2011</c:v>
                </c:pt>
                <c:pt idx="1">
                  <c:v>2012</c:v>
                </c:pt>
                <c:pt idx="2">
                  <c:v>2013</c:v>
                </c:pt>
              </c:numCache>
            </c:numRef>
          </c:cat>
          <c:val>
            <c:numRef>
              <c:f>'Monthly Fe Transport'!$H$107:$J$107</c:f>
              <c:numCache>
                <c:formatCode>0.00</c:formatCode>
                <c:ptCount val="3"/>
                <c:pt idx="0">
                  <c:v>11.879216225914774</c:v>
                </c:pt>
                <c:pt idx="1">
                  <c:v>11.609736771209112</c:v>
                </c:pt>
                <c:pt idx="2">
                  <c:v>17.569830245023386</c:v>
                </c:pt>
              </c:numCache>
            </c:numRef>
          </c:val>
          <c:extLst>
            <c:ext xmlns:c16="http://schemas.microsoft.com/office/drawing/2014/chart" uri="{C3380CC4-5D6E-409C-BE32-E72D297353CC}">
              <c16:uniqueId val="{00000001-9262-4D4C-80E4-C5A7D6EDA404}"/>
            </c:ext>
          </c:extLst>
        </c:ser>
        <c:ser>
          <c:idx val="2"/>
          <c:order val="2"/>
          <c:tx>
            <c:strRef>
              <c:f>'Monthly Fe Transport'!$G$108</c:f>
              <c:strCache>
                <c:ptCount val="1"/>
                <c:pt idx="0">
                  <c:v>M </c:v>
                </c:pt>
              </c:strCache>
            </c:strRef>
          </c:tx>
          <c:spPr>
            <a:solidFill>
              <a:schemeClr val="accent2"/>
            </a:solidFill>
            <a:ln>
              <a:noFill/>
            </a:ln>
            <a:effectLst/>
          </c:spPr>
          <c:invertIfNegative val="0"/>
          <c:cat>
            <c:numRef>
              <c:f>'Monthly Fe Transport'!$H$105:$J$105</c:f>
              <c:numCache>
                <c:formatCode>General</c:formatCode>
                <c:ptCount val="3"/>
                <c:pt idx="0">
                  <c:v>2011</c:v>
                </c:pt>
                <c:pt idx="1">
                  <c:v>2012</c:v>
                </c:pt>
                <c:pt idx="2">
                  <c:v>2013</c:v>
                </c:pt>
              </c:numCache>
            </c:numRef>
          </c:cat>
          <c:val>
            <c:numRef>
              <c:f>'Monthly Fe Transport'!$H$108:$J$108</c:f>
              <c:numCache>
                <c:formatCode>0.00</c:formatCode>
                <c:ptCount val="3"/>
                <c:pt idx="0">
                  <c:v>9.5484107637581968</c:v>
                </c:pt>
                <c:pt idx="1">
                  <c:v>9.3745029828879876</c:v>
                </c:pt>
                <c:pt idx="2">
                  <c:v>13.447178230121551</c:v>
                </c:pt>
              </c:numCache>
            </c:numRef>
          </c:val>
          <c:extLst>
            <c:ext xmlns:c16="http://schemas.microsoft.com/office/drawing/2014/chart" uri="{C3380CC4-5D6E-409C-BE32-E72D297353CC}">
              <c16:uniqueId val="{00000002-9262-4D4C-80E4-C5A7D6EDA404}"/>
            </c:ext>
          </c:extLst>
        </c:ser>
        <c:ser>
          <c:idx val="3"/>
          <c:order val="3"/>
          <c:tx>
            <c:strRef>
              <c:f>'Monthly Fe Transport'!$G$109</c:f>
              <c:strCache>
                <c:ptCount val="1"/>
                <c:pt idx="0">
                  <c:v>A</c:v>
                </c:pt>
              </c:strCache>
            </c:strRef>
          </c:tx>
          <c:spPr>
            <a:solidFill>
              <a:schemeClr val="accent2"/>
            </a:solidFill>
            <a:ln>
              <a:noFill/>
            </a:ln>
            <a:effectLst/>
          </c:spPr>
          <c:invertIfNegative val="0"/>
          <c:cat>
            <c:numRef>
              <c:f>'Monthly Fe Transport'!$H$105:$J$105</c:f>
              <c:numCache>
                <c:formatCode>General</c:formatCode>
                <c:ptCount val="3"/>
                <c:pt idx="0">
                  <c:v>2011</c:v>
                </c:pt>
                <c:pt idx="1">
                  <c:v>2012</c:v>
                </c:pt>
                <c:pt idx="2">
                  <c:v>2013</c:v>
                </c:pt>
              </c:numCache>
            </c:numRef>
          </c:cat>
          <c:val>
            <c:numRef>
              <c:f>'Monthly Fe Transport'!$H$109:$J$109</c:f>
              <c:numCache>
                <c:formatCode>0.00</c:formatCode>
                <c:ptCount val="3"/>
                <c:pt idx="0">
                  <c:v>5.420849045870165</c:v>
                </c:pt>
                <c:pt idx="1">
                  <c:v>1.682359129969115</c:v>
                </c:pt>
                <c:pt idx="2">
                  <c:v>10.379770922770364</c:v>
                </c:pt>
              </c:numCache>
            </c:numRef>
          </c:val>
          <c:extLst>
            <c:ext xmlns:c16="http://schemas.microsoft.com/office/drawing/2014/chart" uri="{C3380CC4-5D6E-409C-BE32-E72D297353CC}">
              <c16:uniqueId val="{00000003-9262-4D4C-80E4-C5A7D6EDA404}"/>
            </c:ext>
          </c:extLst>
        </c:ser>
        <c:ser>
          <c:idx val="4"/>
          <c:order val="4"/>
          <c:tx>
            <c:strRef>
              <c:f>'Monthly Fe Transport'!$G$110</c:f>
              <c:strCache>
                <c:ptCount val="1"/>
                <c:pt idx="0">
                  <c:v>M </c:v>
                </c:pt>
              </c:strCache>
            </c:strRef>
          </c:tx>
          <c:spPr>
            <a:solidFill>
              <a:schemeClr val="accent2"/>
            </a:solidFill>
            <a:ln>
              <a:noFill/>
            </a:ln>
            <a:effectLst/>
          </c:spPr>
          <c:invertIfNegative val="0"/>
          <c:cat>
            <c:numRef>
              <c:f>'Monthly Fe Transport'!$H$105:$J$105</c:f>
              <c:numCache>
                <c:formatCode>General</c:formatCode>
                <c:ptCount val="3"/>
                <c:pt idx="0">
                  <c:v>2011</c:v>
                </c:pt>
                <c:pt idx="1">
                  <c:v>2012</c:v>
                </c:pt>
                <c:pt idx="2">
                  <c:v>2013</c:v>
                </c:pt>
              </c:numCache>
            </c:numRef>
          </c:cat>
          <c:val>
            <c:numRef>
              <c:f>'Monthly Fe Transport'!$H$110:$J$110</c:f>
              <c:numCache>
                <c:formatCode>0.00</c:formatCode>
                <c:ptCount val="3"/>
                <c:pt idx="0">
                  <c:v>13.904481214638114</c:v>
                </c:pt>
                <c:pt idx="1">
                  <c:v>3.7483093218734398</c:v>
                </c:pt>
                <c:pt idx="2">
                  <c:v>19.695291092035585</c:v>
                </c:pt>
              </c:numCache>
            </c:numRef>
          </c:val>
          <c:extLst>
            <c:ext xmlns:c16="http://schemas.microsoft.com/office/drawing/2014/chart" uri="{C3380CC4-5D6E-409C-BE32-E72D297353CC}">
              <c16:uniqueId val="{00000004-9262-4D4C-80E4-C5A7D6EDA404}"/>
            </c:ext>
          </c:extLst>
        </c:ser>
        <c:ser>
          <c:idx val="5"/>
          <c:order val="5"/>
          <c:tx>
            <c:strRef>
              <c:f>'Monthly Fe Transport'!$G$111</c:f>
              <c:strCache>
                <c:ptCount val="1"/>
                <c:pt idx="0">
                  <c:v>J </c:v>
                </c:pt>
              </c:strCache>
            </c:strRef>
          </c:tx>
          <c:spPr>
            <a:solidFill>
              <a:schemeClr val="accent2"/>
            </a:solidFill>
            <a:ln>
              <a:noFill/>
            </a:ln>
            <a:effectLst/>
          </c:spPr>
          <c:invertIfNegative val="0"/>
          <c:cat>
            <c:numRef>
              <c:f>'Monthly Fe Transport'!$H$105:$J$105</c:f>
              <c:numCache>
                <c:formatCode>General</c:formatCode>
                <c:ptCount val="3"/>
                <c:pt idx="0">
                  <c:v>2011</c:v>
                </c:pt>
                <c:pt idx="1">
                  <c:v>2012</c:v>
                </c:pt>
                <c:pt idx="2">
                  <c:v>2013</c:v>
                </c:pt>
              </c:numCache>
            </c:numRef>
          </c:cat>
          <c:val>
            <c:numRef>
              <c:f>'Monthly Fe Transport'!$H$111:$J$111</c:f>
              <c:numCache>
                <c:formatCode>0.00</c:formatCode>
                <c:ptCount val="3"/>
                <c:pt idx="0">
                  <c:v>11.435828990338905</c:v>
                </c:pt>
                <c:pt idx="1">
                  <c:v>6.4124867553446396</c:v>
                </c:pt>
                <c:pt idx="2">
                  <c:v>6.7652120200712513</c:v>
                </c:pt>
              </c:numCache>
            </c:numRef>
          </c:val>
          <c:extLst>
            <c:ext xmlns:c16="http://schemas.microsoft.com/office/drawing/2014/chart" uri="{C3380CC4-5D6E-409C-BE32-E72D297353CC}">
              <c16:uniqueId val="{00000005-9262-4D4C-80E4-C5A7D6EDA404}"/>
            </c:ext>
          </c:extLst>
        </c:ser>
        <c:ser>
          <c:idx val="6"/>
          <c:order val="6"/>
          <c:tx>
            <c:strRef>
              <c:f>'Monthly Fe Transport'!$G$112</c:f>
              <c:strCache>
                <c:ptCount val="1"/>
                <c:pt idx="0">
                  <c:v>J </c:v>
                </c:pt>
              </c:strCache>
            </c:strRef>
          </c:tx>
          <c:spPr>
            <a:solidFill>
              <a:schemeClr val="accent2"/>
            </a:solidFill>
            <a:ln>
              <a:noFill/>
            </a:ln>
            <a:effectLst/>
          </c:spPr>
          <c:invertIfNegative val="0"/>
          <c:cat>
            <c:numRef>
              <c:f>'Monthly Fe Transport'!$H$105:$J$105</c:f>
              <c:numCache>
                <c:formatCode>General</c:formatCode>
                <c:ptCount val="3"/>
                <c:pt idx="0">
                  <c:v>2011</c:v>
                </c:pt>
                <c:pt idx="1">
                  <c:v>2012</c:v>
                </c:pt>
                <c:pt idx="2">
                  <c:v>2013</c:v>
                </c:pt>
              </c:numCache>
            </c:numRef>
          </c:cat>
          <c:val>
            <c:numRef>
              <c:f>'Monthly Fe Transport'!$H$112:$J$112</c:f>
              <c:numCache>
                <c:formatCode>0.00</c:formatCode>
                <c:ptCount val="3"/>
                <c:pt idx="0">
                  <c:v>7.806540978681209</c:v>
                </c:pt>
                <c:pt idx="1">
                  <c:v>6.3625099876763684</c:v>
                </c:pt>
                <c:pt idx="2">
                  <c:v>11.499963829900183</c:v>
                </c:pt>
              </c:numCache>
            </c:numRef>
          </c:val>
          <c:extLst>
            <c:ext xmlns:c16="http://schemas.microsoft.com/office/drawing/2014/chart" uri="{C3380CC4-5D6E-409C-BE32-E72D297353CC}">
              <c16:uniqueId val="{00000006-9262-4D4C-80E4-C5A7D6EDA404}"/>
            </c:ext>
          </c:extLst>
        </c:ser>
        <c:ser>
          <c:idx val="7"/>
          <c:order val="7"/>
          <c:tx>
            <c:strRef>
              <c:f>'Monthly Fe Transport'!$G$113</c:f>
              <c:strCache>
                <c:ptCount val="1"/>
                <c:pt idx="0">
                  <c:v>A</c:v>
                </c:pt>
              </c:strCache>
            </c:strRef>
          </c:tx>
          <c:spPr>
            <a:solidFill>
              <a:schemeClr val="accent2"/>
            </a:solidFill>
            <a:ln>
              <a:noFill/>
            </a:ln>
            <a:effectLst/>
          </c:spPr>
          <c:invertIfNegative val="0"/>
          <c:cat>
            <c:numRef>
              <c:f>'Monthly Fe Transport'!$H$105:$J$105</c:f>
              <c:numCache>
                <c:formatCode>General</c:formatCode>
                <c:ptCount val="3"/>
                <c:pt idx="0">
                  <c:v>2011</c:v>
                </c:pt>
                <c:pt idx="1">
                  <c:v>2012</c:v>
                </c:pt>
                <c:pt idx="2">
                  <c:v>2013</c:v>
                </c:pt>
              </c:numCache>
            </c:numRef>
          </c:cat>
          <c:val>
            <c:numRef>
              <c:f>'Monthly Fe Transport'!$H$113:$J$113</c:f>
              <c:numCache>
                <c:formatCode>0.00</c:formatCode>
                <c:ptCount val="3"/>
                <c:pt idx="0">
                  <c:v>10.096375719124014</c:v>
                </c:pt>
                <c:pt idx="1">
                  <c:v>8.2687536661839633</c:v>
                </c:pt>
                <c:pt idx="2">
                  <c:v>10.8875785164403</c:v>
                </c:pt>
              </c:numCache>
            </c:numRef>
          </c:val>
          <c:extLst>
            <c:ext xmlns:c16="http://schemas.microsoft.com/office/drawing/2014/chart" uri="{C3380CC4-5D6E-409C-BE32-E72D297353CC}">
              <c16:uniqueId val="{00000007-9262-4D4C-80E4-C5A7D6EDA404}"/>
            </c:ext>
          </c:extLst>
        </c:ser>
        <c:ser>
          <c:idx val="8"/>
          <c:order val="8"/>
          <c:tx>
            <c:strRef>
              <c:f>'Monthly Fe Transport'!$G$114</c:f>
              <c:strCache>
                <c:ptCount val="1"/>
                <c:pt idx="0">
                  <c:v>S </c:v>
                </c:pt>
              </c:strCache>
            </c:strRef>
          </c:tx>
          <c:spPr>
            <a:solidFill>
              <a:schemeClr val="accent2"/>
            </a:solidFill>
            <a:ln>
              <a:noFill/>
            </a:ln>
            <a:effectLst/>
          </c:spPr>
          <c:invertIfNegative val="0"/>
          <c:cat>
            <c:numRef>
              <c:f>'Monthly Fe Transport'!$H$105:$J$105</c:f>
              <c:numCache>
                <c:formatCode>General</c:formatCode>
                <c:ptCount val="3"/>
                <c:pt idx="0">
                  <c:v>2011</c:v>
                </c:pt>
                <c:pt idx="1">
                  <c:v>2012</c:v>
                </c:pt>
                <c:pt idx="2">
                  <c:v>2013</c:v>
                </c:pt>
              </c:numCache>
            </c:numRef>
          </c:cat>
          <c:val>
            <c:numRef>
              <c:f>'Monthly Fe Transport'!$H$114:$J$114</c:f>
              <c:numCache>
                <c:formatCode>0.00</c:formatCode>
                <c:ptCount val="3"/>
                <c:pt idx="0">
                  <c:v>7.3131769754370684</c:v>
                </c:pt>
                <c:pt idx="1">
                  <c:v>12.998881291559488</c:v>
                </c:pt>
                <c:pt idx="2">
                  <c:v>9.3745029828879876</c:v>
                </c:pt>
              </c:numCache>
            </c:numRef>
          </c:val>
          <c:extLst>
            <c:ext xmlns:c16="http://schemas.microsoft.com/office/drawing/2014/chart" uri="{C3380CC4-5D6E-409C-BE32-E72D297353CC}">
              <c16:uniqueId val="{00000008-9262-4D4C-80E4-C5A7D6EDA404}"/>
            </c:ext>
          </c:extLst>
        </c:ser>
        <c:ser>
          <c:idx val="9"/>
          <c:order val="9"/>
          <c:tx>
            <c:strRef>
              <c:f>'Monthly Fe Transport'!$G$115</c:f>
              <c:strCache>
                <c:ptCount val="1"/>
                <c:pt idx="0">
                  <c:v>O </c:v>
                </c:pt>
              </c:strCache>
            </c:strRef>
          </c:tx>
          <c:spPr>
            <a:solidFill>
              <a:schemeClr val="accent2"/>
            </a:solidFill>
            <a:ln>
              <a:noFill/>
            </a:ln>
            <a:effectLst/>
          </c:spPr>
          <c:invertIfNegative val="0"/>
          <c:cat>
            <c:numRef>
              <c:f>'Monthly Fe Transport'!$H$105:$J$105</c:f>
              <c:numCache>
                <c:formatCode>General</c:formatCode>
                <c:ptCount val="3"/>
                <c:pt idx="0">
                  <c:v>2011</c:v>
                </c:pt>
                <c:pt idx="1">
                  <c:v>2012</c:v>
                </c:pt>
                <c:pt idx="2">
                  <c:v>2013</c:v>
                </c:pt>
              </c:numCache>
            </c:numRef>
          </c:cat>
          <c:val>
            <c:numRef>
              <c:f>'Monthly Fe Transport'!$H$115:$J$115</c:f>
              <c:numCache>
                <c:formatCode>0.00</c:formatCode>
                <c:ptCount val="3"/>
                <c:pt idx="0">
                  <c:v>5.8547023940064333</c:v>
                </c:pt>
                <c:pt idx="1">
                  <c:v>6.3625099876763684</c:v>
                </c:pt>
                <c:pt idx="2">
                  <c:v>14.452446170003929</c:v>
                </c:pt>
              </c:numCache>
            </c:numRef>
          </c:val>
          <c:extLst>
            <c:ext xmlns:c16="http://schemas.microsoft.com/office/drawing/2014/chart" uri="{C3380CC4-5D6E-409C-BE32-E72D297353CC}">
              <c16:uniqueId val="{00000009-9262-4D4C-80E4-C5A7D6EDA404}"/>
            </c:ext>
          </c:extLst>
        </c:ser>
        <c:ser>
          <c:idx val="10"/>
          <c:order val="10"/>
          <c:tx>
            <c:strRef>
              <c:f>'Monthly Fe Transport'!$G$116</c:f>
              <c:strCache>
                <c:ptCount val="1"/>
                <c:pt idx="0">
                  <c:v>N </c:v>
                </c:pt>
              </c:strCache>
            </c:strRef>
          </c:tx>
          <c:spPr>
            <a:solidFill>
              <a:schemeClr val="accent2"/>
            </a:solidFill>
            <a:ln>
              <a:noFill/>
            </a:ln>
            <a:effectLst/>
          </c:spPr>
          <c:invertIfNegative val="0"/>
          <c:cat>
            <c:numRef>
              <c:f>'Monthly Fe Transport'!$H$105:$J$105</c:f>
              <c:numCache>
                <c:formatCode>General</c:formatCode>
                <c:ptCount val="3"/>
                <c:pt idx="0">
                  <c:v>2011</c:v>
                </c:pt>
                <c:pt idx="1">
                  <c:v>2012</c:v>
                </c:pt>
                <c:pt idx="2">
                  <c:v>2013</c:v>
                </c:pt>
              </c:numCache>
            </c:numRef>
          </c:cat>
          <c:val>
            <c:numRef>
              <c:f>'Monthly Fe Transport'!$H$116:$J$116</c:f>
              <c:numCache>
                <c:formatCode>0.00</c:formatCode>
                <c:ptCount val="3"/>
                <c:pt idx="0">
                  <c:v>16.628169303217184</c:v>
                </c:pt>
                <c:pt idx="1">
                  <c:v>3.5148908858953587</c:v>
                </c:pt>
                <c:pt idx="2">
                  <c:v>11.43091928735271</c:v>
                </c:pt>
              </c:numCache>
            </c:numRef>
          </c:val>
          <c:extLst>
            <c:ext xmlns:c16="http://schemas.microsoft.com/office/drawing/2014/chart" uri="{C3380CC4-5D6E-409C-BE32-E72D297353CC}">
              <c16:uniqueId val="{0000000A-9262-4D4C-80E4-C5A7D6EDA404}"/>
            </c:ext>
          </c:extLst>
        </c:ser>
        <c:ser>
          <c:idx val="11"/>
          <c:order val="11"/>
          <c:tx>
            <c:strRef>
              <c:f>'Monthly Fe Transport'!$G$117</c:f>
              <c:strCache>
                <c:ptCount val="1"/>
                <c:pt idx="0">
                  <c:v>D </c:v>
                </c:pt>
              </c:strCache>
            </c:strRef>
          </c:tx>
          <c:spPr>
            <a:solidFill>
              <a:schemeClr val="accent2"/>
            </a:solidFill>
            <a:ln>
              <a:noFill/>
            </a:ln>
            <a:effectLst/>
          </c:spPr>
          <c:invertIfNegative val="0"/>
          <c:cat>
            <c:numRef>
              <c:f>'Monthly Fe Transport'!$H$105:$J$105</c:f>
              <c:numCache>
                <c:formatCode>General</c:formatCode>
                <c:ptCount val="3"/>
                <c:pt idx="0">
                  <c:v>2011</c:v>
                </c:pt>
                <c:pt idx="1">
                  <c:v>2012</c:v>
                </c:pt>
                <c:pt idx="2">
                  <c:v>2013</c:v>
                </c:pt>
              </c:numCache>
            </c:numRef>
          </c:cat>
          <c:val>
            <c:numRef>
              <c:f>'Monthly Fe Transport'!$H$117:$J$117</c:f>
              <c:numCache>
                <c:formatCode>0.00</c:formatCode>
                <c:ptCount val="3"/>
                <c:pt idx="0">
                  <c:v>9.3745029828879876</c:v>
                </c:pt>
                <c:pt idx="1">
                  <c:v>8.5382331208896236</c:v>
                </c:pt>
                <c:pt idx="2">
                  <c:v>16.061378895924481</c:v>
                </c:pt>
              </c:numCache>
            </c:numRef>
          </c:val>
          <c:extLst>
            <c:ext xmlns:c16="http://schemas.microsoft.com/office/drawing/2014/chart" uri="{C3380CC4-5D6E-409C-BE32-E72D297353CC}">
              <c16:uniqueId val="{0000000B-9262-4D4C-80E4-C5A7D6EDA404}"/>
            </c:ext>
          </c:extLst>
        </c:ser>
        <c:dLbls>
          <c:showLegendKey val="0"/>
          <c:showVal val="0"/>
          <c:showCatName val="0"/>
          <c:showSerName val="0"/>
          <c:showPercent val="0"/>
          <c:showBubbleSize val="0"/>
        </c:dLbls>
        <c:gapWidth val="219"/>
        <c:overlap val="-27"/>
        <c:axId val="537624016"/>
        <c:axId val="537626968"/>
      </c:barChart>
      <c:catAx>
        <c:axId val="53762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b"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537626968"/>
        <c:crosses val="autoZero"/>
        <c:auto val="1"/>
        <c:lblAlgn val="ctr"/>
        <c:lblOffset val="500"/>
        <c:noMultiLvlLbl val="0"/>
      </c:catAx>
      <c:valAx>
        <c:axId val="537626968"/>
        <c:scaling>
          <c:orientation val="minMax"/>
          <c:max val="2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Iron (kg)</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7624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75139775288499"/>
          <c:y val="3.7278657968313138E-2"/>
          <c:w val="0.88131685185933317"/>
          <c:h val="0.677174160312906"/>
        </c:manualLayout>
      </c:layout>
      <c:barChart>
        <c:barDir val="col"/>
        <c:grouping val="clustered"/>
        <c:varyColors val="0"/>
        <c:ser>
          <c:idx val="0"/>
          <c:order val="0"/>
          <c:tx>
            <c:strRef>
              <c:f>'Monthly Fe Transport'!$U$25</c:f>
              <c:strCache>
                <c:ptCount val="1"/>
                <c:pt idx="0">
                  <c:v>0.25-0.999</c:v>
                </c:pt>
              </c:strCache>
            </c:strRef>
          </c:tx>
          <c:spPr>
            <a:solidFill>
              <a:schemeClr val="accent1"/>
            </a:solidFill>
            <a:ln>
              <a:noFill/>
            </a:ln>
            <a:effectLst/>
          </c:spPr>
          <c:invertIfNegative val="0"/>
          <c:errBars>
            <c:errBarType val="both"/>
            <c:errValType val="cust"/>
            <c:noEndCap val="0"/>
            <c:plus>
              <c:numRef>
                <c:f>'Monthly Fe Transport'!$U$33:$U$36</c:f>
                <c:numCache>
                  <c:formatCode>General</c:formatCode>
                  <c:ptCount val="4"/>
                  <c:pt idx="0">
                    <c:v>12.952956921092749</c:v>
                  </c:pt>
                  <c:pt idx="1">
                    <c:v>5.6340030677581101</c:v>
                  </c:pt>
                  <c:pt idx="2">
                    <c:v>4.8957575365920309</c:v>
                  </c:pt>
                  <c:pt idx="3">
                    <c:v>14.033171439974748</c:v>
                  </c:pt>
                </c:numCache>
              </c:numRef>
            </c:plus>
            <c:minus>
              <c:numRef>
                <c:f>'Monthly Fe Transport'!$U$33:$U$36</c:f>
                <c:numCache>
                  <c:formatCode>General</c:formatCode>
                  <c:ptCount val="4"/>
                  <c:pt idx="0">
                    <c:v>12.952956921092749</c:v>
                  </c:pt>
                  <c:pt idx="1">
                    <c:v>5.6340030677581101</c:v>
                  </c:pt>
                  <c:pt idx="2">
                    <c:v>4.8957575365920309</c:v>
                  </c:pt>
                  <c:pt idx="3">
                    <c:v>14.033171439974748</c:v>
                  </c:pt>
                </c:numCache>
              </c:numRef>
            </c:minus>
            <c:spPr>
              <a:noFill/>
              <a:ln w="9525" cap="flat" cmpd="sng" algn="ctr">
                <a:solidFill>
                  <a:schemeClr val="tx1">
                    <a:lumMod val="65000"/>
                    <a:lumOff val="35000"/>
                  </a:schemeClr>
                </a:solidFill>
                <a:round/>
              </a:ln>
              <a:effectLst/>
            </c:spPr>
          </c:errBars>
          <c:cat>
            <c:strRef>
              <c:f>'Monthly Fe Transport'!$T$26:$T$29</c:f>
              <c:strCache>
                <c:ptCount val="4"/>
                <c:pt idx="0">
                  <c:v>Spring (M,A,M)</c:v>
                </c:pt>
                <c:pt idx="1">
                  <c:v>Summer (J,J,A)</c:v>
                </c:pt>
                <c:pt idx="2">
                  <c:v>Fall (S,O,N)</c:v>
                </c:pt>
                <c:pt idx="3">
                  <c:v>Winter (D,J,F)</c:v>
                </c:pt>
              </c:strCache>
            </c:strRef>
          </c:cat>
          <c:val>
            <c:numRef>
              <c:f>'Monthly Fe Transport'!$U$26:$U$29</c:f>
              <c:numCache>
                <c:formatCode>0.00</c:formatCode>
                <c:ptCount val="4"/>
                <c:pt idx="0">
                  <c:v>17.65802016226321</c:v>
                </c:pt>
                <c:pt idx="1">
                  <c:v>17.193335421151019</c:v>
                </c:pt>
                <c:pt idx="2">
                  <c:v>21.375498091160726</c:v>
                </c:pt>
                <c:pt idx="3">
                  <c:v>29.739823431180138</c:v>
                </c:pt>
              </c:numCache>
            </c:numRef>
          </c:val>
          <c:extLst>
            <c:ext xmlns:c16="http://schemas.microsoft.com/office/drawing/2014/chart" uri="{C3380CC4-5D6E-409C-BE32-E72D297353CC}">
              <c16:uniqueId val="{00000000-2A0C-4B43-8077-CC852CA08D74}"/>
            </c:ext>
          </c:extLst>
        </c:ser>
        <c:ser>
          <c:idx val="1"/>
          <c:order val="1"/>
          <c:tx>
            <c:strRef>
              <c:f>'Monthly Fe Transport'!$V$25</c:f>
              <c:strCache>
                <c:ptCount val="1"/>
                <c:pt idx="0">
                  <c:v>1.00-1.99</c:v>
                </c:pt>
              </c:strCache>
            </c:strRef>
          </c:tx>
          <c:spPr>
            <a:solidFill>
              <a:schemeClr val="accent2"/>
            </a:solidFill>
            <a:ln>
              <a:noFill/>
            </a:ln>
            <a:effectLst/>
          </c:spPr>
          <c:invertIfNegative val="0"/>
          <c:errBars>
            <c:errBarType val="both"/>
            <c:errValType val="cust"/>
            <c:noEndCap val="0"/>
            <c:plus>
              <c:numRef>
                <c:f>'Monthly Fe Transport'!$V$33:$V$36</c:f>
                <c:numCache>
                  <c:formatCode>General</c:formatCode>
                  <c:ptCount val="4"/>
                  <c:pt idx="0">
                    <c:v>1.6823591299691147</c:v>
                  </c:pt>
                  <c:pt idx="1">
                    <c:v>1.2849230098639202</c:v>
                  </c:pt>
                  <c:pt idx="2">
                    <c:v>0.84117956498455737</c:v>
                  </c:pt>
                  <c:pt idx="3">
                    <c:v>1.4569657448419397</c:v>
                  </c:pt>
                </c:numCache>
              </c:numRef>
            </c:plus>
            <c:minus>
              <c:numRef>
                <c:f>'Monthly Fe Transport'!$V$33:$V$36</c:f>
                <c:numCache>
                  <c:formatCode>General</c:formatCode>
                  <c:ptCount val="4"/>
                  <c:pt idx="0">
                    <c:v>1.6823591299691147</c:v>
                  </c:pt>
                  <c:pt idx="1">
                    <c:v>1.2849230098639202</c:v>
                  </c:pt>
                  <c:pt idx="2">
                    <c:v>0.84117956498455737</c:v>
                  </c:pt>
                  <c:pt idx="3">
                    <c:v>1.4569657448419397</c:v>
                  </c:pt>
                </c:numCache>
              </c:numRef>
            </c:minus>
            <c:spPr>
              <a:noFill/>
              <a:ln w="9525" cap="flat" cmpd="sng" algn="ctr">
                <a:solidFill>
                  <a:schemeClr val="tx1">
                    <a:lumMod val="65000"/>
                    <a:lumOff val="35000"/>
                  </a:schemeClr>
                </a:solidFill>
                <a:round/>
              </a:ln>
              <a:effectLst/>
            </c:spPr>
          </c:errBars>
          <c:cat>
            <c:strRef>
              <c:f>'Monthly Fe Transport'!$T$26:$T$29</c:f>
              <c:strCache>
                <c:ptCount val="4"/>
                <c:pt idx="0">
                  <c:v>Spring (M,A,M)</c:v>
                </c:pt>
                <c:pt idx="1">
                  <c:v>Summer (J,J,A)</c:v>
                </c:pt>
                <c:pt idx="2">
                  <c:v>Fall (S,O,N)</c:v>
                </c:pt>
                <c:pt idx="3">
                  <c:v>Winter (D,J,F)</c:v>
                </c:pt>
              </c:strCache>
            </c:strRef>
          </c:cat>
          <c:val>
            <c:numRef>
              <c:f>'Monthly Fe Transport'!$V$26:$V$29</c:f>
              <c:numCache>
                <c:formatCode>0.00</c:formatCode>
                <c:ptCount val="4"/>
                <c:pt idx="0">
                  <c:v>3.3647182599382304</c:v>
                </c:pt>
                <c:pt idx="1">
                  <c:v>2.2431455066254866</c:v>
                </c:pt>
                <c:pt idx="2">
                  <c:v>1.6823591299691152</c:v>
                </c:pt>
                <c:pt idx="3">
                  <c:v>1.6823591299691147</c:v>
                </c:pt>
              </c:numCache>
            </c:numRef>
          </c:val>
          <c:extLst>
            <c:ext xmlns:c16="http://schemas.microsoft.com/office/drawing/2014/chart" uri="{C3380CC4-5D6E-409C-BE32-E72D297353CC}">
              <c16:uniqueId val="{00000001-2A0C-4B43-8077-CC852CA08D74}"/>
            </c:ext>
          </c:extLst>
        </c:ser>
        <c:ser>
          <c:idx val="2"/>
          <c:order val="2"/>
          <c:tx>
            <c:strRef>
              <c:f>'Monthly Fe Transport'!$W$25</c:f>
              <c:strCache>
                <c:ptCount val="1"/>
                <c:pt idx="0">
                  <c:v>2.00-2.99</c:v>
                </c:pt>
              </c:strCache>
            </c:strRef>
          </c:tx>
          <c:spPr>
            <a:solidFill>
              <a:schemeClr val="accent3"/>
            </a:solidFill>
            <a:ln>
              <a:noFill/>
            </a:ln>
            <a:effectLst/>
          </c:spPr>
          <c:invertIfNegative val="0"/>
          <c:errBars>
            <c:errBarType val="both"/>
            <c:errValType val="cust"/>
            <c:noEndCap val="0"/>
            <c:plus>
              <c:numRef>
                <c:f>'Monthly Fe Transport'!$W$33:$W$36</c:f>
                <c:numCache>
                  <c:formatCode>General</c:formatCode>
                  <c:ptCount val="4"/>
                  <c:pt idx="0">
                    <c:v>1.2774233146725913</c:v>
                  </c:pt>
                  <c:pt idx="1">
                    <c:v>0.96564125987985283</c:v>
                  </c:pt>
                  <c:pt idx="2">
                    <c:v>1.4484618898197783</c:v>
                  </c:pt>
                  <c:pt idx="3">
                    <c:v>0</c:v>
                  </c:pt>
                </c:numCache>
              </c:numRef>
            </c:plus>
            <c:minus>
              <c:numRef>
                <c:f>'Monthly Fe Transport'!$W$33:$W$36</c:f>
                <c:numCache>
                  <c:formatCode>General</c:formatCode>
                  <c:ptCount val="4"/>
                  <c:pt idx="0">
                    <c:v>1.2774233146725913</c:v>
                  </c:pt>
                  <c:pt idx="1">
                    <c:v>0.96564125987985283</c:v>
                  </c:pt>
                  <c:pt idx="2">
                    <c:v>1.4484618898197783</c:v>
                  </c:pt>
                  <c:pt idx="3">
                    <c:v>0</c:v>
                  </c:pt>
                </c:numCache>
              </c:numRef>
            </c:minus>
            <c:spPr>
              <a:noFill/>
              <a:ln w="9525" cap="flat" cmpd="sng" algn="ctr">
                <a:solidFill>
                  <a:schemeClr val="tx1">
                    <a:lumMod val="65000"/>
                    <a:lumOff val="35000"/>
                  </a:schemeClr>
                </a:solidFill>
                <a:round/>
              </a:ln>
              <a:effectLst/>
            </c:spPr>
          </c:errBars>
          <c:cat>
            <c:strRef>
              <c:f>'Monthly Fe Transport'!$T$26:$T$29</c:f>
              <c:strCache>
                <c:ptCount val="4"/>
                <c:pt idx="0">
                  <c:v>Spring (M,A,M)</c:v>
                </c:pt>
                <c:pt idx="1">
                  <c:v>Summer (J,J,A)</c:v>
                </c:pt>
                <c:pt idx="2">
                  <c:v>Fall (S,O,N)</c:v>
                </c:pt>
                <c:pt idx="3">
                  <c:v>Winter (D,J,F)</c:v>
                </c:pt>
              </c:strCache>
            </c:strRef>
          </c:cat>
          <c:val>
            <c:numRef>
              <c:f>'Monthly Fe Transport'!$W$26:$W$29</c:f>
              <c:numCache>
                <c:formatCode>0.00</c:formatCode>
                <c:ptCount val="4"/>
                <c:pt idx="0">
                  <c:v>2.230052965328968</c:v>
                </c:pt>
                <c:pt idx="1">
                  <c:v>2.230052965328968</c:v>
                </c:pt>
                <c:pt idx="2">
                  <c:v>3.3450794479934522</c:v>
                </c:pt>
                <c:pt idx="3">
                  <c:v>0.83626986199836306</c:v>
                </c:pt>
              </c:numCache>
            </c:numRef>
          </c:val>
          <c:extLst>
            <c:ext xmlns:c16="http://schemas.microsoft.com/office/drawing/2014/chart" uri="{C3380CC4-5D6E-409C-BE32-E72D297353CC}">
              <c16:uniqueId val="{00000002-2A0C-4B43-8077-CC852CA08D74}"/>
            </c:ext>
          </c:extLst>
        </c:ser>
        <c:ser>
          <c:idx val="3"/>
          <c:order val="3"/>
          <c:tx>
            <c:strRef>
              <c:f>'Monthly Fe Transport'!$X$25</c:f>
              <c:strCache>
                <c:ptCount val="1"/>
                <c:pt idx="0">
                  <c:v>3.00-max</c:v>
                </c:pt>
              </c:strCache>
            </c:strRef>
          </c:tx>
          <c:spPr>
            <a:solidFill>
              <a:schemeClr val="accent4"/>
            </a:solidFill>
            <a:ln>
              <a:noFill/>
            </a:ln>
            <a:effectLst/>
          </c:spPr>
          <c:invertIfNegative val="0"/>
          <c:errBars>
            <c:errBarType val="both"/>
            <c:errValType val="cust"/>
            <c:noEndCap val="0"/>
            <c:plus>
              <c:numRef>
                <c:f>'Monthly Fe Transport'!$X$33:$X$36</c:f>
                <c:numCache>
                  <c:formatCode>General</c:formatCode>
                  <c:ptCount val="4"/>
                  <c:pt idx="0">
                    <c:v>1.9228855914309113</c:v>
                  </c:pt>
                  <c:pt idx="1">
                    <c:v>4.6725573487211216</c:v>
                  </c:pt>
                  <c:pt idx="2">
                    <c:v>0.72678243922221997</c:v>
                  </c:pt>
                  <c:pt idx="3">
                    <c:v>0</c:v>
                  </c:pt>
                </c:numCache>
              </c:numRef>
            </c:plus>
            <c:minus>
              <c:numRef>
                <c:f>'Monthly Fe Transport'!$X$33:$X$36</c:f>
                <c:numCache>
                  <c:formatCode>General</c:formatCode>
                  <c:ptCount val="4"/>
                  <c:pt idx="0">
                    <c:v>1.9228855914309113</c:v>
                  </c:pt>
                  <c:pt idx="1">
                    <c:v>4.6725573487211216</c:v>
                  </c:pt>
                  <c:pt idx="2">
                    <c:v>0.72678243922221997</c:v>
                  </c:pt>
                  <c:pt idx="3">
                    <c:v>0</c:v>
                  </c:pt>
                </c:numCache>
              </c:numRef>
            </c:minus>
            <c:spPr>
              <a:noFill/>
              <a:ln w="9525" cap="flat" cmpd="sng" algn="ctr">
                <a:solidFill>
                  <a:schemeClr val="tx1">
                    <a:lumMod val="65000"/>
                    <a:lumOff val="35000"/>
                  </a:schemeClr>
                </a:solidFill>
                <a:round/>
              </a:ln>
              <a:effectLst/>
            </c:spPr>
          </c:errBars>
          <c:cat>
            <c:strRef>
              <c:f>'Monthly Fe Transport'!$T$26:$T$29</c:f>
              <c:strCache>
                <c:ptCount val="4"/>
                <c:pt idx="0">
                  <c:v>Spring (M,A,M)</c:v>
                </c:pt>
                <c:pt idx="1">
                  <c:v>Summer (J,J,A)</c:v>
                </c:pt>
                <c:pt idx="2">
                  <c:v>Fall (S,O,N)</c:v>
                </c:pt>
                <c:pt idx="3">
                  <c:v>Winter (D,J,F)</c:v>
                </c:pt>
              </c:strCache>
            </c:strRef>
          </c:cat>
          <c:val>
            <c:numRef>
              <c:f>'Monthly Fe Transport'!$X$26:$X$29</c:f>
              <c:numCache>
                <c:formatCode>0.00</c:formatCode>
                <c:ptCount val="4"/>
                <c:pt idx="0">
                  <c:v>5.8142595137777642</c:v>
                </c:pt>
                <c:pt idx="1">
                  <c:v>4.8452162614814709</c:v>
                </c:pt>
                <c:pt idx="2">
                  <c:v>2.9071297568888821</c:v>
                </c:pt>
                <c:pt idx="3">
                  <c:v>1.453564878444441</c:v>
                </c:pt>
              </c:numCache>
            </c:numRef>
          </c:val>
          <c:extLst>
            <c:ext xmlns:c16="http://schemas.microsoft.com/office/drawing/2014/chart" uri="{C3380CC4-5D6E-409C-BE32-E72D297353CC}">
              <c16:uniqueId val="{00000003-2A0C-4B43-8077-CC852CA08D74}"/>
            </c:ext>
          </c:extLst>
        </c:ser>
        <c:dLbls>
          <c:showLegendKey val="0"/>
          <c:showVal val="0"/>
          <c:showCatName val="0"/>
          <c:showSerName val="0"/>
          <c:showPercent val="0"/>
          <c:showBubbleSize val="0"/>
        </c:dLbls>
        <c:gapWidth val="219"/>
        <c:overlap val="-27"/>
        <c:axId val="501701264"/>
        <c:axId val="501708152"/>
      </c:barChart>
      <c:catAx>
        <c:axId val="501701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Rainfall Intensity (cm/hr)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08152"/>
        <c:crosses val="autoZero"/>
        <c:auto val="1"/>
        <c:lblAlgn val="ctr"/>
        <c:lblOffset val="100"/>
        <c:noMultiLvlLbl val="0"/>
      </c:catAx>
      <c:valAx>
        <c:axId val="5017081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Iron Transported (kg/year)</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012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9330927384077"/>
          <c:y val="0.20916666666666667"/>
          <c:w val="0.80455796150481185"/>
          <c:h val="0.64176727909011377"/>
        </c:manualLayout>
      </c:layout>
      <c:barChart>
        <c:barDir val="col"/>
        <c:grouping val="clustered"/>
        <c:varyColors val="0"/>
        <c:ser>
          <c:idx val="0"/>
          <c:order val="0"/>
          <c:tx>
            <c:strRef>
              <c:f>'Monthly Fe Transport'!$G$94</c:f>
              <c:strCache>
                <c:ptCount val="1"/>
                <c:pt idx="0">
                  <c:v>J</c:v>
                </c:pt>
              </c:strCache>
            </c:strRef>
          </c:tx>
          <c:spPr>
            <a:solidFill>
              <a:schemeClr val="accent2"/>
            </a:solidFill>
            <a:ln>
              <a:noFill/>
            </a:ln>
            <a:effectLst/>
          </c:spPr>
          <c:invertIfNegative val="0"/>
          <c:cat>
            <c:numRef>
              <c:f>'Monthly Fe Transport'!$H$93:$J$93</c:f>
              <c:numCache>
                <c:formatCode>General</c:formatCode>
                <c:ptCount val="3"/>
                <c:pt idx="0">
                  <c:v>2011</c:v>
                </c:pt>
                <c:pt idx="1">
                  <c:v>2012</c:v>
                </c:pt>
                <c:pt idx="2">
                  <c:v>2013</c:v>
                </c:pt>
              </c:numCache>
            </c:numRef>
          </c:cat>
          <c:val>
            <c:numRef>
              <c:f>'Monthly Fe Transport'!$H$94:$J$94</c:f>
              <c:numCache>
                <c:formatCode>0.00</c:formatCode>
                <c:ptCount val="3"/>
                <c:pt idx="0">
                  <c:v>7.6296528926220955</c:v>
                </c:pt>
                <c:pt idx="1">
                  <c:v>6.1141433273411234</c:v>
                </c:pt>
                <c:pt idx="2">
                  <c:v>11.22596900359469</c:v>
                </c:pt>
              </c:numCache>
            </c:numRef>
          </c:val>
          <c:extLst>
            <c:ext xmlns:c16="http://schemas.microsoft.com/office/drawing/2014/chart" uri="{C3380CC4-5D6E-409C-BE32-E72D297353CC}">
              <c16:uniqueId val="{00000000-FA59-433E-A920-D350C4082CC0}"/>
            </c:ext>
          </c:extLst>
        </c:ser>
        <c:ser>
          <c:idx val="1"/>
          <c:order val="1"/>
          <c:tx>
            <c:strRef>
              <c:f>'Monthly Fe Transport'!$G$95</c:f>
              <c:strCache>
                <c:ptCount val="1"/>
                <c:pt idx="0">
                  <c:v>F </c:v>
                </c:pt>
              </c:strCache>
            </c:strRef>
          </c:tx>
          <c:spPr>
            <a:solidFill>
              <a:schemeClr val="accent2"/>
            </a:solidFill>
            <a:ln>
              <a:noFill/>
            </a:ln>
            <a:effectLst/>
          </c:spPr>
          <c:invertIfNegative val="0"/>
          <c:cat>
            <c:numRef>
              <c:f>'Monthly Fe Transport'!$H$93:$J$93</c:f>
              <c:numCache>
                <c:formatCode>General</c:formatCode>
                <c:ptCount val="3"/>
                <c:pt idx="0">
                  <c:v>2011</c:v>
                </c:pt>
                <c:pt idx="1">
                  <c:v>2012</c:v>
                </c:pt>
                <c:pt idx="2">
                  <c:v>2013</c:v>
                </c:pt>
              </c:numCache>
            </c:numRef>
          </c:cat>
          <c:val>
            <c:numRef>
              <c:f>'Monthly Fe Transport'!$H$95:$J$95</c:f>
              <c:numCache>
                <c:formatCode>0.00</c:formatCode>
                <c:ptCount val="3"/>
                <c:pt idx="0">
                  <c:v>9.2138329095769791</c:v>
                </c:pt>
                <c:pt idx="1">
                  <c:v>18.004503592118297</c:v>
                </c:pt>
                <c:pt idx="2">
                  <c:v>18.103597872890131</c:v>
                </c:pt>
              </c:numCache>
            </c:numRef>
          </c:val>
          <c:extLst>
            <c:ext xmlns:c16="http://schemas.microsoft.com/office/drawing/2014/chart" uri="{C3380CC4-5D6E-409C-BE32-E72D297353CC}">
              <c16:uniqueId val="{00000001-FA59-433E-A920-D350C4082CC0}"/>
            </c:ext>
          </c:extLst>
        </c:ser>
        <c:ser>
          <c:idx val="2"/>
          <c:order val="2"/>
          <c:tx>
            <c:strRef>
              <c:f>'Monthly Fe Transport'!$G$96</c:f>
              <c:strCache>
                <c:ptCount val="1"/>
                <c:pt idx="0">
                  <c:v>M </c:v>
                </c:pt>
              </c:strCache>
            </c:strRef>
          </c:tx>
          <c:spPr>
            <a:solidFill>
              <a:schemeClr val="accent2"/>
            </a:solidFill>
            <a:ln>
              <a:noFill/>
            </a:ln>
            <a:effectLst/>
          </c:spPr>
          <c:invertIfNegative val="0"/>
          <c:cat>
            <c:numRef>
              <c:f>'Monthly Fe Transport'!$H$93:$J$93</c:f>
              <c:numCache>
                <c:formatCode>General</c:formatCode>
                <c:ptCount val="3"/>
                <c:pt idx="0">
                  <c:v>2011</c:v>
                </c:pt>
                <c:pt idx="1">
                  <c:v>2012</c:v>
                </c:pt>
                <c:pt idx="2">
                  <c:v>2013</c:v>
                </c:pt>
              </c:numCache>
            </c:numRef>
          </c:cat>
          <c:val>
            <c:numRef>
              <c:f>'Monthly Fe Transport'!$H$96:$J$96</c:f>
              <c:numCache>
                <c:formatCode>0.00</c:formatCode>
                <c:ptCount val="3"/>
                <c:pt idx="0">
                  <c:v>16.318832369377997</c:v>
                </c:pt>
                <c:pt idx="1">
                  <c:v>11.890360264777174</c:v>
                </c:pt>
                <c:pt idx="2">
                  <c:v>14.73225542740953</c:v>
                </c:pt>
              </c:numCache>
            </c:numRef>
          </c:val>
          <c:extLst>
            <c:ext xmlns:c16="http://schemas.microsoft.com/office/drawing/2014/chart" uri="{C3380CC4-5D6E-409C-BE32-E72D297353CC}">
              <c16:uniqueId val="{00000002-FA59-433E-A920-D350C4082CC0}"/>
            </c:ext>
          </c:extLst>
        </c:ser>
        <c:ser>
          <c:idx val="3"/>
          <c:order val="3"/>
          <c:tx>
            <c:strRef>
              <c:f>'Monthly Fe Transport'!$G$97</c:f>
              <c:strCache>
                <c:ptCount val="1"/>
                <c:pt idx="0">
                  <c:v>A</c:v>
                </c:pt>
              </c:strCache>
            </c:strRef>
          </c:tx>
          <c:spPr>
            <a:solidFill>
              <a:schemeClr val="accent2"/>
            </a:solidFill>
            <a:ln>
              <a:noFill/>
            </a:ln>
            <a:effectLst/>
          </c:spPr>
          <c:invertIfNegative val="0"/>
          <c:cat>
            <c:numRef>
              <c:f>'Monthly Fe Transport'!$H$93:$J$93</c:f>
              <c:numCache>
                <c:formatCode>General</c:formatCode>
                <c:ptCount val="3"/>
                <c:pt idx="0">
                  <c:v>2011</c:v>
                </c:pt>
                <c:pt idx="1">
                  <c:v>2012</c:v>
                </c:pt>
                <c:pt idx="2">
                  <c:v>2013</c:v>
                </c:pt>
              </c:numCache>
            </c:numRef>
          </c:cat>
          <c:val>
            <c:numRef>
              <c:f>'Monthly Fe Transport'!$H$97:$J$97</c:f>
              <c:numCache>
                <c:formatCode>0.00</c:formatCode>
                <c:ptCount val="3"/>
                <c:pt idx="0">
                  <c:v>8.8454826905739861</c:v>
                </c:pt>
                <c:pt idx="1">
                  <c:v>10.048385828218791</c:v>
                </c:pt>
                <c:pt idx="2">
                  <c:v>13.139010816840567</c:v>
                </c:pt>
              </c:numCache>
            </c:numRef>
          </c:val>
          <c:extLst>
            <c:ext xmlns:c16="http://schemas.microsoft.com/office/drawing/2014/chart" uri="{C3380CC4-5D6E-409C-BE32-E72D297353CC}">
              <c16:uniqueId val="{00000003-FA59-433E-A920-D350C4082CC0}"/>
            </c:ext>
          </c:extLst>
        </c:ser>
        <c:ser>
          <c:idx val="4"/>
          <c:order val="4"/>
          <c:tx>
            <c:strRef>
              <c:f>'Monthly Fe Transport'!$G$98</c:f>
              <c:strCache>
                <c:ptCount val="1"/>
                <c:pt idx="0">
                  <c:v>M </c:v>
                </c:pt>
              </c:strCache>
            </c:strRef>
          </c:tx>
          <c:spPr>
            <a:solidFill>
              <a:schemeClr val="accent2"/>
            </a:solidFill>
            <a:ln>
              <a:noFill/>
            </a:ln>
            <a:effectLst/>
          </c:spPr>
          <c:invertIfNegative val="0"/>
          <c:cat>
            <c:numRef>
              <c:f>'Monthly Fe Transport'!$H$93:$J$93</c:f>
              <c:numCache>
                <c:formatCode>General</c:formatCode>
                <c:ptCount val="3"/>
                <c:pt idx="0">
                  <c:v>2011</c:v>
                </c:pt>
                <c:pt idx="1">
                  <c:v>2012</c:v>
                </c:pt>
                <c:pt idx="2">
                  <c:v>2013</c:v>
                </c:pt>
              </c:numCache>
            </c:numRef>
          </c:cat>
          <c:val>
            <c:numRef>
              <c:f>'Monthly Fe Transport'!$H$98:$J$98</c:f>
              <c:numCache>
                <c:formatCode>0.00</c:formatCode>
                <c:ptCount val="3"/>
                <c:pt idx="0">
                  <c:v>24.017155713674004</c:v>
                </c:pt>
                <c:pt idx="1">
                  <c:v>7.0011113290020202</c:v>
                </c:pt>
                <c:pt idx="2">
                  <c:v>14.954832167887943</c:v>
                </c:pt>
              </c:numCache>
            </c:numRef>
          </c:val>
          <c:extLst>
            <c:ext xmlns:c16="http://schemas.microsoft.com/office/drawing/2014/chart" uri="{C3380CC4-5D6E-409C-BE32-E72D297353CC}">
              <c16:uniqueId val="{00000004-FA59-433E-A920-D350C4082CC0}"/>
            </c:ext>
          </c:extLst>
        </c:ser>
        <c:ser>
          <c:idx val="5"/>
          <c:order val="5"/>
          <c:tx>
            <c:strRef>
              <c:f>'Monthly Fe Transport'!$G$99</c:f>
              <c:strCache>
                <c:ptCount val="1"/>
                <c:pt idx="0">
                  <c:v>J </c:v>
                </c:pt>
              </c:strCache>
            </c:strRef>
          </c:tx>
          <c:spPr>
            <a:solidFill>
              <a:schemeClr val="accent2"/>
            </a:solidFill>
            <a:ln>
              <a:noFill/>
            </a:ln>
            <a:effectLst/>
          </c:spPr>
          <c:invertIfNegative val="0"/>
          <c:cat>
            <c:numRef>
              <c:f>'Monthly Fe Transport'!$H$93:$J$93</c:f>
              <c:numCache>
                <c:formatCode>General</c:formatCode>
                <c:ptCount val="3"/>
                <c:pt idx="0">
                  <c:v>2011</c:v>
                </c:pt>
                <c:pt idx="1">
                  <c:v>2012</c:v>
                </c:pt>
                <c:pt idx="2">
                  <c:v>2013</c:v>
                </c:pt>
              </c:numCache>
            </c:numRef>
          </c:cat>
          <c:val>
            <c:numRef>
              <c:f>'Monthly Fe Transport'!$H$99:$J$99</c:f>
              <c:numCache>
                <c:formatCode>0.00</c:formatCode>
                <c:ptCount val="3"/>
                <c:pt idx="0">
                  <c:v>13.576031487517474</c:v>
                </c:pt>
                <c:pt idx="1">
                  <c:v>5.2819873337128946</c:v>
                </c:pt>
                <c:pt idx="2">
                  <c:v>18.240938776237954</c:v>
                </c:pt>
              </c:numCache>
            </c:numRef>
          </c:val>
          <c:extLst>
            <c:ext xmlns:c16="http://schemas.microsoft.com/office/drawing/2014/chart" uri="{C3380CC4-5D6E-409C-BE32-E72D297353CC}">
              <c16:uniqueId val="{00000005-FA59-433E-A920-D350C4082CC0}"/>
            </c:ext>
          </c:extLst>
        </c:ser>
        <c:ser>
          <c:idx val="6"/>
          <c:order val="6"/>
          <c:tx>
            <c:strRef>
              <c:f>'Monthly Fe Transport'!$G$100</c:f>
              <c:strCache>
                <c:ptCount val="1"/>
                <c:pt idx="0">
                  <c:v>J </c:v>
                </c:pt>
              </c:strCache>
            </c:strRef>
          </c:tx>
          <c:spPr>
            <a:solidFill>
              <a:schemeClr val="accent2"/>
            </a:solidFill>
            <a:ln>
              <a:noFill/>
            </a:ln>
            <a:effectLst/>
          </c:spPr>
          <c:invertIfNegative val="0"/>
          <c:cat>
            <c:numRef>
              <c:f>'Monthly Fe Transport'!$H$93:$J$93</c:f>
              <c:numCache>
                <c:formatCode>General</c:formatCode>
                <c:ptCount val="3"/>
                <c:pt idx="0">
                  <c:v>2011</c:v>
                </c:pt>
                <c:pt idx="1">
                  <c:v>2012</c:v>
                </c:pt>
                <c:pt idx="2">
                  <c:v>2013</c:v>
                </c:pt>
              </c:numCache>
            </c:numRef>
          </c:cat>
          <c:val>
            <c:numRef>
              <c:f>'Monthly Fe Transport'!$H$100:$J$100</c:f>
              <c:numCache>
                <c:formatCode>0.00</c:formatCode>
                <c:ptCount val="3"/>
                <c:pt idx="0">
                  <c:v>6.3719377469446226</c:v>
                </c:pt>
                <c:pt idx="1">
                  <c:v>4.7525400508646527</c:v>
                </c:pt>
                <c:pt idx="2">
                  <c:v>8.7415945597749882</c:v>
                </c:pt>
              </c:numCache>
            </c:numRef>
          </c:val>
          <c:extLst>
            <c:ext xmlns:c16="http://schemas.microsoft.com/office/drawing/2014/chart" uri="{C3380CC4-5D6E-409C-BE32-E72D297353CC}">
              <c16:uniqueId val="{00000006-FA59-433E-A920-D350C4082CC0}"/>
            </c:ext>
          </c:extLst>
        </c:ser>
        <c:ser>
          <c:idx val="7"/>
          <c:order val="7"/>
          <c:tx>
            <c:strRef>
              <c:f>'Monthly Fe Transport'!$G$101</c:f>
              <c:strCache>
                <c:ptCount val="1"/>
                <c:pt idx="0">
                  <c:v>A</c:v>
                </c:pt>
              </c:strCache>
            </c:strRef>
          </c:tx>
          <c:spPr>
            <a:solidFill>
              <a:schemeClr val="accent2"/>
            </a:solidFill>
            <a:ln>
              <a:noFill/>
            </a:ln>
            <a:effectLst/>
          </c:spPr>
          <c:invertIfNegative val="0"/>
          <c:cat>
            <c:numRef>
              <c:f>'Monthly Fe Transport'!$H$93:$J$93</c:f>
              <c:numCache>
                <c:formatCode>General</c:formatCode>
                <c:ptCount val="3"/>
                <c:pt idx="0">
                  <c:v>2011</c:v>
                </c:pt>
                <c:pt idx="1">
                  <c:v>2012</c:v>
                </c:pt>
                <c:pt idx="2">
                  <c:v>2013</c:v>
                </c:pt>
              </c:numCache>
            </c:numRef>
          </c:cat>
          <c:val>
            <c:numRef>
              <c:f>'Monthly Fe Transport'!$H$101:$J$101</c:f>
              <c:numCache>
                <c:formatCode>0.00</c:formatCode>
                <c:ptCount val="3"/>
                <c:pt idx="0">
                  <c:v>8.2825826351769187</c:v>
                </c:pt>
                <c:pt idx="1">
                  <c:v>19.758845266532507</c:v>
                </c:pt>
                <c:pt idx="2">
                  <c:v>12.777328266438071</c:v>
                </c:pt>
              </c:numCache>
            </c:numRef>
          </c:val>
          <c:extLst>
            <c:ext xmlns:c16="http://schemas.microsoft.com/office/drawing/2014/chart" uri="{C3380CC4-5D6E-409C-BE32-E72D297353CC}">
              <c16:uniqueId val="{00000007-FA59-433E-A920-D350C4082CC0}"/>
            </c:ext>
          </c:extLst>
        </c:ser>
        <c:ser>
          <c:idx val="8"/>
          <c:order val="8"/>
          <c:tx>
            <c:strRef>
              <c:f>'Monthly Fe Transport'!$G$102</c:f>
              <c:strCache>
                <c:ptCount val="1"/>
                <c:pt idx="0">
                  <c:v>S </c:v>
                </c:pt>
              </c:strCache>
            </c:strRef>
          </c:tx>
          <c:spPr>
            <a:solidFill>
              <a:schemeClr val="accent2"/>
            </a:solidFill>
            <a:ln>
              <a:noFill/>
            </a:ln>
            <a:effectLst/>
          </c:spPr>
          <c:invertIfNegative val="0"/>
          <c:cat>
            <c:numRef>
              <c:f>'Monthly Fe Transport'!$H$93:$J$93</c:f>
              <c:numCache>
                <c:formatCode>General</c:formatCode>
                <c:ptCount val="3"/>
                <c:pt idx="0">
                  <c:v>2011</c:v>
                </c:pt>
                <c:pt idx="1">
                  <c:v>2012</c:v>
                </c:pt>
                <c:pt idx="2">
                  <c:v>2013</c:v>
                </c:pt>
              </c:numCache>
            </c:numRef>
          </c:cat>
          <c:val>
            <c:numRef>
              <c:f>'Monthly Fe Transport'!$H$102:$J$102</c:f>
              <c:numCache>
                <c:formatCode>0.00</c:formatCode>
                <c:ptCount val="3"/>
                <c:pt idx="0">
                  <c:v>10.204689042036875</c:v>
                </c:pt>
                <c:pt idx="1">
                  <c:v>14.992446772026613</c:v>
                </c:pt>
                <c:pt idx="2">
                  <c:v>11.890360264777174</c:v>
                </c:pt>
              </c:numCache>
            </c:numRef>
          </c:val>
          <c:extLst>
            <c:ext xmlns:c16="http://schemas.microsoft.com/office/drawing/2014/chart" uri="{C3380CC4-5D6E-409C-BE32-E72D297353CC}">
              <c16:uniqueId val="{00000008-FA59-433E-A920-D350C4082CC0}"/>
            </c:ext>
          </c:extLst>
        </c:ser>
        <c:ser>
          <c:idx val="9"/>
          <c:order val="9"/>
          <c:tx>
            <c:strRef>
              <c:f>'Monthly Fe Transport'!$G$103</c:f>
              <c:strCache>
                <c:ptCount val="1"/>
                <c:pt idx="0">
                  <c:v>O </c:v>
                </c:pt>
              </c:strCache>
            </c:strRef>
          </c:tx>
          <c:spPr>
            <a:solidFill>
              <a:schemeClr val="accent2"/>
            </a:solidFill>
            <a:ln>
              <a:noFill/>
            </a:ln>
            <a:effectLst/>
          </c:spPr>
          <c:invertIfNegative val="0"/>
          <c:cat>
            <c:numRef>
              <c:f>'Monthly Fe Transport'!$H$93:$J$93</c:f>
              <c:numCache>
                <c:formatCode>General</c:formatCode>
                <c:ptCount val="3"/>
                <c:pt idx="0">
                  <c:v>2011</c:v>
                </c:pt>
                <c:pt idx="1">
                  <c:v>2012</c:v>
                </c:pt>
                <c:pt idx="2">
                  <c:v>2013</c:v>
                </c:pt>
              </c:numCache>
            </c:numRef>
          </c:cat>
          <c:val>
            <c:numRef>
              <c:f>'Monthly Fe Transport'!$H$103:$J$103</c:f>
              <c:numCache>
                <c:formatCode>0.00</c:formatCode>
                <c:ptCount val="3"/>
                <c:pt idx="0">
                  <c:v>5.1142226012671497</c:v>
                </c:pt>
                <c:pt idx="1">
                  <c:v>4.7525400508646527</c:v>
                </c:pt>
                <c:pt idx="2">
                  <c:v>15.980905979472926</c:v>
                </c:pt>
              </c:numCache>
            </c:numRef>
          </c:val>
          <c:extLst>
            <c:ext xmlns:c16="http://schemas.microsoft.com/office/drawing/2014/chart" uri="{C3380CC4-5D6E-409C-BE32-E72D297353CC}">
              <c16:uniqueId val="{00000009-FA59-433E-A920-D350C4082CC0}"/>
            </c:ext>
          </c:extLst>
        </c:ser>
        <c:ser>
          <c:idx val="10"/>
          <c:order val="10"/>
          <c:tx>
            <c:strRef>
              <c:f>'Monthly Fe Transport'!$G$104</c:f>
              <c:strCache>
                <c:ptCount val="1"/>
                <c:pt idx="0">
                  <c:v>N </c:v>
                </c:pt>
              </c:strCache>
            </c:strRef>
          </c:tx>
          <c:spPr>
            <a:solidFill>
              <a:schemeClr val="accent2"/>
            </a:solidFill>
            <a:ln>
              <a:noFill/>
            </a:ln>
            <a:effectLst/>
          </c:spPr>
          <c:invertIfNegative val="0"/>
          <c:cat>
            <c:numRef>
              <c:f>'Monthly Fe Transport'!$H$93:$J$93</c:f>
              <c:numCache>
                <c:formatCode>General</c:formatCode>
                <c:ptCount val="3"/>
                <c:pt idx="0">
                  <c:v>2011</c:v>
                </c:pt>
                <c:pt idx="1">
                  <c:v>2012</c:v>
                </c:pt>
                <c:pt idx="2">
                  <c:v>2013</c:v>
                </c:pt>
              </c:numCache>
            </c:numRef>
          </c:cat>
          <c:val>
            <c:numRef>
              <c:f>'Monthly Fe Transport'!$H$104:$J$104</c:f>
              <c:numCache>
                <c:formatCode>0.00</c:formatCode>
                <c:ptCount val="3"/>
                <c:pt idx="0">
                  <c:v>22.196540512599462</c:v>
                </c:pt>
                <c:pt idx="1">
                  <c:v>2.674130430186612</c:v>
                </c:pt>
                <c:pt idx="2">
                  <c:v>9.4740242541940614</c:v>
                </c:pt>
              </c:numCache>
            </c:numRef>
          </c:val>
          <c:extLst>
            <c:ext xmlns:c16="http://schemas.microsoft.com/office/drawing/2014/chart" uri="{C3380CC4-5D6E-409C-BE32-E72D297353CC}">
              <c16:uniqueId val="{0000000A-FA59-433E-A920-D350C4082CC0}"/>
            </c:ext>
          </c:extLst>
        </c:ser>
        <c:ser>
          <c:idx val="11"/>
          <c:order val="11"/>
          <c:tx>
            <c:strRef>
              <c:f>'Monthly Fe Transport'!$G$105</c:f>
              <c:strCache>
                <c:ptCount val="1"/>
                <c:pt idx="0">
                  <c:v>D </c:v>
                </c:pt>
              </c:strCache>
            </c:strRef>
          </c:tx>
          <c:spPr>
            <a:solidFill>
              <a:schemeClr val="accent2"/>
            </a:solidFill>
            <a:ln>
              <a:noFill/>
            </a:ln>
            <a:effectLst/>
          </c:spPr>
          <c:invertIfNegative val="0"/>
          <c:cat>
            <c:numRef>
              <c:f>'Monthly Fe Transport'!$H$93:$J$93</c:f>
              <c:numCache>
                <c:formatCode>General</c:formatCode>
                <c:ptCount val="3"/>
                <c:pt idx="0">
                  <c:v>2011</c:v>
                </c:pt>
                <c:pt idx="1">
                  <c:v>2012</c:v>
                </c:pt>
                <c:pt idx="2">
                  <c:v>2013</c:v>
                </c:pt>
              </c:numCache>
            </c:numRef>
          </c:cat>
          <c:val>
            <c:numRef>
              <c:f>'Monthly Fe Transport'!$H$105:$J$105</c:f>
              <c:numCache>
                <c:formatCode>0.00</c:formatCode>
                <c:ptCount val="3"/>
                <c:pt idx="0">
                  <c:v>11.890360264777174</c:v>
                </c:pt>
                <c:pt idx="1">
                  <c:v>10.968174583991191</c:v>
                </c:pt>
                <c:pt idx="2">
                  <c:v>12.483684149272163</c:v>
                </c:pt>
              </c:numCache>
            </c:numRef>
          </c:val>
          <c:extLst>
            <c:ext xmlns:c16="http://schemas.microsoft.com/office/drawing/2014/chart" uri="{C3380CC4-5D6E-409C-BE32-E72D297353CC}">
              <c16:uniqueId val="{0000000B-FA59-433E-A920-D350C4082CC0}"/>
            </c:ext>
          </c:extLst>
        </c:ser>
        <c:dLbls>
          <c:showLegendKey val="0"/>
          <c:showVal val="0"/>
          <c:showCatName val="0"/>
          <c:showSerName val="0"/>
          <c:showPercent val="0"/>
          <c:showBubbleSize val="0"/>
        </c:dLbls>
        <c:gapWidth val="219"/>
        <c:overlap val="-27"/>
        <c:axId val="537624016"/>
        <c:axId val="537626968"/>
      </c:barChart>
      <c:catAx>
        <c:axId val="53762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b"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537626968"/>
        <c:crosses val="autoZero"/>
        <c:auto val="1"/>
        <c:lblAlgn val="ctr"/>
        <c:lblOffset val="500"/>
        <c:noMultiLvlLbl val="0"/>
      </c:catAx>
      <c:valAx>
        <c:axId val="5376269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Iron (kg)</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7624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45584829577963"/>
          <c:y val="4.1938490214352281E-2"/>
          <c:w val="0.85506700100621291"/>
          <c:h val="0.63523567009855364"/>
        </c:manualLayout>
      </c:layout>
      <c:barChart>
        <c:barDir val="col"/>
        <c:grouping val="clustered"/>
        <c:varyColors val="0"/>
        <c:ser>
          <c:idx val="0"/>
          <c:order val="0"/>
          <c:tx>
            <c:strRef>
              <c:f>'Monthly Fe Transport'!$U$13</c:f>
              <c:strCache>
                <c:ptCount val="1"/>
                <c:pt idx="0">
                  <c:v>0.25-0.999</c:v>
                </c:pt>
              </c:strCache>
            </c:strRef>
          </c:tx>
          <c:spPr>
            <a:solidFill>
              <a:schemeClr val="accent1"/>
            </a:solidFill>
            <a:ln>
              <a:noFill/>
            </a:ln>
            <a:effectLst/>
          </c:spPr>
          <c:invertIfNegative val="0"/>
          <c:errBars>
            <c:errBarType val="both"/>
            <c:errValType val="cust"/>
            <c:noEndCap val="0"/>
            <c:plus>
              <c:numRef>
                <c:f>'Monthly Fe Transport'!$U$20:$U$23</c:f>
                <c:numCache>
                  <c:formatCode>General</c:formatCode>
                  <c:ptCount val="4"/>
                  <c:pt idx="0">
                    <c:v>10.127354095974257</c:v>
                  </c:pt>
                  <c:pt idx="1">
                    <c:v>4.4049821513787686</c:v>
                  </c:pt>
                  <c:pt idx="2">
                    <c:v>3.827780053862754</c:v>
                  </c:pt>
                  <c:pt idx="3">
                    <c:v>10.971926883405978</c:v>
                  </c:pt>
                </c:numCache>
              </c:numRef>
            </c:plus>
            <c:minus>
              <c:numRef>
                <c:f>'Monthly Fe Transport'!$U$20:$U$23</c:f>
                <c:numCache>
                  <c:formatCode>General</c:formatCode>
                  <c:ptCount val="4"/>
                  <c:pt idx="0">
                    <c:v>10.127354095974257</c:v>
                  </c:pt>
                  <c:pt idx="1">
                    <c:v>4.4049821513787686</c:v>
                  </c:pt>
                  <c:pt idx="2">
                    <c:v>3.827780053862754</c:v>
                  </c:pt>
                  <c:pt idx="3">
                    <c:v>10.971926883405978</c:v>
                  </c:pt>
                </c:numCache>
              </c:numRef>
            </c:minus>
            <c:spPr>
              <a:noFill/>
              <a:ln w="9525" cap="flat" cmpd="sng" algn="ctr">
                <a:solidFill>
                  <a:schemeClr val="tx1">
                    <a:lumMod val="65000"/>
                    <a:lumOff val="35000"/>
                  </a:schemeClr>
                </a:solidFill>
                <a:round/>
              </a:ln>
              <a:effectLst/>
            </c:spPr>
          </c:errBars>
          <c:cat>
            <c:strRef>
              <c:f>'Monthly Fe Transport'!$T$14:$T$17</c:f>
              <c:strCache>
                <c:ptCount val="4"/>
                <c:pt idx="0">
                  <c:v>Spring (M,A,M)</c:v>
                </c:pt>
                <c:pt idx="1">
                  <c:v>Summer (J,J,A)</c:v>
                </c:pt>
                <c:pt idx="2">
                  <c:v>Fall (S,O,N)</c:v>
                </c:pt>
                <c:pt idx="3">
                  <c:v>Winter (D,J,F)</c:v>
                </c:pt>
              </c:strCache>
            </c:strRef>
          </c:cat>
          <c:val>
            <c:numRef>
              <c:f>'Monthly Fe Transport'!$U$14:$U$17</c:f>
              <c:numCache>
                <c:formatCode>0.00</c:formatCode>
                <c:ptCount val="4"/>
                <c:pt idx="0">
                  <c:v>13.806038567601888</c:v>
                </c:pt>
                <c:pt idx="1">
                  <c:v>13.44272176319131</c:v>
                </c:pt>
                <c:pt idx="2">
                  <c:v>16.712573002886497</c:v>
                </c:pt>
                <c:pt idx="3">
                  <c:v>23.252275482276861</c:v>
                </c:pt>
              </c:numCache>
            </c:numRef>
          </c:val>
          <c:extLst>
            <c:ext xmlns:c16="http://schemas.microsoft.com/office/drawing/2014/chart" uri="{C3380CC4-5D6E-409C-BE32-E72D297353CC}">
              <c16:uniqueId val="{00000000-27EC-428B-9AC8-3E708EC1B555}"/>
            </c:ext>
          </c:extLst>
        </c:ser>
        <c:ser>
          <c:idx val="1"/>
          <c:order val="1"/>
          <c:tx>
            <c:strRef>
              <c:f>'Monthly Fe Transport'!$V$13</c:f>
              <c:strCache>
                <c:ptCount val="1"/>
                <c:pt idx="0">
                  <c:v>1.00-1.99</c:v>
                </c:pt>
              </c:strCache>
            </c:strRef>
          </c:tx>
          <c:spPr>
            <a:solidFill>
              <a:schemeClr val="accent2"/>
            </a:solidFill>
            <a:ln>
              <a:noFill/>
            </a:ln>
            <a:effectLst/>
          </c:spPr>
          <c:invertIfNegative val="0"/>
          <c:errBars>
            <c:errBarType val="both"/>
            <c:errValType val="cust"/>
            <c:noEndCap val="0"/>
            <c:plus>
              <c:numRef>
                <c:f>'Monthly Fe Transport'!$V$20:$V$23</c:f>
                <c:numCache>
                  <c:formatCode>General</c:formatCode>
                  <c:ptCount val="4"/>
                  <c:pt idx="0">
                    <c:v>10.048385828218793</c:v>
                  </c:pt>
                  <c:pt idx="1">
                    <c:v>7.6745814449890251</c:v>
                  </c:pt>
                  <c:pt idx="2">
                    <c:v>5.0241929141093964</c:v>
                  </c:pt>
                  <c:pt idx="3">
                    <c:v>8.7021573942650097</c:v>
                  </c:pt>
                </c:numCache>
              </c:numRef>
            </c:plus>
            <c:minus>
              <c:numRef>
                <c:f>'Monthly Fe Transport'!$V$20:$V$23</c:f>
                <c:numCache>
                  <c:formatCode>General</c:formatCode>
                  <c:ptCount val="4"/>
                  <c:pt idx="0">
                    <c:v>10.048385828218793</c:v>
                  </c:pt>
                  <c:pt idx="1">
                    <c:v>7.6745814449890251</c:v>
                  </c:pt>
                  <c:pt idx="2">
                    <c:v>5.0241929141093964</c:v>
                  </c:pt>
                  <c:pt idx="3">
                    <c:v>8.7021573942650097</c:v>
                  </c:pt>
                </c:numCache>
              </c:numRef>
            </c:minus>
            <c:spPr>
              <a:noFill/>
              <a:ln w="9525" cap="flat" cmpd="sng" algn="ctr">
                <a:solidFill>
                  <a:schemeClr val="tx1">
                    <a:lumMod val="65000"/>
                    <a:lumOff val="35000"/>
                  </a:schemeClr>
                </a:solidFill>
                <a:round/>
              </a:ln>
              <a:effectLst/>
            </c:spPr>
          </c:errBars>
          <c:cat>
            <c:strRef>
              <c:f>'Monthly Fe Transport'!$T$14:$T$17</c:f>
              <c:strCache>
                <c:ptCount val="4"/>
                <c:pt idx="0">
                  <c:v>Spring (M,A,M)</c:v>
                </c:pt>
                <c:pt idx="1">
                  <c:v>Summer (J,J,A)</c:v>
                </c:pt>
                <c:pt idx="2">
                  <c:v>Fall (S,O,N)</c:v>
                </c:pt>
                <c:pt idx="3">
                  <c:v>Winter (D,J,F)</c:v>
                </c:pt>
              </c:strCache>
            </c:strRef>
          </c:cat>
          <c:val>
            <c:numRef>
              <c:f>'Monthly Fe Transport'!$V$14:$V$17</c:f>
              <c:numCache>
                <c:formatCode>0.00</c:formatCode>
                <c:ptCount val="4"/>
                <c:pt idx="0">
                  <c:v>20.096771656437582</c:v>
                </c:pt>
                <c:pt idx="1">
                  <c:v>13.397847770958387</c:v>
                </c:pt>
                <c:pt idx="2">
                  <c:v>10.048385828218791</c:v>
                </c:pt>
                <c:pt idx="3">
                  <c:v>10.048385828218791</c:v>
                </c:pt>
              </c:numCache>
            </c:numRef>
          </c:val>
          <c:extLst>
            <c:ext xmlns:c16="http://schemas.microsoft.com/office/drawing/2014/chart" uri="{C3380CC4-5D6E-409C-BE32-E72D297353CC}">
              <c16:uniqueId val="{00000001-27EC-428B-9AC8-3E708EC1B555}"/>
            </c:ext>
          </c:extLst>
        </c:ser>
        <c:ser>
          <c:idx val="2"/>
          <c:order val="2"/>
          <c:tx>
            <c:strRef>
              <c:f>'Monthly Fe Transport'!$W$13</c:f>
              <c:strCache>
                <c:ptCount val="1"/>
                <c:pt idx="0">
                  <c:v>2.00-2.99</c:v>
                </c:pt>
              </c:strCache>
            </c:strRef>
          </c:tx>
          <c:spPr>
            <a:solidFill>
              <a:schemeClr val="accent3"/>
            </a:solidFill>
            <a:ln>
              <a:noFill/>
            </a:ln>
            <a:effectLst/>
          </c:spPr>
          <c:invertIfNegative val="0"/>
          <c:errBars>
            <c:errBarType val="both"/>
            <c:errValType val="cust"/>
            <c:noEndCap val="0"/>
            <c:plus>
              <c:numRef>
                <c:f>'Monthly Fe Transport'!$W$20:$W$23</c:f>
                <c:numCache>
                  <c:formatCode>General</c:formatCode>
                  <c:ptCount val="4"/>
                  <c:pt idx="0">
                    <c:v>1.408661895668716</c:v>
                  </c:pt>
                  <c:pt idx="1">
                    <c:v>1.0648483020892119</c:v>
                  </c:pt>
                  <c:pt idx="2">
                    <c:v>1.5972724531338174</c:v>
                  </c:pt>
                  <c:pt idx="3">
                    <c:v>0</c:v>
                  </c:pt>
                </c:numCache>
              </c:numRef>
            </c:plus>
            <c:minus>
              <c:numRef>
                <c:f>'Monthly Fe Transport'!$W$20:$W$23</c:f>
                <c:numCache>
                  <c:formatCode>General</c:formatCode>
                  <c:ptCount val="4"/>
                  <c:pt idx="0">
                    <c:v>1.408661895668716</c:v>
                  </c:pt>
                  <c:pt idx="1">
                    <c:v>1.0648483020892119</c:v>
                  </c:pt>
                  <c:pt idx="2">
                    <c:v>1.5972724531338174</c:v>
                  </c:pt>
                  <c:pt idx="3">
                    <c:v>0</c:v>
                  </c:pt>
                </c:numCache>
              </c:numRef>
            </c:minus>
            <c:spPr>
              <a:noFill/>
              <a:ln w="9525" cap="flat" cmpd="sng" algn="ctr">
                <a:solidFill>
                  <a:schemeClr val="tx1">
                    <a:lumMod val="65000"/>
                    <a:lumOff val="35000"/>
                  </a:schemeClr>
                </a:solidFill>
                <a:round/>
              </a:ln>
              <a:effectLst/>
            </c:spPr>
          </c:errBars>
          <c:cat>
            <c:strRef>
              <c:f>'Monthly Fe Transport'!$T$14:$T$17</c:f>
              <c:strCache>
                <c:ptCount val="4"/>
                <c:pt idx="0">
                  <c:v>Spring (M,A,M)</c:v>
                </c:pt>
                <c:pt idx="1">
                  <c:v>Summer (J,J,A)</c:v>
                </c:pt>
                <c:pt idx="2">
                  <c:v>Fall (S,O,N)</c:v>
                </c:pt>
                <c:pt idx="3">
                  <c:v>Winter (D,J,F)</c:v>
                </c:pt>
              </c:strCache>
            </c:strRef>
          </c:cat>
          <c:val>
            <c:numRef>
              <c:f>'Monthly Fe Transport'!$W$14:$W$17</c:f>
              <c:numCache>
                <c:formatCode>0.00</c:formatCode>
                <c:ptCount val="4"/>
                <c:pt idx="0">
                  <c:v>2.4591618154292885</c:v>
                </c:pt>
                <c:pt idx="1">
                  <c:v>2.459161815429288</c:v>
                </c:pt>
                <c:pt idx="2">
                  <c:v>3.6887427231439323</c:v>
                </c:pt>
                <c:pt idx="3">
                  <c:v>0.92218568078598306</c:v>
                </c:pt>
              </c:numCache>
            </c:numRef>
          </c:val>
          <c:extLst>
            <c:ext xmlns:c16="http://schemas.microsoft.com/office/drawing/2014/chart" uri="{C3380CC4-5D6E-409C-BE32-E72D297353CC}">
              <c16:uniqueId val="{00000002-27EC-428B-9AC8-3E708EC1B555}"/>
            </c:ext>
          </c:extLst>
        </c:ser>
        <c:ser>
          <c:idx val="3"/>
          <c:order val="3"/>
          <c:tx>
            <c:strRef>
              <c:f>'Monthly Fe Transport'!$X$13</c:f>
              <c:strCache>
                <c:ptCount val="1"/>
                <c:pt idx="0">
                  <c:v>3.00-max</c:v>
                </c:pt>
              </c:strCache>
            </c:strRef>
          </c:tx>
          <c:spPr>
            <a:solidFill>
              <a:schemeClr val="accent4"/>
            </a:solidFill>
            <a:ln>
              <a:noFill/>
            </a:ln>
            <a:effectLst/>
          </c:spPr>
          <c:invertIfNegative val="0"/>
          <c:errBars>
            <c:errBarType val="both"/>
            <c:errValType val="cust"/>
            <c:noEndCap val="0"/>
            <c:plus>
              <c:numRef>
                <c:f>'Monthly Fe Transport'!$X$20:$X$23</c:f>
                <c:numCache>
                  <c:formatCode>General</c:formatCode>
                  <c:ptCount val="4"/>
                  <c:pt idx="0">
                    <c:v>1.3076086220174705</c:v>
                  </c:pt>
                  <c:pt idx="1">
                    <c:v>3.1774517960333744</c:v>
                  </c:pt>
                  <c:pt idx="2">
                    <c:v>0.49422960372315505</c:v>
                  </c:pt>
                  <c:pt idx="3">
                    <c:v>0</c:v>
                  </c:pt>
                </c:numCache>
              </c:numRef>
            </c:plus>
            <c:minus>
              <c:numRef>
                <c:f>'Monthly Fe Transport'!$X$20:$X$23</c:f>
                <c:numCache>
                  <c:formatCode>General</c:formatCode>
                  <c:ptCount val="4"/>
                  <c:pt idx="0">
                    <c:v>1.3076086220174705</c:v>
                  </c:pt>
                  <c:pt idx="1">
                    <c:v>3.1774517960333744</c:v>
                  </c:pt>
                  <c:pt idx="2">
                    <c:v>0.49422960372315505</c:v>
                  </c:pt>
                  <c:pt idx="3">
                    <c:v>0</c:v>
                  </c:pt>
                </c:numCache>
              </c:numRef>
            </c:minus>
            <c:spPr>
              <a:noFill/>
              <a:ln w="9525" cap="flat" cmpd="sng" algn="ctr">
                <a:solidFill>
                  <a:schemeClr val="tx1">
                    <a:lumMod val="65000"/>
                    <a:lumOff val="35000"/>
                  </a:schemeClr>
                </a:solidFill>
                <a:round/>
              </a:ln>
              <a:effectLst/>
            </c:spPr>
          </c:errBars>
          <c:cat>
            <c:strRef>
              <c:f>'Monthly Fe Transport'!$T$14:$T$17</c:f>
              <c:strCache>
                <c:ptCount val="4"/>
                <c:pt idx="0">
                  <c:v>Spring (M,A,M)</c:v>
                </c:pt>
                <c:pt idx="1">
                  <c:v>Summer (J,J,A)</c:v>
                </c:pt>
                <c:pt idx="2">
                  <c:v>Fall (S,O,N)</c:v>
                </c:pt>
                <c:pt idx="3">
                  <c:v>Winter (D,J,F)</c:v>
                </c:pt>
              </c:strCache>
            </c:strRef>
          </c:cat>
          <c:val>
            <c:numRef>
              <c:f>'Monthly Fe Transport'!$X$14:$X$17</c:f>
              <c:numCache>
                <c:formatCode>0.00</c:formatCode>
                <c:ptCount val="4"/>
                <c:pt idx="0">
                  <c:v>3.9538368297852493</c:v>
                </c:pt>
                <c:pt idx="1">
                  <c:v>3.2948640248210403</c:v>
                </c:pt>
                <c:pt idx="2">
                  <c:v>1.9769184148926247</c:v>
                </c:pt>
                <c:pt idx="3">
                  <c:v>0.98845920744631233</c:v>
                </c:pt>
              </c:numCache>
            </c:numRef>
          </c:val>
          <c:extLst>
            <c:ext xmlns:c16="http://schemas.microsoft.com/office/drawing/2014/chart" uri="{C3380CC4-5D6E-409C-BE32-E72D297353CC}">
              <c16:uniqueId val="{00000003-27EC-428B-9AC8-3E708EC1B555}"/>
            </c:ext>
          </c:extLst>
        </c:ser>
        <c:dLbls>
          <c:showLegendKey val="0"/>
          <c:showVal val="0"/>
          <c:showCatName val="0"/>
          <c:showSerName val="0"/>
          <c:showPercent val="0"/>
          <c:showBubbleSize val="0"/>
        </c:dLbls>
        <c:gapWidth val="219"/>
        <c:overlap val="-27"/>
        <c:axId val="501701264"/>
        <c:axId val="501708152"/>
      </c:barChart>
      <c:catAx>
        <c:axId val="501701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Rainfall Intensity (cm/hr)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08152"/>
        <c:crosses val="autoZero"/>
        <c:auto val="1"/>
        <c:lblAlgn val="ctr"/>
        <c:lblOffset val="100"/>
        <c:noMultiLvlLbl val="0"/>
      </c:catAx>
      <c:valAx>
        <c:axId val="5017081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Iron Transported (kg/year)</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012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275196034534474"/>
          <c:y val="0.20916662516243248"/>
          <c:w val="0.80455796150481185"/>
          <c:h val="0.64176727909011377"/>
        </c:manualLayout>
      </c:layout>
      <c:barChart>
        <c:barDir val="col"/>
        <c:grouping val="clustered"/>
        <c:varyColors val="0"/>
        <c:ser>
          <c:idx val="0"/>
          <c:order val="0"/>
          <c:tx>
            <c:strRef>
              <c:f>'[C1out 2011 - 2013 storm transport seasonal adjustment.xlsx]Monthy'!$G$100</c:f>
              <c:strCache>
                <c:ptCount val="1"/>
                <c:pt idx="0">
                  <c:v>J</c:v>
                </c:pt>
              </c:strCache>
            </c:strRef>
          </c:tx>
          <c:spPr>
            <a:solidFill>
              <a:schemeClr val="accent2"/>
            </a:solidFill>
            <a:ln>
              <a:noFill/>
            </a:ln>
            <a:effectLst/>
          </c:spPr>
          <c:invertIfNegative val="0"/>
          <c:cat>
            <c:numRef>
              <c:f>'[C1out 2011 - 2013 storm transport seasonal adjustment.xlsx]Monthy'!$H$99:$J$99</c:f>
              <c:numCache>
                <c:formatCode>General</c:formatCode>
                <c:ptCount val="3"/>
                <c:pt idx="0">
                  <c:v>2011</c:v>
                </c:pt>
                <c:pt idx="1">
                  <c:v>2012</c:v>
                </c:pt>
                <c:pt idx="2">
                  <c:v>2013</c:v>
                </c:pt>
              </c:numCache>
            </c:numRef>
          </c:cat>
          <c:val>
            <c:numRef>
              <c:f>'[C1out 2011 - 2013 storm transport seasonal adjustment.xlsx]Monthy'!$H$100:$J$100</c:f>
              <c:numCache>
                <c:formatCode>General</c:formatCode>
                <c:ptCount val="3"/>
                <c:pt idx="0">
                  <c:v>64.621619555090788</c:v>
                </c:pt>
                <c:pt idx="1">
                  <c:v>19.500091389928713</c:v>
                </c:pt>
                <c:pt idx="2">
                  <c:v>90.433582792755516</c:v>
                </c:pt>
              </c:numCache>
            </c:numRef>
          </c:val>
          <c:extLst>
            <c:ext xmlns:c16="http://schemas.microsoft.com/office/drawing/2014/chart" uri="{C3380CC4-5D6E-409C-BE32-E72D297353CC}">
              <c16:uniqueId val="{00000000-B0D6-48C1-9B6D-1370AFABCB73}"/>
            </c:ext>
          </c:extLst>
        </c:ser>
        <c:ser>
          <c:idx val="1"/>
          <c:order val="1"/>
          <c:tx>
            <c:strRef>
              <c:f>'[C1out 2011 - 2013 storm transport seasonal adjustment.xlsx]Monthy'!$G$101</c:f>
              <c:strCache>
                <c:ptCount val="1"/>
                <c:pt idx="0">
                  <c:v>F </c:v>
                </c:pt>
              </c:strCache>
            </c:strRef>
          </c:tx>
          <c:spPr>
            <a:solidFill>
              <a:schemeClr val="accent2"/>
            </a:solidFill>
            <a:ln>
              <a:noFill/>
            </a:ln>
            <a:effectLst/>
          </c:spPr>
          <c:invertIfNegative val="0"/>
          <c:cat>
            <c:numRef>
              <c:f>'[C1out 2011 - 2013 storm transport seasonal adjustment.xlsx]Monthy'!$H$99:$J$99</c:f>
              <c:numCache>
                <c:formatCode>General</c:formatCode>
                <c:ptCount val="3"/>
                <c:pt idx="0">
                  <c:v>2011</c:v>
                </c:pt>
                <c:pt idx="1">
                  <c:v>2012</c:v>
                </c:pt>
                <c:pt idx="2">
                  <c:v>2013</c:v>
                </c:pt>
              </c:numCache>
            </c:numRef>
          </c:cat>
          <c:val>
            <c:numRef>
              <c:f>'[C1out 2011 - 2013 storm transport seasonal adjustment.xlsx]Monthy'!$H$101:$J$101</c:f>
              <c:numCache>
                <c:formatCode>General</c:formatCode>
                <c:ptCount val="3"/>
                <c:pt idx="0">
                  <c:v>78.032641846995787</c:v>
                </c:pt>
                <c:pt idx="1">
                  <c:v>83.275465890405229</c:v>
                </c:pt>
                <c:pt idx="2">
                  <c:v>121.04835069078567</c:v>
                </c:pt>
              </c:numCache>
            </c:numRef>
          </c:val>
          <c:extLst>
            <c:ext xmlns:c16="http://schemas.microsoft.com/office/drawing/2014/chart" uri="{C3380CC4-5D6E-409C-BE32-E72D297353CC}">
              <c16:uniqueId val="{00000001-B0D6-48C1-9B6D-1370AFABCB73}"/>
            </c:ext>
          </c:extLst>
        </c:ser>
        <c:ser>
          <c:idx val="2"/>
          <c:order val="2"/>
          <c:tx>
            <c:strRef>
              <c:f>'[C1out 2011 - 2013 storm transport seasonal adjustment.xlsx]Monthy'!$G$102</c:f>
              <c:strCache>
                <c:ptCount val="1"/>
                <c:pt idx="0">
                  <c:v>M </c:v>
                </c:pt>
              </c:strCache>
            </c:strRef>
          </c:tx>
          <c:spPr>
            <a:solidFill>
              <a:schemeClr val="accent2"/>
            </a:solidFill>
            <a:ln>
              <a:noFill/>
            </a:ln>
            <a:effectLst/>
          </c:spPr>
          <c:invertIfNegative val="0"/>
          <c:cat>
            <c:numRef>
              <c:f>'[C1out 2011 - 2013 storm transport seasonal adjustment.xlsx]Monthy'!$H$99:$J$99</c:f>
              <c:numCache>
                <c:formatCode>General</c:formatCode>
                <c:ptCount val="3"/>
                <c:pt idx="0">
                  <c:v>2011</c:v>
                </c:pt>
                <c:pt idx="1">
                  <c:v>2012</c:v>
                </c:pt>
                <c:pt idx="2">
                  <c:v>2013</c:v>
                </c:pt>
              </c:numCache>
            </c:numRef>
          </c:cat>
          <c:val>
            <c:numRef>
              <c:f>'[C1out 2011 - 2013 storm transport seasonal adjustment.xlsx]Monthy'!$H$102:$J$102</c:f>
              <c:numCache>
                <c:formatCode>General</c:formatCode>
                <c:ptCount val="3"/>
                <c:pt idx="0">
                  <c:v>68.991508372985606</c:v>
                </c:pt>
                <c:pt idx="1">
                  <c:v>63.775374500476516</c:v>
                </c:pt>
                <c:pt idx="2">
                  <c:v>92.480435655946408</c:v>
                </c:pt>
              </c:numCache>
            </c:numRef>
          </c:val>
          <c:extLst>
            <c:ext xmlns:c16="http://schemas.microsoft.com/office/drawing/2014/chart" uri="{C3380CC4-5D6E-409C-BE32-E72D297353CC}">
              <c16:uniqueId val="{00000002-B0D6-48C1-9B6D-1370AFABCB73}"/>
            </c:ext>
          </c:extLst>
        </c:ser>
        <c:ser>
          <c:idx val="3"/>
          <c:order val="3"/>
          <c:tx>
            <c:strRef>
              <c:f>'[C1out 2011 - 2013 storm transport seasonal adjustment.xlsx]Monthy'!$G$103</c:f>
              <c:strCache>
                <c:ptCount val="1"/>
                <c:pt idx="0">
                  <c:v>A</c:v>
                </c:pt>
              </c:strCache>
            </c:strRef>
          </c:tx>
          <c:spPr>
            <a:solidFill>
              <a:schemeClr val="accent2"/>
            </a:solidFill>
            <a:ln>
              <a:noFill/>
            </a:ln>
            <a:effectLst/>
          </c:spPr>
          <c:invertIfNegative val="0"/>
          <c:cat>
            <c:numRef>
              <c:f>'[C1out 2011 - 2013 storm transport seasonal adjustment.xlsx]Monthy'!$H$99:$J$99</c:f>
              <c:numCache>
                <c:formatCode>General</c:formatCode>
                <c:ptCount val="3"/>
                <c:pt idx="0">
                  <c:v>2011</c:v>
                </c:pt>
                <c:pt idx="1">
                  <c:v>2012</c:v>
                </c:pt>
                <c:pt idx="2">
                  <c:v>2013</c:v>
                </c:pt>
              </c:numCache>
            </c:numRef>
          </c:cat>
          <c:val>
            <c:numRef>
              <c:f>'[C1out 2011 - 2013 storm transport seasonal adjustment.xlsx]Monthy'!$H$103:$J$103</c:f>
              <c:numCache>
                <c:formatCode>General</c:formatCode>
                <c:ptCount val="3"/>
                <c:pt idx="0">
                  <c:v>33.324442893977348</c:v>
                </c:pt>
                <c:pt idx="1">
                  <c:v>20.536862906974346</c:v>
                </c:pt>
                <c:pt idx="2">
                  <c:v>65.061638938134791</c:v>
                </c:pt>
              </c:numCache>
            </c:numRef>
          </c:val>
          <c:extLst>
            <c:ext xmlns:c16="http://schemas.microsoft.com/office/drawing/2014/chart" uri="{C3380CC4-5D6E-409C-BE32-E72D297353CC}">
              <c16:uniqueId val="{00000003-B0D6-48C1-9B6D-1370AFABCB73}"/>
            </c:ext>
          </c:extLst>
        </c:ser>
        <c:ser>
          <c:idx val="4"/>
          <c:order val="4"/>
          <c:tx>
            <c:strRef>
              <c:f>'[C1out 2011 - 2013 storm transport seasonal adjustment.xlsx]Monthy'!$G$104</c:f>
              <c:strCache>
                <c:ptCount val="1"/>
                <c:pt idx="0">
                  <c:v>M </c:v>
                </c:pt>
              </c:strCache>
            </c:strRef>
          </c:tx>
          <c:spPr>
            <a:solidFill>
              <a:schemeClr val="accent2"/>
            </a:solidFill>
            <a:ln>
              <a:noFill/>
            </a:ln>
            <a:effectLst/>
          </c:spPr>
          <c:invertIfNegative val="0"/>
          <c:cat>
            <c:numRef>
              <c:f>'[C1out 2011 - 2013 storm transport seasonal adjustment.xlsx]Monthy'!$H$99:$J$99</c:f>
              <c:numCache>
                <c:formatCode>General</c:formatCode>
                <c:ptCount val="3"/>
                <c:pt idx="0">
                  <c:v>2011</c:v>
                </c:pt>
                <c:pt idx="1">
                  <c:v>2012</c:v>
                </c:pt>
                <c:pt idx="2">
                  <c:v>2013</c:v>
                </c:pt>
              </c:numCache>
            </c:numRef>
          </c:cat>
          <c:val>
            <c:numRef>
              <c:f>'[C1out 2011 - 2013 storm transport seasonal adjustment.xlsx]Monthy'!$H$104:$J$104</c:f>
              <c:numCache>
                <c:formatCode>General</c:formatCode>
                <c:ptCount val="3"/>
                <c:pt idx="0">
                  <c:v>101.9026220548193</c:v>
                </c:pt>
                <c:pt idx="1">
                  <c:v>26.985880875340996</c:v>
                </c:pt>
                <c:pt idx="2">
                  <c:v>126.62443343363769</c:v>
                </c:pt>
              </c:numCache>
            </c:numRef>
          </c:val>
          <c:extLst>
            <c:ext xmlns:c16="http://schemas.microsoft.com/office/drawing/2014/chart" uri="{C3380CC4-5D6E-409C-BE32-E72D297353CC}">
              <c16:uniqueId val="{00000004-B0D6-48C1-9B6D-1370AFABCB73}"/>
            </c:ext>
          </c:extLst>
        </c:ser>
        <c:ser>
          <c:idx val="5"/>
          <c:order val="5"/>
          <c:tx>
            <c:strRef>
              <c:f>'[C1out 2011 - 2013 storm transport seasonal adjustment.xlsx]Monthy'!$G$105</c:f>
              <c:strCache>
                <c:ptCount val="1"/>
                <c:pt idx="0">
                  <c:v>J </c:v>
                </c:pt>
              </c:strCache>
            </c:strRef>
          </c:tx>
          <c:spPr>
            <a:solidFill>
              <a:schemeClr val="accent2"/>
            </a:solidFill>
            <a:ln>
              <a:noFill/>
            </a:ln>
            <a:effectLst/>
          </c:spPr>
          <c:invertIfNegative val="0"/>
          <c:cat>
            <c:numRef>
              <c:f>'[C1out 2011 - 2013 storm transport seasonal adjustment.xlsx]Monthy'!$H$99:$J$99</c:f>
              <c:numCache>
                <c:formatCode>General</c:formatCode>
                <c:ptCount val="3"/>
                <c:pt idx="0">
                  <c:v>2011</c:v>
                </c:pt>
                <c:pt idx="1">
                  <c:v>2012</c:v>
                </c:pt>
                <c:pt idx="2">
                  <c:v>2013</c:v>
                </c:pt>
              </c:numCache>
            </c:numRef>
          </c:cat>
          <c:val>
            <c:numRef>
              <c:f>'[C1out 2011 - 2013 storm transport seasonal adjustment.xlsx]Monthy'!$H$105:$J$105</c:f>
              <c:numCache>
                <c:formatCode>General</c:formatCode>
                <c:ptCount val="3"/>
                <c:pt idx="0">
                  <c:v>78.059332017896139</c:v>
                </c:pt>
                <c:pt idx="1">
                  <c:v>40.095920755084343</c:v>
                </c:pt>
                <c:pt idx="2">
                  <c:v>57.627338944271514</c:v>
                </c:pt>
              </c:numCache>
            </c:numRef>
          </c:val>
          <c:extLst>
            <c:ext xmlns:c16="http://schemas.microsoft.com/office/drawing/2014/chart" uri="{C3380CC4-5D6E-409C-BE32-E72D297353CC}">
              <c16:uniqueId val="{00000005-B0D6-48C1-9B6D-1370AFABCB73}"/>
            </c:ext>
          </c:extLst>
        </c:ser>
        <c:ser>
          <c:idx val="6"/>
          <c:order val="6"/>
          <c:tx>
            <c:strRef>
              <c:f>'[C1out 2011 - 2013 storm transport seasonal adjustment.xlsx]Monthy'!$G$106</c:f>
              <c:strCache>
                <c:ptCount val="1"/>
                <c:pt idx="0">
                  <c:v>J </c:v>
                </c:pt>
              </c:strCache>
            </c:strRef>
          </c:tx>
          <c:spPr>
            <a:solidFill>
              <a:schemeClr val="accent2"/>
            </a:solidFill>
            <a:ln>
              <a:noFill/>
            </a:ln>
            <a:effectLst/>
          </c:spPr>
          <c:invertIfNegative val="0"/>
          <c:cat>
            <c:numRef>
              <c:f>'[C1out 2011 - 2013 storm transport seasonal adjustment.xlsx]Monthy'!$H$99:$J$99</c:f>
              <c:numCache>
                <c:formatCode>General</c:formatCode>
                <c:ptCount val="3"/>
                <c:pt idx="0">
                  <c:v>2011</c:v>
                </c:pt>
                <c:pt idx="1">
                  <c:v>2012</c:v>
                </c:pt>
                <c:pt idx="2">
                  <c:v>2013</c:v>
                </c:pt>
              </c:numCache>
            </c:numRef>
          </c:cat>
          <c:val>
            <c:numRef>
              <c:f>'[C1out 2011 - 2013 storm transport seasonal adjustment.xlsx]Monthy'!$H$106:$J$106</c:f>
              <c:numCache>
                <c:formatCode>General</c:formatCode>
                <c:ptCount val="3"/>
                <c:pt idx="0">
                  <c:v>49.327580691525888</c:v>
                </c:pt>
                <c:pt idx="1">
                  <c:v>40.233066875714989</c:v>
                </c:pt>
                <c:pt idx="2">
                  <c:v>69.351457243328525</c:v>
                </c:pt>
              </c:numCache>
            </c:numRef>
          </c:val>
          <c:extLst>
            <c:ext xmlns:c16="http://schemas.microsoft.com/office/drawing/2014/chart" uri="{C3380CC4-5D6E-409C-BE32-E72D297353CC}">
              <c16:uniqueId val="{00000006-B0D6-48C1-9B6D-1370AFABCB73}"/>
            </c:ext>
          </c:extLst>
        </c:ser>
        <c:ser>
          <c:idx val="7"/>
          <c:order val="7"/>
          <c:tx>
            <c:strRef>
              <c:f>'[C1out 2011 - 2013 storm transport seasonal adjustment.xlsx]Monthy'!$G$107</c:f>
              <c:strCache>
                <c:ptCount val="1"/>
                <c:pt idx="0">
                  <c:v>A</c:v>
                </c:pt>
              </c:strCache>
            </c:strRef>
          </c:tx>
          <c:spPr>
            <a:solidFill>
              <a:schemeClr val="accent2"/>
            </a:solidFill>
            <a:ln>
              <a:noFill/>
            </a:ln>
            <a:effectLst/>
          </c:spPr>
          <c:invertIfNegative val="0"/>
          <c:cat>
            <c:numRef>
              <c:f>'[C1out 2011 - 2013 storm transport seasonal adjustment.xlsx]Monthy'!$H$99:$J$99</c:f>
              <c:numCache>
                <c:formatCode>General</c:formatCode>
                <c:ptCount val="3"/>
                <c:pt idx="0">
                  <c:v>2011</c:v>
                </c:pt>
                <c:pt idx="1">
                  <c:v>2012</c:v>
                </c:pt>
                <c:pt idx="2">
                  <c:v>2013</c:v>
                </c:pt>
              </c:numCache>
            </c:numRef>
          </c:cat>
          <c:val>
            <c:numRef>
              <c:f>'[C1out 2011 - 2013 storm transport seasonal adjustment.xlsx]Monthy'!$H$107:$J$107</c:f>
              <c:numCache>
                <c:formatCode>General</c:formatCode>
                <c:ptCount val="3"/>
                <c:pt idx="0">
                  <c:v>60.855586411770986</c:v>
                </c:pt>
                <c:pt idx="1">
                  <c:v>65.848917534567775</c:v>
                </c:pt>
                <c:pt idx="2">
                  <c:v>71.2611639858888</c:v>
                </c:pt>
              </c:numCache>
            </c:numRef>
          </c:val>
          <c:extLst>
            <c:ext xmlns:c16="http://schemas.microsoft.com/office/drawing/2014/chart" uri="{C3380CC4-5D6E-409C-BE32-E72D297353CC}">
              <c16:uniqueId val="{00000007-B0D6-48C1-9B6D-1370AFABCB73}"/>
            </c:ext>
          </c:extLst>
        </c:ser>
        <c:ser>
          <c:idx val="8"/>
          <c:order val="8"/>
          <c:tx>
            <c:strRef>
              <c:f>'[C1out 2011 - 2013 storm transport seasonal adjustment.xlsx]Monthy'!$G$108</c:f>
              <c:strCache>
                <c:ptCount val="1"/>
                <c:pt idx="0">
                  <c:v>S </c:v>
                </c:pt>
              </c:strCache>
            </c:strRef>
          </c:tx>
          <c:spPr>
            <a:solidFill>
              <a:schemeClr val="accent2"/>
            </a:solidFill>
            <a:ln>
              <a:noFill/>
            </a:ln>
            <a:effectLst/>
          </c:spPr>
          <c:invertIfNegative val="0"/>
          <c:cat>
            <c:numRef>
              <c:f>'[C1out 2011 - 2013 storm transport seasonal adjustment.xlsx]Monthy'!$H$99:$J$99</c:f>
              <c:numCache>
                <c:formatCode>General</c:formatCode>
                <c:ptCount val="3"/>
                <c:pt idx="0">
                  <c:v>2011</c:v>
                </c:pt>
                <c:pt idx="1">
                  <c:v>2012</c:v>
                </c:pt>
                <c:pt idx="2">
                  <c:v>2013</c:v>
                </c:pt>
              </c:numCache>
            </c:numRef>
          </c:cat>
          <c:val>
            <c:numRef>
              <c:f>'[C1out 2011 - 2013 storm transport seasonal adjustment.xlsx]Monthy'!$H$108:$J$108</c:f>
              <c:numCache>
                <c:formatCode>General</c:formatCode>
                <c:ptCount val="3"/>
                <c:pt idx="0">
                  <c:v>49.49141698305688</c:v>
                </c:pt>
                <c:pt idx="1">
                  <c:v>85.407975382677762</c:v>
                </c:pt>
                <c:pt idx="2">
                  <c:v>63.775374500476516</c:v>
                </c:pt>
              </c:numCache>
            </c:numRef>
          </c:val>
          <c:extLst>
            <c:ext xmlns:c16="http://schemas.microsoft.com/office/drawing/2014/chart" uri="{C3380CC4-5D6E-409C-BE32-E72D297353CC}">
              <c16:uniqueId val="{00000008-B0D6-48C1-9B6D-1370AFABCB73}"/>
            </c:ext>
          </c:extLst>
        </c:ser>
        <c:ser>
          <c:idx val="9"/>
          <c:order val="9"/>
          <c:tx>
            <c:strRef>
              <c:f>'[C1out 2011 - 2013 storm transport seasonal adjustment.xlsx]Monthy'!$G$109</c:f>
              <c:strCache>
                <c:ptCount val="1"/>
                <c:pt idx="0">
                  <c:v>O </c:v>
                </c:pt>
              </c:strCache>
            </c:strRef>
          </c:tx>
          <c:spPr>
            <a:solidFill>
              <a:schemeClr val="accent2"/>
            </a:solidFill>
            <a:ln>
              <a:noFill/>
            </a:ln>
            <a:effectLst/>
          </c:spPr>
          <c:invertIfNegative val="0"/>
          <c:cat>
            <c:numRef>
              <c:f>'[C1out 2011 - 2013 storm transport seasonal adjustment.xlsx]Monthy'!$H$99:$J$99</c:f>
              <c:numCache>
                <c:formatCode>General</c:formatCode>
                <c:ptCount val="3"/>
                <c:pt idx="0">
                  <c:v>2011</c:v>
                </c:pt>
                <c:pt idx="1">
                  <c:v>2012</c:v>
                </c:pt>
                <c:pt idx="2">
                  <c:v>2013</c:v>
                </c:pt>
              </c:numCache>
            </c:numRef>
          </c:cat>
          <c:val>
            <c:numRef>
              <c:f>'[C1out 2011 - 2013 storm transport seasonal adjustment.xlsx]Monthy'!$H$109:$J$109</c:f>
              <c:numCache>
                <c:formatCode>General</c:formatCode>
                <c:ptCount val="3"/>
                <c:pt idx="0">
                  <c:v>34.033541827960981</c:v>
                </c:pt>
                <c:pt idx="1">
                  <c:v>40.233066875714989</c:v>
                </c:pt>
                <c:pt idx="2">
                  <c:v>93.766700093604669</c:v>
                </c:pt>
              </c:numCache>
            </c:numRef>
          </c:val>
          <c:extLst>
            <c:ext xmlns:c16="http://schemas.microsoft.com/office/drawing/2014/chart" uri="{C3380CC4-5D6E-409C-BE32-E72D297353CC}">
              <c16:uniqueId val="{00000009-B0D6-48C1-9B6D-1370AFABCB73}"/>
            </c:ext>
          </c:extLst>
        </c:ser>
        <c:ser>
          <c:idx val="10"/>
          <c:order val="10"/>
          <c:tx>
            <c:strRef>
              <c:f>'[C1out 2011 - 2013 storm transport seasonal adjustment.xlsx]Monthy'!$G$110</c:f>
              <c:strCache>
                <c:ptCount val="1"/>
                <c:pt idx="0">
                  <c:v>N </c:v>
                </c:pt>
              </c:strCache>
            </c:strRef>
          </c:tx>
          <c:spPr>
            <a:solidFill>
              <a:schemeClr val="accent2"/>
            </a:solidFill>
            <a:ln>
              <a:noFill/>
            </a:ln>
            <a:effectLst/>
          </c:spPr>
          <c:invertIfNegative val="0"/>
          <c:cat>
            <c:numRef>
              <c:f>'[C1out 2011 - 2013 storm transport seasonal adjustment.xlsx]Monthy'!$H$99:$J$99</c:f>
              <c:numCache>
                <c:formatCode>General</c:formatCode>
                <c:ptCount val="3"/>
                <c:pt idx="0">
                  <c:v>2011</c:v>
                </c:pt>
                <c:pt idx="1">
                  <c:v>2012</c:v>
                </c:pt>
                <c:pt idx="2">
                  <c:v>2013</c:v>
                </c:pt>
              </c:numCache>
            </c:numRef>
          </c:cat>
          <c:val>
            <c:numRef>
              <c:f>'[C1out 2011 - 2013 storm transport seasonal adjustment.xlsx]Monthy'!$H$110:$J$110</c:f>
              <c:numCache>
                <c:formatCode>General</c:formatCode>
                <c:ptCount val="3"/>
                <c:pt idx="0">
                  <c:v>114.13972670904803</c:v>
                </c:pt>
                <c:pt idx="1">
                  <c:v>22.642682228346537</c:v>
                </c:pt>
                <c:pt idx="2">
                  <c:v>70.960181573727141</c:v>
                </c:pt>
              </c:numCache>
            </c:numRef>
          </c:val>
          <c:extLst>
            <c:ext xmlns:c16="http://schemas.microsoft.com/office/drawing/2014/chart" uri="{C3380CC4-5D6E-409C-BE32-E72D297353CC}">
              <c16:uniqueId val="{0000000A-B0D6-48C1-9B6D-1370AFABCB73}"/>
            </c:ext>
          </c:extLst>
        </c:ser>
        <c:ser>
          <c:idx val="11"/>
          <c:order val="11"/>
          <c:tx>
            <c:strRef>
              <c:f>'[C1out 2011 - 2013 storm transport seasonal adjustment.xlsx]Monthy'!$G$111</c:f>
              <c:strCache>
                <c:ptCount val="1"/>
                <c:pt idx="0">
                  <c:v>D </c:v>
                </c:pt>
              </c:strCache>
            </c:strRef>
          </c:tx>
          <c:spPr>
            <a:solidFill>
              <a:schemeClr val="accent2"/>
            </a:solidFill>
            <a:ln>
              <a:noFill/>
            </a:ln>
            <a:effectLst/>
          </c:spPr>
          <c:invertIfNegative val="0"/>
          <c:cat>
            <c:numRef>
              <c:f>'[C1out 2011 - 2013 storm transport seasonal adjustment.xlsx]Monthy'!$H$99:$J$99</c:f>
              <c:numCache>
                <c:formatCode>General</c:formatCode>
                <c:ptCount val="3"/>
                <c:pt idx="0">
                  <c:v>2011</c:v>
                </c:pt>
                <c:pt idx="1">
                  <c:v>2012</c:v>
                </c:pt>
                <c:pt idx="2">
                  <c:v>2013</c:v>
                </c:pt>
              </c:numCache>
            </c:numRef>
          </c:cat>
          <c:val>
            <c:numRef>
              <c:f>'[C1out 2011 - 2013 storm transport seasonal adjustment.xlsx]Monthy'!$H$111:$J$111</c:f>
              <c:numCache>
                <c:formatCode>General</c:formatCode>
                <c:ptCount val="3"/>
                <c:pt idx="0">
                  <c:v>63.775374500476516</c:v>
                </c:pt>
                <c:pt idx="1">
                  <c:v>60.60609349115834</c:v>
                </c:pt>
                <c:pt idx="2">
                  <c:v>105.72762165632041</c:v>
                </c:pt>
              </c:numCache>
            </c:numRef>
          </c:val>
          <c:extLst>
            <c:ext xmlns:c16="http://schemas.microsoft.com/office/drawing/2014/chart" uri="{C3380CC4-5D6E-409C-BE32-E72D297353CC}">
              <c16:uniqueId val="{0000000B-B0D6-48C1-9B6D-1370AFABCB73}"/>
            </c:ext>
          </c:extLst>
        </c:ser>
        <c:dLbls>
          <c:showLegendKey val="0"/>
          <c:showVal val="0"/>
          <c:showCatName val="0"/>
          <c:showSerName val="0"/>
          <c:showPercent val="0"/>
          <c:showBubbleSize val="0"/>
        </c:dLbls>
        <c:gapWidth val="219"/>
        <c:overlap val="-27"/>
        <c:axId val="537624016"/>
        <c:axId val="537626968"/>
      </c:barChart>
      <c:catAx>
        <c:axId val="53762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b"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537626968"/>
        <c:crosses val="autoZero"/>
        <c:auto val="1"/>
        <c:lblAlgn val="ctr"/>
        <c:lblOffset val="500"/>
        <c:noMultiLvlLbl val="0"/>
      </c:catAx>
      <c:valAx>
        <c:axId val="5376269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Iron (kg)</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7624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75139775288499"/>
          <c:y val="3.7278657968313138E-2"/>
          <c:w val="0.88131685185933317"/>
          <c:h val="0.677174160312906"/>
        </c:manualLayout>
      </c:layout>
      <c:barChart>
        <c:barDir val="col"/>
        <c:grouping val="clustered"/>
        <c:varyColors val="0"/>
        <c:ser>
          <c:idx val="0"/>
          <c:order val="0"/>
          <c:tx>
            <c:strRef>
              <c:f>Monthly!$U$19</c:f>
              <c:strCache>
                <c:ptCount val="1"/>
                <c:pt idx="0">
                  <c:v>0.25-0.999</c:v>
                </c:pt>
              </c:strCache>
            </c:strRef>
          </c:tx>
          <c:spPr>
            <a:solidFill>
              <a:schemeClr val="accent1"/>
            </a:solidFill>
            <a:ln>
              <a:noFill/>
            </a:ln>
            <a:effectLst/>
          </c:spPr>
          <c:invertIfNegative val="0"/>
          <c:errBars>
            <c:errBarType val="both"/>
            <c:errValType val="cust"/>
            <c:noEndCap val="0"/>
            <c:plus>
              <c:numRef>
                <c:f>Monthly!$U$26:$U$29</c:f>
                <c:numCache>
                  <c:formatCode>General</c:formatCode>
                  <c:ptCount val="4"/>
                  <c:pt idx="0">
                    <c:v>2.967703884787452</c:v>
                  </c:pt>
                  <c:pt idx="1">
                    <c:v>1.2908290279158614</c:v>
                  </c:pt>
                  <c:pt idx="2">
                    <c:v>1.121686634861129</c:v>
                  </c:pt>
                  <c:pt idx="3">
                    <c:v>3.2151961634709072</c:v>
                  </c:pt>
                </c:numCache>
              </c:numRef>
            </c:plus>
            <c:minus>
              <c:numRef>
                <c:f>Monthly!$U$26:$U$29</c:f>
                <c:numCache>
                  <c:formatCode>General</c:formatCode>
                  <c:ptCount val="4"/>
                  <c:pt idx="0">
                    <c:v>2.967703884787452</c:v>
                  </c:pt>
                  <c:pt idx="1">
                    <c:v>1.2908290279158614</c:v>
                  </c:pt>
                  <c:pt idx="2">
                    <c:v>1.121686634861129</c:v>
                  </c:pt>
                  <c:pt idx="3">
                    <c:v>3.2151961634709072</c:v>
                  </c:pt>
                </c:numCache>
              </c:numRef>
            </c:minus>
            <c:spPr>
              <a:noFill/>
              <a:ln w="9525" cap="flat" cmpd="sng" algn="ctr">
                <a:solidFill>
                  <a:schemeClr val="tx1">
                    <a:lumMod val="65000"/>
                    <a:lumOff val="35000"/>
                  </a:schemeClr>
                </a:solidFill>
                <a:round/>
              </a:ln>
              <a:effectLst/>
            </c:spPr>
          </c:errBars>
          <c:cat>
            <c:strRef>
              <c:f>Monthly!$T$20:$T$23</c:f>
              <c:strCache>
                <c:ptCount val="4"/>
                <c:pt idx="0">
                  <c:v>Spring (M,A,M)</c:v>
                </c:pt>
                <c:pt idx="1">
                  <c:v>Summer (J,J,A)</c:v>
                </c:pt>
                <c:pt idx="2">
                  <c:v>Fall (S,O,N)</c:v>
                </c:pt>
                <c:pt idx="3">
                  <c:v>Winter (D,J,F)</c:v>
                </c:pt>
              </c:strCache>
            </c:strRef>
          </c:cat>
          <c:val>
            <c:numRef>
              <c:f>Monthly!$U$20:$U$23</c:f>
              <c:numCache>
                <c:formatCode>0.00</c:formatCode>
                <c:ptCount val="4"/>
                <c:pt idx="0">
                  <c:v>4.0456997851871757</c:v>
                </c:pt>
                <c:pt idx="1">
                  <c:v>3.9392340013664602</c:v>
                </c:pt>
                <c:pt idx="2">
                  <c:v>4.8974260557528959</c:v>
                </c:pt>
                <c:pt idx="3">
                  <c:v>6.8138101645257692</c:v>
                </c:pt>
              </c:numCache>
            </c:numRef>
          </c:val>
          <c:extLst>
            <c:ext xmlns:c16="http://schemas.microsoft.com/office/drawing/2014/chart" uri="{C3380CC4-5D6E-409C-BE32-E72D297353CC}">
              <c16:uniqueId val="{00000000-0DFC-486A-9993-EDC9CEF734C4}"/>
            </c:ext>
          </c:extLst>
        </c:ser>
        <c:ser>
          <c:idx val="1"/>
          <c:order val="1"/>
          <c:tx>
            <c:strRef>
              <c:f>Monthly!$V$19</c:f>
              <c:strCache>
                <c:ptCount val="1"/>
                <c:pt idx="0">
                  <c:v>1.00-1.99</c:v>
                </c:pt>
              </c:strCache>
            </c:strRef>
          </c:tx>
          <c:spPr>
            <a:solidFill>
              <a:schemeClr val="accent2"/>
            </a:solidFill>
            <a:ln>
              <a:noFill/>
            </a:ln>
            <a:effectLst/>
          </c:spPr>
          <c:invertIfNegative val="0"/>
          <c:errBars>
            <c:errBarType val="both"/>
            <c:errValType val="cust"/>
            <c:noEndCap val="0"/>
            <c:plus>
              <c:numRef>
                <c:f>Monthly!$V$26:$V$29</c:f>
                <c:numCache>
                  <c:formatCode>General</c:formatCode>
                  <c:ptCount val="4"/>
                  <c:pt idx="0">
                    <c:v>0.94379574423407087</c:v>
                  </c:pt>
                  <c:pt idx="1">
                    <c:v>0.72083590642163509</c:v>
                  </c:pt>
                  <c:pt idx="2">
                    <c:v>0.47189787211703543</c:v>
                  </c:pt>
                  <c:pt idx="3">
                    <c:v>0.81735109049034571</c:v>
                  </c:pt>
                </c:numCache>
              </c:numRef>
            </c:plus>
            <c:minus>
              <c:numRef>
                <c:f>Monthly!$V$26:$V$29</c:f>
                <c:numCache>
                  <c:formatCode>General</c:formatCode>
                  <c:ptCount val="4"/>
                  <c:pt idx="0">
                    <c:v>0.94379574423407087</c:v>
                  </c:pt>
                  <c:pt idx="1">
                    <c:v>0.72083590642163509</c:v>
                  </c:pt>
                  <c:pt idx="2">
                    <c:v>0.47189787211703543</c:v>
                  </c:pt>
                  <c:pt idx="3">
                    <c:v>0.81735109049034571</c:v>
                  </c:pt>
                </c:numCache>
              </c:numRef>
            </c:minus>
            <c:spPr>
              <a:noFill/>
              <a:ln w="9525" cap="flat" cmpd="sng" algn="ctr">
                <a:solidFill>
                  <a:schemeClr val="tx1">
                    <a:lumMod val="65000"/>
                    <a:lumOff val="35000"/>
                  </a:schemeClr>
                </a:solidFill>
                <a:round/>
              </a:ln>
              <a:effectLst/>
            </c:spPr>
          </c:errBars>
          <c:cat>
            <c:strRef>
              <c:f>Monthly!$T$20:$T$23</c:f>
              <c:strCache>
                <c:ptCount val="4"/>
                <c:pt idx="0">
                  <c:v>Spring (M,A,M)</c:v>
                </c:pt>
                <c:pt idx="1">
                  <c:v>Summer (J,J,A)</c:v>
                </c:pt>
                <c:pt idx="2">
                  <c:v>Fall (S,O,N)</c:v>
                </c:pt>
                <c:pt idx="3">
                  <c:v>Winter (D,J,F)</c:v>
                </c:pt>
              </c:strCache>
            </c:strRef>
          </c:cat>
          <c:val>
            <c:numRef>
              <c:f>Monthly!$V$20:$V$23</c:f>
              <c:numCache>
                <c:formatCode>0.00</c:formatCode>
                <c:ptCount val="4"/>
                <c:pt idx="0">
                  <c:v>1.8875914884681411</c:v>
                </c:pt>
                <c:pt idx="1">
                  <c:v>1.2583943256454273</c:v>
                </c:pt>
                <c:pt idx="2">
                  <c:v>0.94379574423407053</c:v>
                </c:pt>
                <c:pt idx="3">
                  <c:v>0.94379574423407053</c:v>
                </c:pt>
              </c:numCache>
            </c:numRef>
          </c:val>
          <c:extLst>
            <c:ext xmlns:c16="http://schemas.microsoft.com/office/drawing/2014/chart" uri="{C3380CC4-5D6E-409C-BE32-E72D297353CC}">
              <c16:uniqueId val="{00000001-0DFC-486A-9993-EDC9CEF734C4}"/>
            </c:ext>
          </c:extLst>
        </c:ser>
        <c:ser>
          <c:idx val="2"/>
          <c:order val="2"/>
          <c:tx>
            <c:strRef>
              <c:f>Monthly!$W$19</c:f>
              <c:strCache>
                <c:ptCount val="1"/>
                <c:pt idx="0">
                  <c:v>2.00-2.99</c:v>
                </c:pt>
              </c:strCache>
            </c:strRef>
          </c:tx>
          <c:spPr>
            <a:solidFill>
              <a:schemeClr val="accent3"/>
            </a:solidFill>
            <a:ln>
              <a:noFill/>
            </a:ln>
            <a:effectLst/>
          </c:spPr>
          <c:invertIfNegative val="0"/>
          <c:errBars>
            <c:errBarType val="both"/>
            <c:errValType val="cust"/>
            <c:noEndCap val="0"/>
            <c:plus>
              <c:numRef>
                <c:f>Monthly!$W$26:$W$29</c:f>
                <c:numCache>
                  <c:formatCode>General</c:formatCode>
                  <c:ptCount val="4"/>
                  <c:pt idx="0">
                    <c:v>0.11171987010921423</c:v>
                  </c:pt>
                  <c:pt idx="1">
                    <c:v>8.4452283660976943E-2</c:v>
                  </c:pt>
                  <c:pt idx="2">
                    <c:v>0.12667842549146538</c:v>
                  </c:pt>
                  <c:pt idx="3">
                    <c:v>0</c:v>
                  </c:pt>
                </c:numCache>
              </c:numRef>
            </c:plus>
            <c:minus>
              <c:numRef>
                <c:f>Monthly!$W$26:$W$29</c:f>
                <c:numCache>
                  <c:formatCode>General</c:formatCode>
                  <c:ptCount val="4"/>
                  <c:pt idx="0">
                    <c:v>0.11171987010921423</c:v>
                  </c:pt>
                  <c:pt idx="1">
                    <c:v>8.4452283660976943E-2</c:v>
                  </c:pt>
                  <c:pt idx="2">
                    <c:v>0.12667842549146538</c:v>
                  </c:pt>
                  <c:pt idx="3">
                    <c:v>0</c:v>
                  </c:pt>
                </c:numCache>
              </c:numRef>
            </c:minus>
            <c:spPr>
              <a:noFill/>
              <a:ln w="9525" cap="flat" cmpd="sng" algn="ctr">
                <a:solidFill>
                  <a:schemeClr val="tx1">
                    <a:lumMod val="65000"/>
                    <a:lumOff val="35000"/>
                  </a:schemeClr>
                </a:solidFill>
                <a:round/>
              </a:ln>
              <a:effectLst/>
            </c:spPr>
          </c:errBars>
          <c:cat>
            <c:strRef>
              <c:f>Monthly!$T$20:$T$23</c:f>
              <c:strCache>
                <c:ptCount val="4"/>
                <c:pt idx="0">
                  <c:v>Spring (M,A,M)</c:v>
                </c:pt>
                <c:pt idx="1">
                  <c:v>Summer (J,J,A)</c:v>
                </c:pt>
                <c:pt idx="2">
                  <c:v>Fall (S,O,N)</c:v>
                </c:pt>
                <c:pt idx="3">
                  <c:v>Winter (D,J,F)</c:v>
                </c:pt>
              </c:strCache>
            </c:strRef>
          </c:cat>
          <c:val>
            <c:numRef>
              <c:f>Monthly!$W$20:$W$23</c:f>
              <c:numCache>
                <c:formatCode>0.00</c:formatCode>
                <c:ptCount val="4"/>
                <c:pt idx="0">
                  <c:v>0.19503419482137471</c:v>
                </c:pt>
                <c:pt idx="1">
                  <c:v>0.19503419482137471</c:v>
                </c:pt>
                <c:pt idx="2">
                  <c:v>0.29255129223206205</c:v>
                </c:pt>
                <c:pt idx="3">
                  <c:v>7.3137823058015514E-2</c:v>
                </c:pt>
              </c:numCache>
            </c:numRef>
          </c:val>
          <c:extLst>
            <c:ext xmlns:c16="http://schemas.microsoft.com/office/drawing/2014/chart" uri="{C3380CC4-5D6E-409C-BE32-E72D297353CC}">
              <c16:uniqueId val="{00000002-0DFC-486A-9993-EDC9CEF734C4}"/>
            </c:ext>
          </c:extLst>
        </c:ser>
        <c:ser>
          <c:idx val="3"/>
          <c:order val="3"/>
          <c:tx>
            <c:strRef>
              <c:f>Monthly!$X$19</c:f>
              <c:strCache>
                <c:ptCount val="1"/>
                <c:pt idx="0">
                  <c:v>3.00-max</c:v>
                </c:pt>
              </c:strCache>
            </c:strRef>
          </c:tx>
          <c:spPr>
            <a:solidFill>
              <a:schemeClr val="accent4"/>
            </a:solidFill>
            <a:ln>
              <a:noFill/>
            </a:ln>
            <a:effectLst/>
          </c:spPr>
          <c:invertIfNegative val="0"/>
          <c:errBars>
            <c:errBarType val="both"/>
            <c:errValType val="cust"/>
            <c:noEndCap val="0"/>
            <c:plus>
              <c:numRef>
                <c:f>Monthly!$X$26:$X$29</c:f>
                <c:numCache>
                  <c:formatCode>General</c:formatCode>
                  <c:ptCount val="4"/>
                  <c:pt idx="0">
                    <c:v>0.32227043824538731</c:v>
                  </c:pt>
                  <c:pt idx="1">
                    <c:v>0.78310800767844968</c:v>
                  </c:pt>
                  <c:pt idx="2">
                    <c:v>0.12180677635787017</c:v>
                  </c:pt>
                  <c:pt idx="3">
                    <c:v>3.3993498887762956E-17</c:v>
                  </c:pt>
                </c:numCache>
              </c:numRef>
            </c:plus>
            <c:minus>
              <c:numRef>
                <c:f>Monthly!$X$26:$X$29</c:f>
                <c:numCache>
                  <c:formatCode>General</c:formatCode>
                  <c:ptCount val="4"/>
                  <c:pt idx="0">
                    <c:v>0.32227043824538731</c:v>
                  </c:pt>
                  <c:pt idx="1">
                    <c:v>0.78310800767844968</c:v>
                  </c:pt>
                  <c:pt idx="2">
                    <c:v>0.12180677635787017</c:v>
                  </c:pt>
                  <c:pt idx="3">
                    <c:v>3.3993498887762956E-17</c:v>
                  </c:pt>
                </c:numCache>
              </c:numRef>
            </c:minus>
            <c:spPr>
              <a:noFill/>
              <a:ln w="9525" cap="flat" cmpd="sng" algn="ctr">
                <a:solidFill>
                  <a:schemeClr val="tx1">
                    <a:lumMod val="65000"/>
                    <a:lumOff val="35000"/>
                  </a:schemeClr>
                </a:solidFill>
                <a:round/>
              </a:ln>
              <a:effectLst/>
            </c:spPr>
          </c:errBars>
          <c:cat>
            <c:strRef>
              <c:f>Monthly!$T$20:$T$23</c:f>
              <c:strCache>
                <c:ptCount val="4"/>
                <c:pt idx="0">
                  <c:v>Spring (M,A,M)</c:v>
                </c:pt>
                <c:pt idx="1">
                  <c:v>Summer (J,J,A)</c:v>
                </c:pt>
                <c:pt idx="2">
                  <c:v>Fall (S,O,N)</c:v>
                </c:pt>
                <c:pt idx="3">
                  <c:v>Winter (D,J,F)</c:v>
                </c:pt>
              </c:strCache>
            </c:strRef>
          </c:cat>
          <c:val>
            <c:numRef>
              <c:f>Monthly!$X$20:$X$23</c:f>
              <c:numCache>
                <c:formatCode>0.00</c:formatCode>
                <c:ptCount val="4"/>
                <c:pt idx="0">
                  <c:v>0.97445421086296269</c:v>
                </c:pt>
                <c:pt idx="1">
                  <c:v>0.81204517571913559</c:v>
                </c:pt>
                <c:pt idx="2">
                  <c:v>0.48722710543148134</c:v>
                </c:pt>
                <c:pt idx="3">
                  <c:v>0.24361355271574067</c:v>
                </c:pt>
              </c:numCache>
            </c:numRef>
          </c:val>
          <c:extLst>
            <c:ext xmlns:c16="http://schemas.microsoft.com/office/drawing/2014/chart" uri="{C3380CC4-5D6E-409C-BE32-E72D297353CC}">
              <c16:uniqueId val="{00000003-0DFC-486A-9993-EDC9CEF734C4}"/>
            </c:ext>
          </c:extLst>
        </c:ser>
        <c:dLbls>
          <c:showLegendKey val="0"/>
          <c:showVal val="0"/>
          <c:showCatName val="0"/>
          <c:showSerName val="0"/>
          <c:showPercent val="0"/>
          <c:showBubbleSize val="0"/>
        </c:dLbls>
        <c:gapWidth val="219"/>
        <c:overlap val="-27"/>
        <c:axId val="501701264"/>
        <c:axId val="501708152"/>
      </c:barChart>
      <c:catAx>
        <c:axId val="501701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Rainfall Intensity (cm/hr)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08152"/>
        <c:crosses val="autoZero"/>
        <c:auto val="1"/>
        <c:lblAlgn val="ctr"/>
        <c:lblOffset val="100"/>
        <c:noMultiLvlLbl val="0"/>
      </c:catAx>
      <c:valAx>
        <c:axId val="5017081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Iron Transported (kg/year)</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7012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722057338986473"/>
          <c:y val="8.1137475559257183E-2"/>
          <c:w val="0.80543643583013658"/>
          <c:h val="0.77108261248285914"/>
        </c:manualLayout>
      </c:layout>
      <c:barChart>
        <c:barDir val="col"/>
        <c:grouping val="clustered"/>
        <c:varyColors val="0"/>
        <c:ser>
          <c:idx val="0"/>
          <c:order val="0"/>
          <c:spPr>
            <a:solidFill>
              <a:schemeClr val="accent2">
                <a:lumMod val="75000"/>
              </a:schemeClr>
            </a:solidFill>
            <a:ln w="9525" cap="flat" cmpd="sng" algn="ctr">
              <a:solidFill>
                <a:schemeClr val="lt1">
                  <a:shade val="95000"/>
                  <a:satMod val="105000"/>
                </a:schemeClr>
              </a:solidFill>
              <a:prstDash val="solid"/>
              <a:round/>
            </a:ln>
            <a:effectLst>
              <a:outerShdw blurRad="40000" dist="20000" dir="5400000" rotWithShape="0">
                <a:srgbClr val="000000">
                  <a:alpha val="38000"/>
                </a:srgbClr>
              </a:outerShdw>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shade val="95000"/>
                          <a:satMod val="105000"/>
                        </a:schemeClr>
                      </a:solidFill>
                      <a:prstDash val="solid"/>
                      <a:round/>
                    </a:ln>
                    <a:effectLst/>
                  </c:spPr>
                </c15:leaderLines>
              </c:ext>
            </c:extLst>
          </c:dLbls>
          <c:errBars>
            <c:errBarType val="both"/>
            <c:errValType val="cust"/>
            <c:noEndCap val="0"/>
            <c:plus>
              <c:numRef>
                <c:f>Sheet2!$K$3:$M$3</c:f>
                <c:numCache>
                  <c:formatCode>General</c:formatCode>
                  <c:ptCount val="3"/>
                  <c:pt idx="0">
                    <c:v>3.5355339059327378</c:v>
                  </c:pt>
                  <c:pt idx="1">
                    <c:v>1.4142135623730951</c:v>
                  </c:pt>
                  <c:pt idx="2">
                    <c:v>5.6568542494923806</c:v>
                  </c:pt>
                </c:numCache>
              </c:numRef>
            </c:plus>
            <c:minus>
              <c:numRef>
                <c:f>Sheet2!$K$3:$M$3</c:f>
                <c:numCache>
                  <c:formatCode>General</c:formatCode>
                  <c:ptCount val="3"/>
                  <c:pt idx="0">
                    <c:v>3.5355339059327378</c:v>
                  </c:pt>
                  <c:pt idx="1">
                    <c:v>1.4142135623730951</c:v>
                  </c:pt>
                  <c:pt idx="2">
                    <c:v>5.6568542494923806</c:v>
                  </c:pt>
                </c:numCache>
              </c:numRef>
            </c:minus>
            <c:spPr>
              <a:solidFill>
                <a:schemeClr val="tx1"/>
              </a:solidFill>
              <a:ln w="9525" cap="flat" cmpd="sng" algn="ctr">
                <a:solidFill>
                  <a:schemeClr val="tx1">
                    <a:shade val="95000"/>
                    <a:satMod val="105000"/>
                  </a:schemeClr>
                </a:solidFill>
                <a:prstDash val="solid"/>
                <a:round/>
              </a:ln>
              <a:effectLst/>
            </c:spPr>
          </c:errBars>
          <c:cat>
            <c:strRef>
              <c:f>Sheet2!$K$1:$M$1</c:f>
              <c:strCache>
                <c:ptCount val="3"/>
                <c:pt idx="0">
                  <c:v>Section 1 (Cat 1)</c:v>
                </c:pt>
                <c:pt idx="1">
                  <c:v>Section 2 (Cat 2)</c:v>
                </c:pt>
                <c:pt idx="2">
                  <c:v>Section 3 (Cat 3)</c:v>
                </c:pt>
              </c:strCache>
            </c:strRef>
          </c:cat>
          <c:val>
            <c:numRef>
              <c:f>Sheet2!$K$2:$M$2</c:f>
              <c:numCache>
                <c:formatCode>General</c:formatCode>
                <c:ptCount val="3"/>
                <c:pt idx="0">
                  <c:v>95.5</c:v>
                </c:pt>
                <c:pt idx="1">
                  <c:v>67</c:v>
                </c:pt>
                <c:pt idx="2">
                  <c:v>46</c:v>
                </c:pt>
              </c:numCache>
            </c:numRef>
          </c:val>
          <c:extLst>
            <c:ext xmlns:c16="http://schemas.microsoft.com/office/drawing/2014/chart" uri="{C3380CC4-5D6E-409C-BE32-E72D297353CC}">
              <c16:uniqueId val="{00000000-B390-46B2-A5AD-8C01D2ACEAE6}"/>
            </c:ext>
          </c:extLst>
        </c:ser>
        <c:dLbls>
          <c:dLblPos val="inEnd"/>
          <c:showLegendKey val="0"/>
          <c:showVal val="1"/>
          <c:showCatName val="0"/>
          <c:showSerName val="0"/>
          <c:showPercent val="0"/>
          <c:showBubbleSize val="0"/>
        </c:dLbls>
        <c:gapWidth val="150"/>
        <c:axId val="135260800"/>
        <c:axId val="136032640"/>
      </c:barChart>
      <c:catAx>
        <c:axId val="135260800"/>
        <c:scaling>
          <c:orientation val="minMax"/>
        </c:scaling>
        <c:delete val="0"/>
        <c:axPos val="b"/>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136032640"/>
        <c:crosses val="autoZero"/>
        <c:auto val="1"/>
        <c:lblAlgn val="ctr"/>
        <c:lblOffset val="100"/>
        <c:noMultiLvlLbl val="0"/>
      </c:catAx>
      <c:valAx>
        <c:axId val="136032640"/>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b="0"/>
                  <a:t>Total Accumulated Solids (cm)</a:t>
                </a:r>
              </a:p>
            </c:rich>
          </c:tx>
          <c:layout>
            <c:manualLayout>
              <c:xMode val="edge"/>
              <c:yMode val="edge"/>
              <c:x val="2.5733607623371402E-2"/>
              <c:y val="0.1435794734034139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135260800"/>
        <c:crosses val="autoZero"/>
        <c:crossBetween val="between"/>
      </c:valAx>
      <c:spPr>
        <a:solidFill>
          <a:schemeClr val="bg1"/>
        </a:solidFill>
        <a:ln>
          <a:noFill/>
        </a:ln>
        <a:effectLst/>
      </c:spPr>
    </c:plotArea>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'Depth Map'!$U$1</c:f>
              <c:strCache>
                <c:ptCount val="1"/>
                <c:pt idx="0">
                  <c:v>Depth</c:v>
                </c:pt>
              </c:strCache>
            </c:strRef>
          </c:tx>
          <c:spPr>
            <a:ln w="28575" cap="rnd">
              <a:noFill/>
              <a:round/>
            </a:ln>
            <a:effectLst/>
          </c:spPr>
          <c:marker>
            <c:symbol val="circle"/>
            <c:size val="5"/>
            <c:spPr>
              <a:solidFill>
                <a:schemeClr val="accent1"/>
              </a:solidFill>
              <a:ln w="9525">
                <a:solidFill>
                  <a:schemeClr val="accent1"/>
                </a:solidFill>
              </a:ln>
              <a:effectLst/>
            </c:spPr>
          </c:marker>
          <c:xVal>
            <c:numRef>
              <c:f>'Depth Map'!$S$2:$S$15</c:f>
              <c:numCache>
                <c:formatCode>General</c:formatCode>
                <c:ptCount val="14"/>
                <c:pt idx="0">
                  <c:v>32</c:v>
                </c:pt>
                <c:pt idx="2">
                  <c:v>29</c:v>
                </c:pt>
                <c:pt idx="3">
                  <c:v>56</c:v>
                </c:pt>
                <c:pt idx="4">
                  <c:v>74</c:v>
                </c:pt>
                <c:pt idx="5">
                  <c:v>87</c:v>
                </c:pt>
                <c:pt idx="6">
                  <c:v>96</c:v>
                </c:pt>
                <c:pt idx="7">
                  <c:v>112</c:v>
                </c:pt>
                <c:pt idx="8">
                  <c:v>117</c:v>
                </c:pt>
                <c:pt idx="9">
                  <c:v>122</c:v>
                </c:pt>
                <c:pt idx="10">
                  <c:v>150</c:v>
                </c:pt>
                <c:pt idx="11">
                  <c:v>145</c:v>
                </c:pt>
                <c:pt idx="12">
                  <c:v>158</c:v>
                </c:pt>
                <c:pt idx="13">
                  <c:v>167</c:v>
                </c:pt>
              </c:numCache>
            </c:numRef>
          </c:xVal>
          <c:yVal>
            <c:numRef>
              <c:f>'Depth Map'!$U$2:$U$15</c:f>
              <c:numCache>
                <c:formatCode>General</c:formatCode>
                <c:ptCount val="14"/>
                <c:pt idx="0">
                  <c:v>90</c:v>
                </c:pt>
                <c:pt idx="2">
                  <c:v>116</c:v>
                </c:pt>
                <c:pt idx="3">
                  <c:v>84</c:v>
                </c:pt>
                <c:pt idx="4">
                  <c:v>115</c:v>
                </c:pt>
                <c:pt idx="5">
                  <c:v>114</c:v>
                </c:pt>
                <c:pt idx="6">
                  <c:v>100</c:v>
                </c:pt>
                <c:pt idx="7">
                  <c:v>87</c:v>
                </c:pt>
                <c:pt idx="8">
                  <c:v>97</c:v>
                </c:pt>
                <c:pt idx="9">
                  <c:v>83</c:v>
                </c:pt>
                <c:pt idx="10">
                  <c:v>41</c:v>
                </c:pt>
                <c:pt idx="11">
                  <c:v>49</c:v>
                </c:pt>
                <c:pt idx="12">
                  <c:v>50</c:v>
                </c:pt>
                <c:pt idx="13">
                  <c:v>50</c:v>
                </c:pt>
              </c:numCache>
            </c:numRef>
          </c:yVal>
          <c:smooth val="0"/>
          <c:extLst>
            <c:ext xmlns:c16="http://schemas.microsoft.com/office/drawing/2014/chart" uri="{C3380CC4-5D6E-409C-BE32-E72D297353CC}">
              <c16:uniqueId val="{00000000-9FAB-4BCB-B88E-DFD0EEAA481E}"/>
            </c:ext>
          </c:extLst>
        </c:ser>
        <c:dLbls>
          <c:showLegendKey val="0"/>
          <c:showVal val="0"/>
          <c:showCatName val="0"/>
          <c:showSerName val="0"/>
          <c:showPercent val="0"/>
          <c:showBubbleSize val="0"/>
        </c:dLbls>
        <c:axId val="414316280"/>
        <c:axId val="414311032"/>
      </c:scatterChart>
      <c:valAx>
        <c:axId val="4143162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Increasing distance from AMD Seeps (meters) </a:t>
                </a:r>
                <a:br>
                  <a:rPr lang="en-US"/>
                </a:br>
                <a:r>
                  <a:rPr lang="en-US"/>
                  <a:t>Along</a:t>
                </a:r>
                <a:r>
                  <a:rPr lang="en-US" baseline="0"/>
                  <a:t> the Theoretical Channel Flow Path</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311032"/>
        <c:crosses val="autoZero"/>
        <c:crossBetween val="midCat"/>
      </c:valAx>
      <c:valAx>
        <c:axId val="414311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Accumuulated Depth of Iron Oxides (cm)</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31628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28140779492465"/>
          <c:y val="0.11322318608479025"/>
          <c:w val="0.80076928619216725"/>
          <c:h val="0.7044982428043951"/>
        </c:manualLayout>
      </c:layout>
      <c:scatterChart>
        <c:scatterStyle val="smoothMarker"/>
        <c:varyColors val="0"/>
        <c:ser>
          <c:idx val="1"/>
          <c:order val="0"/>
          <c:tx>
            <c:strRef>
              <c:f>Average!$H$3</c:f>
              <c:strCache>
                <c:ptCount val="1"/>
                <c:pt idx="0">
                  <c:v>Total Iron</c:v>
                </c:pt>
              </c:strCache>
            </c:strRef>
          </c:tx>
          <c:errBars>
            <c:errDir val="y"/>
            <c:errBarType val="both"/>
            <c:errValType val="cust"/>
            <c:noEndCap val="0"/>
            <c:plus>
              <c:numRef>
                <c:f>Average!$I$4:$I$10</c:f>
                <c:numCache>
                  <c:formatCode>General</c:formatCode>
                  <c:ptCount val="7"/>
                  <c:pt idx="0">
                    <c:v>3.568899278755767</c:v>
                  </c:pt>
                  <c:pt idx="1">
                    <c:v>35.930140563185681</c:v>
                  </c:pt>
                  <c:pt idx="2">
                    <c:v>27.497586953811286</c:v>
                  </c:pt>
                  <c:pt idx="3">
                    <c:v>20.063674787477574</c:v>
                  </c:pt>
                  <c:pt idx="4">
                    <c:v>17.801194287393979</c:v>
                  </c:pt>
                  <c:pt idx="5">
                    <c:v>16.4715173567328</c:v>
                  </c:pt>
                  <c:pt idx="6">
                    <c:v>9.688968897861324</c:v>
                  </c:pt>
                </c:numCache>
              </c:numRef>
            </c:plus>
            <c:minus>
              <c:numRef>
                <c:f>Average!$I$4:$I$10</c:f>
                <c:numCache>
                  <c:formatCode>General</c:formatCode>
                  <c:ptCount val="7"/>
                  <c:pt idx="0">
                    <c:v>3.568899278755767</c:v>
                  </c:pt>
                  <c:pt idx="1">
                    <c:v>35.930140563185681</c:v>
                  </c:pt>
                  <c:pt idx="2">
                    <c:v>27.497586953811286</c:v>
                  </c:pt>
                  <c:pt idx="3">
                    <c:v>20.063674787477574</c:v>
                  </c:pt>
                  <c:pt idx="4">
                    <c:v>17.801194287393979</c:v>
                  </c:pt>
                  <c:pt idx="5">
                    <c:v>16.4715173567328</c:v>
                  </c:pt>
                  <c:pt idx="6">
                    <c:v>9.688968897861324</c:v>
                  </c:pt>
                </c:numCache>
              </c:numRef>
            </c:minus>
          </c:errBars>
          <c:errBars>
            <c:errDir val="x"/>
            <c:errBarType val="both"/>
            <c:errValType val="fixedVal"/>
            <c:noEndCap val="0"/>
            <c:val val="0"/>
          </c:errBars>
          <c:xVal>
            <c:numRef>
              <c:f>Average!$A$4:$A$10</c:f>
              <c:numCache>
                <c:formatCode>General</c:formatCode>
                <c:ptCount val="7"/>
                <c:pt idx="0">
                  <c:v>0</c:v>
                </c:pt>
                <c:pt idx="1">
                  <c:v>0.83</c:v>
                </c:pt>
                <c:pt idx="2">
                  <c:v>2.3199999999999998</c:v>
                </c:pt>
                <c:pt idx="3">
                  <c:v>3.39</c:v>
                </c:pt>
                <c:pt idx="4">
                  <c:v>4.5</c:v>
                </c:pt>
                <c:pt idx="5">
                  <c:v>6.48</c:v>
                </c:pt>
                <c:pt idx="6">
                  <c:v>7.09</c:v>
                </c:pt>
              </c:numCache>
            </c:numRef>
          </c:xVal>
          <c:yVal>
            <c:numRef>
              <c:f>Average!$H$4:$H$10</c:f>
              <c:numCache>
                <c:formatCode>0.000</c:formatCode>
                <c:ptCount val="7"/>
                <c:pt idx="0">
                  <c:v>171.95290999348435</c:v>
                </c:pt>
                <c:pt idx="1">
                  <c:v>42.157507166081231</c:v>
                </c:pt>
                <c:pt idx="2">
                  <c:v>32.594947039191148</c:v>
                </c:pt>
                <c:pt idx="3">
                  <c:v>27.224273644697451</c:v>
                </c:pt>
                <c:pt idx="4">
                  <c:v>25.339706315929746</c:v>
                </c:pt>
                <c:pt idx="5">
                  <c:v>19.268517384987561</c:v>
                </c:pt>
                <c:pt idx="6">
                  <c:v>27.04039681548614</c:v>
                </c:pt>
              </c:numCache>
            </c:numRef>
          </c:yVal>
          <c:smooth val="1"/>
          <c:extLst>
            <c:ext xmlns:c16="http://schemas.microsoft.com/office/drawing/2014/chart" uri="{C3380CC4-5D6E-409C-BE32-E72D297353CC}">
              <c16:uniqueId val="{00000000-3750-459E-9228-9FC7C5D44856}"/>
            </c:ext>
          </c:extLst>
        </c:ser>
        <c:ser>
          <c:idx val="0"/>
          <c:order val="1"/>
          <c:tx>
            <c:strRef>
              <c:f>Average!$H$13</c:f>
              <c:strCache>
                <c:ptCount val="1"/>
                <c:pt idx="0">
                  <c:v>Dissolved Iron</c:v>
                </c:pt>
              </c:strCache>
            </c:strRef>
          </c:tx>
          <c:errBars>
            <c:errDir val="y"/>
            <c:errBarType val="both"/>
            <c:errValType val="cust"/>
            <c:noEndCap val="0"/>
            <c:plus>
              <c:numRef>
                <c:f>Average!$I$14:$I$20</c:f>
                <c:numCache>
                  <c:formatCode>General</c:formatCode>
                  <c:ptCount val="7"/>
                  <c:pt idx="0">
                    <c:v>3.4985749711573306</c:v>
                  </c:pt>
                  <c:pt idx="1">
                    <c:v>34.810008509070492</c:v>
                  </c:pt>
                  <c:pt idx="2">
                    <c:v>26.555271942264607</c:v>
                  </c:pt>
                  <c:pt idx="3">
                    <c:v>18.061776394565815</c:v>
                  </c:pt>
                  <c:pt idx="4">
                    <c:v>19.161715815416841</c:v>
                  </c:pt>
                  <c:pt idx="5">
                    <c:v>11.815963033708195</c:v>
                  </c:pt>
                  <c:pt idx="6">
                    <c:v>9.8961764553236709</c:v>
                  </c:pt>
                </c:numCache>
              </c:numRef>
            </c:plus>
            <c:minus>
              <c:numRef>
                <c:f>Average!$I$14:$I$20</c:f>
                <c:numCache>
                  <c:formatCode>General</c:formatCode>
                  <c:ptCount val="7"/>
                  <c:pt idx="0">
                    <c:v>3.4985749711573306</c:v>
                  </c:pt>
                  <c:pt idx="1">
                    <c:v>34.810008509070492</c:v>
                  </c:pt>
                  <c:pt idx="2">
                    <c:v>26.555271942264607</c:v>
                  </c:pt>
                  <c:pt idx="3">
                    <c:v>18.061776394565815</c:v>
                  </c:pt>
                  <c:pt idx="4">
                    <c:v>19.161715815416841</c:v>
                  </c:pt>
                  <c:pt idx="5">
                    <c:v>11.815963033708195</c:v>
                  </c:pt>
                  <c:pt idx="6">
                    <c:v>9.8961764553236709</c:v>
                  </c:pt>
                </c:numCache>
              </c:numRef>
            </c:minus>
          </c:errBars>
          <c:errBars>
            <c:errDir val="x"/>
            <c:errBarType val="both"/>
            <c:errValType val="fixedVal"/>
            <c:noEndCap val="0"/>
            <c:val val="0"/>
          </c:errBars>
          <c:xVal>
            <c:numRef>
              <c:f>Average!$A$14:$A$20</c:f>
              <c:numCache>
                <c:formatCode>General</c:formatCode>
                <c:ptCount val="7"/>
                <c:pt idx="0">
                  <c:v>0</c:v>
                </c:pt>
                <c:pt idx="1">
                  <c:v>0.83</c:v>
                </c:pt>
                <c:pt idx="2">
                  <c:v>2.3199999999999998</c:v>
                </c:pt>
                <c:pt idx="3">
                  <c:v>3.39</c:v>
                </c:pt>
                <c:pt idx="4">
                  <c:v>4.5</c:v>
                </c:pt>
                <c:pt idx="5">
                  <c:v>6.48</c:v>
                </c:pt>
                <c:pt idx="6">
                  <c:v>7.09</c:v>
                </c:pt>
              </c:numCache>
            </c:numRef>
          </c:xVal>
          <c:yVal>
            <c:numRef>
              <c:f>Average!$H$14:$H$20</c:f>
              <c:numCache>
                <c:formatCode>0.000</c:formatCode>
                <c:ptCount val="7"/>
                <c:pt idx="0">
                  <c:v>172.2513308320124</c:v>
                </c:pt>
                <c:pt idx="1">
                  <c:v>24.899442833180949</c:v>
                </c:pt>
                <c:pt idx="2">
                  <c:v>18.40344150863314</c:v>
                </c:pt>
                <c:pt idx="3">
                  <c:v>13.366370384000048</c:v>
                </c:pt>
                <c:pt idx="4">
                  <c:v>16.644197823736263</c:v>
                </c:pt>
                <c:pt idx="5">
                  <c:v>9.8697187109635962</c:v>
                </c:pt>
                <c:pt idx="6">
                  <c:v>17.685903443194199</c:v>
                </c:pt>
              </c:numCache>
            </c:numRef>
          </c:yVal>
          <c:smooth val="1"/>
          <c:extLst>
            <c:ext xmlns:c16="http://schemas.microsoft.com/office/drawing/2014/chart" uri="{C3380CC4-5D6E-409C-BE32-E72D297353CC}">
              <c16:uniqueId val="{00000001-3750-459E-9228-9FC7C5D44856}"/>
            </c:ext>
          </c:extLst>
        </c:ser>
        <c:dLbls>
          <c:showLegendKey val="0"/>
          <c:showVal val="0"/>
          <c:showCatName val="0"/>
          <c:showSerName val="0"/>
          <c:showPercent val="0"/>
          <c:showBubbleSize val="0"/>
        </c:dLbls>
        <c:axId val="332920632"/>
        <c:axId val="1"/>
      </c:scatterChart>
      <c:valAx>
        <c:axId val="332920632"/>
        <c:scaling>
          <c:orientation val="minMax"/>
        </c:scaling>
        <c:delete val="0"/>
        <c:axPos val="b"/>
        <c:title>
          <c:tx>
            <c:rich>
              <a:bodyPr/>
              <a:lstStyle/>
              <a:p>
                <a:pPr>
                  <a:defRPr/>
                </a:pPr>
                <a:r>
                  <a:rPr lang="en-US"/>
                  <a:t>Design Hydraulic Retention Time (Days)</a:t>
                </a:r>
              </a:p>
            </c:rich>
          </c:tx>
          <c:layout/>
          <c:overlay val="0"/>
        </c:title>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
        <c:crosses val="autoZero"/>
        <c:crossBetween val="midCat"/>
      </c:valAx>
      <c:valAx>
        <c:axId val="1"/>
        <c:scaling>
          <c:orientation val="minMax"/>
        </c:scaling>
        <c:delete val="0"/>
        <c:axPos val="l"/>
        <c:title>
          <c:tx>
            <c:rich>
              <a:bodyPr/>
              <a:lstStyle/>
              <a:p>
                <a:pPr>
                  <a:defRPr/>
                </a:pPr>
                <a:r>
                  <a:rPr lang="en-US"/>
                  <a:t>Iron Concentration (mg/L)</a:t>
                </a:r>
              </a:p>
            </c:rich>
          </c:tx>
          <c:layout/>
          <c:overlay val="0"/>
        </c:title>
        <c:numFmt formatCode="0" sourceLinked="0"/>
        <c:majorTickMark val="none"/>
        <c:minorTickMark val="none"/>
        <c:tickLblPos val="nextTo"/>
        <c:crossAx val="332920632"/>
        <c:crosses val="autoZero"/>
        <c:crossBetween val="midCat"/>
      </c:valAx>
    </c:plotArea>
    <c:legend>
      <c:legendPos val="r"/>
      <c:layout>
        <c:manualLayout>
          <c:xMode val="edge"/>
          <c:yMode val="edge"/>
          <c:x val="0.4558077299161134"/>
          <c:y val="3.4813648293963252E-2"/>
          <c:w val="0.39092419329936706"/>
          <c:h val="0.33452057475866359"/>
        </c:manualLayout>
      </c:layout>
      <c:overlay val="0"/>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722057338986473"/>
          <c:y val="8.1137475559257183E-2"/>
          <c:w val="0.80543643583013658"/>
          <c:h val="0.77108261248285914"/>
        </c:manualLayout>
      </c:layout>
      <c:barChart>
        <c:barDir val="col"/>
        <c:grouping val="clustered"/>
        <c:varyColors val="0"/>
        <c:ser>
          <c:idx val="0"/>
          <c:order val="0"/>
          <c:tx>
            <c:strRef>
              <c:f>'Depth Map'!$U$20</c:f>
              <c:strCache>
                <c:ptCount val="1"/>
                <c:pt idx="0">
                  <c:v>Average</c:v>
                </c:pt>
              </c:strCache>
            </c:strRef>
          </c:tx>
          <c:spPr>
            <a:solidFill>
              <a:schemeClr val="accent2">
                <a:lumMod val="75000"/>
              </a:schemeClr>
            </a:solidFill>
            <a:ln w="9525" cap="flat" cmpd="sng" algn="ctr">
              <a:solidFill>
                <a:schemeClr val="lt1">
                  <a:shade val="95000"/>
                  <a:satMod val="105000"/>
                </a:schemeClr>
              </a:solidFill>
              <a:prstDash val="solid"/>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shade val="95000"/>
                          <a:satMod val="105000"/>
                        </a:schemeClr>
                      </a:solidFill>
                      <a:prstDash val="solid"/>
                      <a:round/>
                    </a:ln>
                    <a:effectLst/>
                  </c:spPr>
                </c15:leaderLines>
              </c:ext>
            </c:extLst>
          </c:dLbls>
          <c:errBars>
            <c:errBarType val="both"/>
            <c:errValType val="cust"/>
            <c:noEndCap val="0"/>
            <c:plus>
              <c:numRef>
                <c:f>'Depth Map'!$V$21:$X$21</c:f>
                <c:numCache>
                  <c:formatCode>General</c:formatCode>
                  <c:ptCount val="3"/>
                  <c:pt idx="0">
                    <c:v>1.4142135623730951</c:v>
                  </c:pt>
                  <c:pt idx="1">
                    <c:v>2.5927248643506751</c:v>
                  </c:pt>
                  <c:pt idx="2">
                    <c:v>5.1854497287013617</c:v>
                  </c:pt>
                </c:numCache>
              </c:numRef>
            </c:plus>
            <c:minus>
              <c:numRef>
                <c:f>'Depth Map'!$V$21:$X$21</c:f>
                <c:numCache>
                  <c:formatCode>General</c:formatCode>
                  <c:ptCount val="3"/>
                  <c:pt idx="0">
                    <c:v>1.4142135623730951</c:v>
                  </c:pt>
                  <c:pt idx="1">
                    <c:v>2.5927248643506751</c:v>
                  </c:pt>
                  <c:pt idx="2">
                    <c:v>5.1854497287013617</c:v>
                  </c:pt>
                </c:numCache>
              </c:numRef>
            </c:minus>
            <c:spPr>
              <a:solidFill>
                <a:schemeClr val="tx1"/>
              </a:solidFill>
              <a:ln w="9525" cap="flat" cmpd="sng" algn="ctr">
                <a:solidFill>
                  <a:schemeClr val="tx1">
                    <a:shade val="95000"/>
                    <a:satMod val="105000"/>
                  </a:schemeClr>
                </a:solidFill>
                <a:prstDash val="solid"/>
                <a:round/>
              </a:ln>
              <a:effectLst/>
            </c:spPr>
          </c:errBars>
          <c:cat>
            <c:strRef>
              <c:f>'Depth Map'!$V$17:$X$17</c:f>
              <c:strCache>
                <c:ptCount val="3"/>
                <c:pt idx="0">
                  <c:v>Section 1 (Pond)</c:v>
                </c:pt>
                <c:pt idx="1">
                  <c:v>Section 2 (Marsh)</c:v>
                </c:pt>
                <c:pt idx="2">
                  <c:v>Section 3 (Pond)</c:v>
                </c:pt>
              </c:strCache>
            </c:strRef>
          </c:cat>
          <c:val>
            <c:numRef>
              <c:f>'Depth Map'!$V$20:$X$20</c:f>
              <c:numCache>
                <c:formatCode>0</c:formatCode>
                <c:ptCount val="3"/>
                <c:pt idx="0">
                  <c:v>37</c:v>
                </c:pt>
                <c:pt idx="1">
                  <c:v>19.833333333333336</c:v>
                </c:pt>
                <c:pt idx="2">
                  <c:v>18.666666666666664</c:v>
                </c:pt>
              </c:numCache>
            </c:numRef>
          </c:val>
          <c:extLst>
            <c:ext xmlns:c16="http://schemas.microsoft.com/office/drawing/2014/chart" uri="{C3380CC4-5D6E-409C-BE32-E72D297353CC}">
              <c16:uniqueId val="{00000000-F25B-430C-B09F-097FB80DA22B}"/>
            </c:ext>
          </c:extLst>
        </c:ser>
        <c:dLbls>
          <c:dLblPos val="inEnd"/>
          <c:showLegendKey val="0"/>
          <c:showVal val="1"/>
          <c:showCatName val="0"/>
          <c:showSerName val="0"/>
          <c:showPercent val="0"/>
          <c:showBubbleSize val="0"/>
        </c:dLbls>
        <c:gapWidth val="150"/>
        <c:axId val="135260800"/>
        <c:axId val="136032640"/>
      </c:barChart>
      <c:catAx>
        <c:axId val="135260800"/>
        <c:scaling>
          <c:orientation val="minMax"/>
        </c:scaling>
        <c:delete val="0"/>
        <c:axPos val="b"/>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36032640"/>
        <c:crosses val="autoZero"/>
        <c:auto val="1"/>
        <c:lblAlgn val="ctr"/>
        <c:lblOffset val="100"/>
        <c:noMultiLvlLbl val="0"/>
      </c:catAx>
      <c:valAx>
        <c:axId val="136032640"/>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b="0"/>
                  <a:t>Total Accumulated Solids (cm)</a:t>
                </a:r>
              </a:p>
            </c:rich>
          </c:tx>
          <c:layout>
            <c:manualLayout>
              <c:xMode val="edge"/>
              <c:yMode val="edge"/>
              <c:x val="2.8463557439935384E-2"/>
              <c:y val="0.1571989153053568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35260800"/>
        <c:crosses val="autoZero"/>
        <c:crossBetween val="between"/>
      </c:valAx>
      <c:spPr>
        <a:solidFill>
          <a:schemeClr val="bg1"/>
        </a:solidFill>
        <a:ln>
          <a:noFill/>
        </a:ln>
        <a:effectLst/>
      </c:spPr>
    </c:plotArea>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9906388041464"/>
          <c:y val="5.3551729946800131E-2"/>
          <c:w val="0.8449867962523061"/>
          <c:h val="0.78695353298229043"/>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sysDot"/>
              </a:ln>
              <a:effectLst/>
            </c:spPr>
            <c:trendlineType val="poly"/>
            <c:order val="6"/>
            <c:dispRSqr val="0"/>
            <c:dispEq val="0"/>
          </c:trendline>
          <c:xVal>
            <c:numRef>
              <c:f>'C1OUT'!$P$3:$P$893</c:f>
              <c:numCache>
                <c:formatCode>0.00</c:formatCode>
                <c:ptCount val="891"/>
                <c:pt idx="0">
                  <c:v>-3.125E-2</c:v>
                </c:pt>
                <c:pt idx="1">
                  <c:v>-1.0416666666666666E-2</c:v>
                </c:pt>
                <c:pt idx="2">
                  <c:v>0</c:v>
                </c:pt>
                <c:pt idx="3">
                  <c:v>1.0416666666666666E-2</c:v>
                </c:pt>
                <c:pt idx="4">
                  <c:v>3.125E-2</c:v>
                </c:pt>
                <c:pt idx="5">
                  <c:v>4.1666666666666664E-2</c:v>
                </c:pt>
                <c:pt idx="6">
                  <c:v>5.2083333333333329E-2</c:v>
                </c:pt>
                <c:pt idx="7">
                  <c:v>6.25E-2</c:v>
                </c:pt>
                <c:pt idx="8">
                  <c:v>8.3333333333333329E-2</c:v>
                </c:pt>
                <c:pt idx="9">
                  <c:v>9.375E-2</c:v>
                </c:pt>
                <c:pt idx="10">
                  <c:v>0.10416666666666666</c:v>
                </c:pt>
                <c:pt idx="11">
                  <c:v>0.125</c:v>
                </c:pt>
                <c:pt idx="12">
                  <c:v>0.13541666666666666</c:v>
                </c:pt>
                <c:pt idx="13">
                  <c:v>0.14583333333333331</c:v>
                </c:pt>
                <c:pt idx="14">
                  <c:v>0.15625</c:v>
                </c:pt>
                <c:pt idx="15">
                  <c:v>0.16666666666666666</c:v>
                </c:pt>
                <c:pt idx="16">
                  <c:v>0.1875</c:v>
                </c:pt>
                <c:pt idx="17">
                  <c:v>0.19791666666666666</c:v>
                </c:pt>
                <c:pt idx="18">
                  <c:v>0.20833333333333331</c:v>
                </c:pt>
                <c:pt idx="19">
                  <c:v>0.22916666666666666</c:v>
                </c:pt>
                <c:pt idx="20">
                  <c:v>0.23958333333333331</c:v>
                </c:pt>
                <c:pt idx="21">
                  <c:v>0.25</c:v>
                </c:pt>
                <c:pt idx="22">
                  <c:v>0.27083333333333331</c:v>
                </c:pt>
                <c:pt idx="23">
                  <c:v>0.28125</c:v>
                </c:pt>
                <c:pt idx="24">
                  <c:v>0.3125</c:v>
                </c:pt>
                <c:pt idx="25">
                  <c:v>0.32291666666666663</c:v>
                </c:pt>
                <c:pt idx="26">
                  <c:v>0.33333333333333331</c:v>
                </c:pt>
                <c:pt idx="27">
                  <c:v>0.34375</c:v>
                </c:pt>
                <c:pt idx="28">
                  <c:v>0.35416666666666663</c:v>
                </c:pt>
                <c:pt idx="29">
                  <c:v>0.36458333333333331</c:v>
                </c:pt>
                <c:pt idx="30">
                  <c:v>0.375</c:v>
                </c:pt>
                <c:pt idx="31">
                  <c:v>0.38541666666666663</c:v>
                </c:pt>
                <c:pt idx="32">
                  <c:v>0.41666666666666663</c:v>
                </c:pt>
                <c:pt idx="33">
                  <c:v>0.42708333333333331</c:v>
                </c:pt>
                <c:pt idx="34">
                  <c:v>0.4375</c:v>
                </c:pt>
                <c:pt idx="35">
                  <c:v>0.45833333333333331</c:v>
                </c:pt>
                <c:pt idx="36">
                  <c:v>0.46875</c:v>
                </c:pt>
                <c:pt idx="37">
                  <c:v>0.47916666666666663</c:v>
                </c:pt>
                <c:pt idx="38">
                  <c:v>0.48958333333333331</c:v>
                </c:pt>
                <c:pt idx="39">
                  <c:v>0.52083333333333326</c:v>
                </c:pt>
                <c:pt idx="40">
                  <c:v>0.53125</c:v>
                </c:pt>
                <c:pt idx="41">
                  <c:v>0.55208333333333326</c:v>
                </c:pt>
                <c:pt idx="42">
                  <c:v>0.5625</c:v>
                </c:pt>
                <c:pt idx="43">
                  <c:v>0.57291666666666663</c:v>
                </c:pt>
                <c:pt idx="44">
                  <c:v>0.58333333333333326</c:v>
                </c:pt>
                <c:pt idx="45">
                  <c:v>0.59375</c:v>
                </c:pt>
                <c:pt idx="46">
                  <c:v>0.60416666666666663</c:v>
                </c:pt>
                <c:pt idx="47">
                  <c:v>0.61458333333333326</c:v>
                </c:pt>
                <c:pt idx="48">
                  <c:v>0.63541666666666663</c:v>
                </c:pt>
                <c:pt idx="49">
                  <c:v>0.64583333333333326</c:v>
                </c:pt>
                <c:pt idx="50">
                  <c:v>0.65625</c:v>
                </c:pt>
                <c:pt idx="51">
                  <c:v>0.66666666666666663</c:v>
                </c:pt>
                <c:pt idx="52">
                  <c:v>0.80208333333333326</c:v>
                </c:pt>
                <c:pt idx="53">
                  <c:v>0.8125</c:v>
                </c:pt>
                <c:pt idx="54">
                  <c:v>0.82291666666666663</c:v>
                </c:pt>
                <c:pt idx="55">
                  <c:v>0.84375</c:v>
                </c:pt>
                <c:pt idx="56">
                  <c:v>0.85416666666666663</c:v>
                </c:pt>
                <c:pt idx="57">
                  <c:v>0.86458333333333326</c:v>
                </c:pt>
                <c:pt idx="58">
                  <c:v>0.875</c:v>
                </c:pt>
                <c:pt idx="59">
                  <c:v>0.88541666666666663</c:v>
                </c:pt>
                <c:pt idx="60">
                  <c:v>0.90625</c:v>
                </c:pt>
                <c:pt idx="61">
                  <c:v>0.9375</c:v>
                </c:pt>
                <c:pt idx="62">
                  <c:v>0.94791666666666663</c:v>
                </c:pt>
                <c:pt idx="63">
                  <c:v>0.95833333333333326</c:v>
                </c:pt>
                <c:pt idx="64">
                  <c:v>0.96875</c:v>
                </c:pt>
                <c:pt idx="65">
                  <c:v>0.97916666666666663</c:v>
                </c:pt>
                <c:pt idx="66">
                  <c:v>1.0104166666666665</c:v>
                </c:pt>
                <c:pt idx="67">
                  <c:v>1.0208333333333333</c:v>
                </c:pt>
                <c:pt idx="68">
                  <c:v>1.03125</c:v>
                </c:pt>
                <c:pt idx="69">
                  <c:v>1.0416666666666665</c:v>
                </c:pt>
                <c:pt idx="70">
                  <c:v>1.0625</c:v>
                </c:pt>
                <c:pt idx="71">
                  <c:v>1.0729166666666665</c:v>
                </c:pt>
                <c:pt idx="72">
                  <c:v>1.0833333333333333</c:v>
                </c:pt>
                <c:pt idx="73">
                  <c:v>1.1041666666666665</c:v>
                </c:pt>
                <c:pt idx="74">
                  <c:v>1.1145833333333333</c:v>
                </c:pt>
                <c:pt idx="75">
                  <c:v>1.125</c:v>
                </c:pt>
                <c:pt idx="76">
                  <c:v>1.1354166666666665</c:v>
                </c:pt>
                <c:pt idx="77">
                  <c:v>1.1458333333333333</c:v>
                </c:pt>
                <c:pt idx="78">
                  <c:v>1.15625</c:v>
                </c:pt>
                <c:pt idx="79">
                  <c:v>1.1770833333333333</c:v>
                </c:pt>
                <c:pt idx="80">
                  <c:v>1.1875</c:v>
                </c:pt>
                <c:pt idx="81">
                  <c:v>1.2395833333333333</c:v>
                </c:pt>
                <c:pt idx="82">
                  <c:v>1.25</c:v>
                </c:pt>
                <c:pt idx="83">
                  <c:v>1.2604166666666665</c:v>
                </c:pt>
                <c:pt idx="84">
                  <c:v>1.3020833333333333</c:v>
                </c:pt>
                <c:pt idx="85">
                  <c:v>1.3125</c:v>
                </c:pt>
                <c:pt idx="86">
                  <c:v>1.3333333333333333</c:v>
                </c:pt>
                <c:pt idx="87">
                  <c:v>1.34375</c:v>
                </c:pt>
                <c:pt idx="88">
                  <c:v>1.3541666666666665</c:v>
                </c:pt>
                <c:pt idx="89">
                  <c:v>1.3645833333333333</c:v>
                </c:pt>
                <c:pt idx="90">
                  <c:v>1.3854166666666665</c:v>
                </c:pt>
                <c:pt idx="91">
                  <c:v>1.40625</c:v>
                </c:pt>
                <c:pt idx="92">
                  <c:v>1.4166666666666665</c:v>
                </c:pt>
                <c:pt idx="93">
                  <c:v>1.4270833333333333</c:v>
                </c:pt>
                <c:pt idx="94">
                  <c:v>1.4375</c:v>
                </c:pt>
                <c:pt idx="95">
                  <c:v>1.4583333333333333</c:v>
                </c:pt>
                <c:pt idx="96">
                  <c:v>1.4791666666666665</c:v>
                </c:pt>
                <c:pt idx="97">
                  <c:v>1.5</c:v>
                </c:pt>
                <c:pt idx="98">
                  <c:v>1.5104166666666665</c:v>
                </c:pt>
                <c:pt idx="99">
                  <c:v>1.5208333333333333</c:v>
                </c:pt>
                <c:pt idx="100">
                  <c:v>1.5520833333333333</c:v>
                </c:pt>
                <c:pt idx="101">
                  <c:v>1.5625</c:v>
                </c:pt>
                <c:pt idx="102">
                  <c:v>1.6041666666666665</c:v>
                </c:pt>
                <c:pt idx="103">
                  <c:v>1.625</c:v>
                </c:pt>
                <c:pt idx="104">
                  <c:v>1.6354166666666665</c:v>
                </c:pt>
                <c:pt idx="105">
                  <c:v>1.6458333333333333</c:v>
                </c:pt>
                <c:pt idx="106">
                  <c:v>1.6979166666666665</c:v>
                </c:pt>
                <c:pt idx="107">
                  <c:v>1.7291666666666665</c:v>
                </c:pt>
                <c:pt idx="108">
                  <c:v>1.7395833333333333</c:v>
                </c:pt>
                <c:pt idx="109">
                  <c:v>1.7708333333333333</c:v>
                </c:pt>
                <c:pt idx="110">
                  <c:v>1.78125</c:v>
                </c:pt>
                <c:pt idx="111">
                  <c:v>1.7916666666666665</c:v>
                </c:pt>
                <c:pt idx="112">
                  <c:v>1.8020833333333333</c:v>
                </c:pt>
                <c:pt idx="113">
                  <c:v>1.8125</c:v>
                </c:pt>
                <c:pt idx="114">
                  <c:v>1.8229166666666665</c:v>
                </c:pt>
                <c:pt idx="115">
                  <c:v>1.8541666666666665</c:v>
                </c:pt>
                <c:pt idx="116">
                  <c:v>1.875</c:v>
                </c:pt>
                <c:pt idx="117">
                  <c:v>1.8854166666666665</c:v>
                </c:pt>
                <c:pt idx="118">
                  <c:v>1.8958333333333333</c:v>
                </c:pt>
                <c:pt idx="119">
                  <c:v>1.90625</c:v>
                </c:pt>
                <c:pt idx="120">
                  <c:v>1.9166666666666665</c:v>
                </c:pt>
                <c:pt idx="121">
                  <c:v>1.9270833333333333</c:v>
                </c:pt>
                <c:pt idx="122">
                  <c:v>1.9375</c:v>
                </c:pt>
                <c:pt idx="123">
                  <c:v>1.9479166666666665</c:v>
                </c:pt>
                <c:pt idx="124">
                  <c:v>1.96875</c:v>
                </c:pt>
                <c:pt idx="125">
                  <c:v>1.9791666666666665</c:v>
                </c:pt>
                <c:pt idx="126">
                  <c:v>2</c:v>
                </c:pt>
                <c:pt idx="127">
                  <c:v>2.0104166666666665</c:v>
                </c:pt>
                <c:pt idx="128">
                  <c:v>2.020833333333333</c:v>
                </c:pt>
                <c:pt idx="129">
                  <c:v>2.0416666666666665</c:v>
                </c:pt>
                <c:pt idx="130">
                  <c:v>2.052083333333333</c:v>
                </c:pt>
                <c:pt idx="131">
                  <c:v>2.1041666666666665</c:v>
                </c:pt>
                <c:pt idx="132">
                  <c:v>2.114583333333333</c:v>
                </c:pt>
                <c:pt idx="133">
                  <c:v>2.15625</c:v>
                </c:pt>
                <c:pt idx="134">
                  <c:v>2.1666666666666665</c:v>
                </c:pt>
                <c:pt idx="135">
                  <c:v>2.1979166666666665</c:v>
                </c:pt>
                <c:pt idx="136">
                  <c:v>2.208333333333333</c:v>
                </c:pt>
                <c:pt idx="137">
                  <c:v>2.21875</c:v>
                </c:pt>
                <c:pt idx="138">
                  <c:v>2.2291666666666665</c:v>
                </c:pt>
                <c:pt idx="139">
                  <c:v>2.25</c:v>
                </c:pt>
                <c:pt idx="140">
                  <c:v>2.2604166666666665</c:v>
                </c:pt>
                <c:pt idx="141">
                  <c:v>2.270833333333333</c:v>
                </c:pt>
                <c:pt idx="142">
                  <c:v>2.28125</c:v>
                </c:pt>
                <c:pt idx="143">
                  <c:v>2.2916666666666665</c:v>
                </c:pt>
                <c:pt idx="144">
                  <c:v>2.302083333333333</c:v>
                </c:pt>
                <c:pt idx="145">
                  <c:v>2.3125</c:v>
                </c:pt>
                <c:pt idx="146">
                  <c:v>2.3229166666666665</c:v>
                </c:pt>
                <c:pt idx="147">
                  <c:v>2.34375</c:v>
                </c:pt>
                <c:pt idx="148">
                  <c:v>2.3541666666666665</c:v>
                </c:pt>
                <c:pt idx="149">
                  <c:v>2.364583333333333</c:v>
                </c:pt>
                <c:pt idx="150">
                  <c:v>2.375</c:v>
                </c:pt>
                <c:pt idx="151">
                  <c:v>2.3854166666666665</c:v>
                </c:pt>
                <c:pt idx="152">
                  <c:v>2.395833333333333</c:v>
                </c:pt>
                <c:pt idx="153">
                  <c:v>2.4166666666666665</c:v>
                </c:pt>
                <c:pt idx="154">
                  <c:v>2.427083333333333</c:v>
                </c:pt>
                <c:pt idx="155">
                  <c:v>2.4479166666666665</c:v>
                </c:pt>
                <c:pt idx="156">
                  <c:v>2.458333333333333</c:v>
                </c:pt>
                <c:pt idx="157">
                  <c:v>2.46875</c:v>
                </c:pt>
                <c:pt idx="158">
                  <c:v>2.489583333333333</c:v>
                </c:pt>
                <c:pt idx="159">
                  <c:v>2.5</c:v>
                </c:pt>
                <c:pt idx="160">
                  <c:v>2.53125</c:v>
                </c:pt>
                <c:pt idx="161">
                  <c:v>2.5625</c:v>
                </c:pt>
                <c:pt idx="162">
                  <c:v>2.59375</c:v>
                </c:pt>
                <c:pt idx="163">
                  <c:v>2.6041666666666665</c:v>
                </c:pt>
                <c:pt idx="164">
                  <c:v>2.614583333333333</c:v>
                </c:pt>
                <c:pt idx="165">
                  <c:v>2.625</c:v>
                </c:pt>
                <c:pt idx="166">
                  <c:v>2.645833333333333</c:v>
                </c:pt>
                <c:pt idx="167">
                  <c:v>2.65625</c:v>
                </c:pt>
                <c:pt idx="168">
                  <c:v>2.6666666666666665</c:v>
                </c:pt>
                <c:pt idx="169">
                  <c:v>2.677083333333333</c:v>
                </c:pt>
                <c:pt idx="170">
                  <c:v>2.6875</c:v>
                </c:pt>
                <c:pt idx="171">
                  <c:v>2.708333333333333</c:v>
                </c:pt>
                <c:pt idx="172">
                  <c:v>2.71875</c:v>
                </c:pt>
                <c:pt idx="173">
                  <c:v>2.7291666666666665</c:v>
                </c:pt>
                <c:pt idx="174">
                  <c:v>2.75</c:v>
                </c:pt>
                <c:pt idx="175">
                  <c:v>2.7604166666666665</c:v>
                </c:pt>
                <c:pt idx="176">
                  <c:v>2.770833333333333</c:v>
                </c:pt>
                <c:pt idx="177">
                  <c:v>2.78125</c:v>
                </c:pt>
                <c:pt idx="178">
                  <c:v>2.7916666666666665</c:v>
                </c:pt>
                <c:pt idx="179">
                  <c:v>2.8125</c:v>
                </c:pt>
                <c:pt idx="180">
                  <c:v>2.833333333333333</c:v>
                </c:pt>
                <c:pt idx="181">
                  <c:v>2.84375</c:v>
                </c:pt>
                <c:pt idx="182">
                  <c:v>2.864583333333333</c:v>
                </c:pt>
                <c:pt idx="183">
                  <c:v>2.8854166666666665</c:v>
                </c:pt>
                <c:pt idx="184">
                  <c:v>2.895833333333333</c:v>
                </c:pt>
                <c:pt idx="185">
                  <c:v>2.90625</c:v>
                </c:pt>
                <c:pt idx="186">
                  <c:v>2.9166666666666665</c:v>
                </c:pt>
                <c:pt idx="187">
                  <c:v>2.927083333333333</c:v>
                </c:pt>
                <c:pt idx="188">
                  <c:v>2.9375</c:v>
                </c:pt>
                <c:pt idx="189">
                  <c:v>2.9479166666666665</c:v>
                </c:pt>
                <c:pt idx="190">
                  <c:v>2.958333333333333</c:v>
                </c:pt>
                <c:pt idx="191">
                  <c:v>2.9791666666666665</c:v>
                </c:pt>
                <c:pt idx="192">
                  <c:v>2.989583333333333</c:v>
                </c:pt>
                <c:pt idx="193">
                  <c:v>3</c:v>
                </c:pt>
                <c:pt idx="194">
                  <c:v>3.0104166666666665</c:v>
                </c:pt>
                <c:pt idx="195">
                  <c:v>3.03125</c:v>
                </c:pt>
                <c:pt idx="196">
                  <c:v>3.0416666666666665</c:v>
                </c:pt>
                <c:pt idx="197">
                  <c:v>3.052083333333333</c:v>
                </c:pt>
                <c:pt idx="198">
                  <c:v>3.0625</c:v>
                </c:pt>
                <c:pt idx="199">
                  <c:v>3.0729166666666665</c:v>
                </c:pt>
                <c:pt idx="200">
                  <c:v>3.09375</c:v>
                </c:pt>
                <c:pt idx="201">
                  <c:v>3.145833333333333</c:v>
                </c:pt>
                <c:pt idx="202">
                  <c:v>3.15625</c:v>
                </c:pt>
                <c:pt idx="203">
                  <c:v>3.1666666666666665</c:v>
                </c:pt>
                <c:pt idx="204">
                  <c:v>3.177083333333333</c:v>
                </c:pt>
                <c:pt idx="205">
                  <c:v>3.1875</c:v>
                </c:pt>
                <c:pt idx="206">
                  <c:v>3.1979166666666665</c:v>
                </c:pt>
                <c:pt idx="207">
                  <c:v>3.21875</c:v>
                </c:pt>
                <c:pt idx="208">
                  <c:v>3.2291666666666665</c:v>
                </c:pt>
                <c:pt idx="209">
                  <c:v>3.239583333333333</c:v>
                </c:pt>
                <c:pt idx="210">
                  <c:v>3.25</c:v>
                </c:pt>
                <c:pt idx="211">
                  <c:v>3.2604166666666665</c:v>
                </c:pt>
                <c:pt idx="212">
                  <c:v>3.2916666666666665</c:v>
                </c:pt>
                <c:pt idx="213">
                  <c:v>3.3125</c:v>
                </c:pt>
                <c:pt idx="214">
                  <c:v>3.3229166666666665</c:v>
                </c:pt>
                <c:pt idx="215">
                  <c:v>3.364583333333333</c:v>
                </c:pt>
                <c:pt idx="216">
                  <c:v>3.4375</c:v>
                </c:pt>
                <c:pt idx="217">
                  <c:v>3.458333333333333</c:v>
                </c:pt>
                <c:pt idx="218">
                  <c:v>3.46875</c:v>
                </c:pt>
                <c:pt idx="219">
                  <c:v>3.489583333333333</c:v>
                </c:pt>
                <c:pt idx="220">
                  <c:v>3.53125</c:v>
                </c:pt>
                <c:pt idx="221">
                  <c:v>3.5416666666666665</c:v>
                </c:pt>
                <c:pt idx="222">
                  <c:v>3.5729166666666665</c:v>
                </c:pt>
                <c:pt idx="223">
                  <c:v>3.6041666666666665</c:v>
                </c:pt>
                <c:pt idx="224">
                  <c:v>3.625</c:v>
                </c:pt>
                <c:pt idx="225">
                  <c:v>3.6354166666666665</c:v>
                </c:pt>
                <c:pt idx="226">
                  <c:v>3.645833333333333</c:v>
                </c:pt>
                <c:pt idx="227">
                  <c:v>3.677083333333333</c:v>
                </c:pt>
                <c:pt idx="228">
                  <c:v>3.6875</c:v>
                </c:pt>
                <c:pt idx="229">
                  <c:v>3.708333333333333</c:v>
                </c:pt>
                <c:pt idx="230">
                  <c:v>3.71875</c:v>
                </c:pt>
                <c:pt idx="231">
                  <c:v>3.7291666666666665</c:v>
                </c:pt>
                <c:pt idx="232">
                  <c:v>3.739583333333333</c:v>
                </c:pt>
                <c:pt idx="233">
                  <c:v>3.7604166666666665</c:v>
                </c:pt>
                <c:pt idx="234">
                  <c:v>3.78125</c:v>
                </c:pt>
                <c:pt idx="235">
                  <c:v>3.802083333333333</c:v>
                </c:pt>
                <c:pt idx="236">
                  <c:v>3.8125</c:v>
                </c:pt>
                <c:pt idx="237">
                  <c:v>3.833333333333333</c:v>
                </c:pt>
                <c:pt idx="238">
                  <c:v>3.84375</c:v>
                </c:pt>
                <c:pt idx="239">
                  <c:v>3.8854166666666665</c:v>
                </c:pt>
                <c:pt idx="240">
                  <c:v>3.9166666666666665</c:v>
                </c:pt>
                <c:pt idx="241">
                  <c:v>3.927083333333333</c:v>
                </c:pt>
                <c:pt idx="242">
                  <c:v>3.9375</c:v>
                </c:pt>
                <c:pt idx="243">
                  <c:v>3.9479166666666665</c:v>
                </c:pt>
                <c:pt idx="244">
                  <c:v>3.96875</c:v>
                </c:pt>
                <c:pt idx="245">
                  <c:v>3.989583333333333</c:v>
                </c:pt>
                <c:pt idx="246">
                  <c:v>4</c:v>
                </c:pt>
                <c:pt idx="247">
                  <c:v>4.052083333333333</c:v>
                </c:pt>
                <c:pt idx="248">
                  <c:v>4.0625</c:v>
                </c:pt>
                <c:pt idx="249">
                  <c:v>4.0729166666666661</c:v>
                </c:pt>
                <c:pt idx="250">
                  <c:v>4.114583333333333</c:v>
                </c:pt>
                <c:pt idx="251">
                  <c:v>4.125</c:v>
                </c:pt>
                <c:pt idx="252">
                  <c:v>4.1354166666666661</c:v>
                </c:pt>
                <c:pt idx="253">
                  <c:v>4.145833333333333</c:v>
                </c:pt>
                <c:pt idx="254">
                  <c:v>4.1666666666666661</c:v>
                </c:pt>
                <c:pt idx="255">
                  <c:v>4.1875</c:v>
                </c:pt>
                <c:pt idx="256">
                  <c:v>4.1979166666666661</c:v>
                </c:pt>
                <c:pt idx="257">
                  <c:v>4.21875</c:v>
                </c:pt>
                <c:pt idx="258">
                  <c:v>4.2291666666666661</c:v>
                </c:pt>
                <c:pt idx="259">
                  <c:v>4.239583333333333</c:v>
                </c:pt>
                <c:pt idx="260">
                  <c:v>4.25</c:v>
                </c:pt>
                <c:pt idx="261">
                  <c:v>4.2604166666666661</c:v>
                </c:pt>
                <c:pt idx="262">
                  <c:v>4.270833333333333</c:v>
                </c:pt>
                <c:pt idx="263">
                  <c:v>4.28125</c:v>
                </c:pt>
                <c:pt idx="264">
                  <c:v>4.302083333333333</c:v>
                </c:pt>
                <c:pt idx="265">
                  <c:v>4.34375</c:v>
                </c:pt>
                <c:pt idx="266">
                  <c:v>4.3541666666666661</c:v>
                </c:pt>
                <c:pt idx="267">
                  <c:v>4.3854166666666661</c:v>
                </c:pt>
                <c:pt idx="268">
                  <c:v>4.395833333333333</c:v>
                </c:pt>
                <c:pt idx="269">
                  <c:v>4.40625</c:v>
                </c:pt>
                <c:pt idx="270">
                  <c:v>4.4166666666666661</c:v>
                </c:pt>
                <c:pt idx="271">
                  <c:v>4.427083333333333</c:v>
                </c:pt>
                <c:pt idx="272">
                  <c:v>4.4375</c:v>
                </c:pt>
                <c:pt idx="273">
                  <c:v>4.4479166666666661</c:v>
                </c:pt>
                <c:pt idx="274">
                  <c:v>4.458333333333333</c:v>
                </c:pt>
                <c:pt idx="275">
                  <c:v>4.46875</c:v>
                </c:pt>
                <c:pt idx="276">
                  <c:v>4.4791666666666661</c:v>
                </c:pt>
                <c:pt idx="277">
                  <c:v>4.489583333333333</c:v>
                </c:pt>
                <c:pt idx="278">
                  <c:v>4.5104166666666661</c:v>
                </c:pt>
                <c:pt idx="279">
                  <c:v>4.520833333333333</c:v>
                </c:pt>
                <c:pt idx="280">
                  <c:v>4.53125</c:v>
                </c:pt>
                <c:pt idx="281">
                  <c:v>4.552083333333333</c:v>
                </c:pt>
                <c:pt idx="282">
                  <c:v>4.5625</c:v>
                </c:pt>
                <c:pt idx="283">
                  <c:v>4.5729166666666661</c:v>
                </c:pt>
                <c:pt idx="284">
                  <c:v>4.583333333333333</c:v>
                </c:pt>
                <c:pt idx="285">
                  <c:v>4.59375</c:v>
                </c:pt>
                <c:pt idx="286">
                  <c:v>4.6041666666666661</c:v>
                </c:pt>
                <c:pt idx="287">
                  <c:v>4.614583333333333</c:v>
                </c:pt>
                <c:pt idx="288">
                  <c:v>4.625</c:v>
                </c:pt>
                <c:pt idx="289">
                  <c:v>4.6354166666666661</c:v>
                </c:pt>
                <c:pt idx="290">
                  <c:v>4.645833333333333</c:v>
                </c:pt>
                <c:pt idx="291">
                  <c:v>4.65625</c:v>
                </c:pt>
                <c:pt idx="292">
                  <c:v>4.677083333333333</c:v>
                </c:pt>
                <c:pt idx="293">
                  <c:v>4.6979166666666661</c:v>
                </c:pt>
                <c:pt idx="294">
                  <c:v>4.71875</c:v>
                </c:pt>
                <c:pt idx="295">
                  <c:v>4.75</c:v>
                </c:pt>
                <c:pt idx="296">
                  <c:v>4.7604166666666661</c:v>
                </c:pt>
                <c:pt idx="297">
                  <c:v>4.78125</c:v>
                </c:pt>
                <c:pt idx="298">
                  <c:v>4.864583333333333</c:v>
                </c:pt>
                <c:pt idx="299">
                  <c:v>4.875</c:v>
                </c:pt>
                <c:pt idx="300">
                  <c:v>4.8854166666666661</c:v>
                </c:pt>
                <c:pt idx="301">
                  <c:v>4.895833333333333</c:v>
                </c:pt>
                <c:pt idx="302">
                  <c:v>4.90625</c:v>
                </c:pt>
                <c:pt idx="303">
                  <c:v>4.9166666666666661</c:v>
                </c:pt>
                <c:pt idx="304">
                  <c:v>4.958333333333333</c:v>
                </c:pt>
                <c:pt idx="305">
                  <c:v>4.9791666666666661</c:v>
                </c:pt>
                <c:pt idx="306">
                  <c:v>4.989583333333333</c:v>
                </c:pt>
                <c:pt idx="307">
                  <c:v>5</c:v>
                </c:pt>
                <c:pt idx="308">
                  <c:v>5.0104166666666661</c:v>
                </c:pt>
                <c:pt idx="309">
                  <c:v>5.020833333333333</c:v>
                </c:pt>
                <c:pt idx="310">
                  <c:v>5.03125</c:v>
                </c:pt>
                <c:pt idx="311">
                  <c:v>5.052083333333333</c:v>
                </c:pt>
                <c:pt idx="312">
                  <c:v>5.0625</c:v>
                </c:pt>
                <c:pt idx="313">
                  <c:v>5.083333333333333</c:v>
                </c:pt>
                <c:pt idx="314">
                  <c:v>5.09375</c:v>
                </c:pt>
                <c:pt idx="315">
                  <c:v>5.114583333333333</c:v>
                </c:pt>
                <c:pt idx="316">
                  <c:v>5.1354166666666661</c:v>
                </c:pt>
                <c:pt idx="317">
                  <c:v>5.145833333333333</c:v>
                </c:pt>
                <c:pt idx="318">
                  <c:v>5.15625</c:v>
                </c:pt>
                <c:pt idx="319">
                  <c:v>5.1666666666666661</c:v>
                </c:pt>
                <c:pt idx="320">
                  <c:v>5.1979166666666661</c:v>
                </c:pt>
                <c:pt idx="321">
                  <c:v>5.208333333333333</c:v>
                </c:pt>
                <c:pt idx="322">
                  <c:v>5.21875</c:v>
                </c:pt>
                <c:pt idx="323">
                  <c:v>5.2291666666666661</c:v>
                </c:pt>
                <c:pt idx="324">
                  <c:v>5.2604166666666661</c:v>
                </c:pt>
                <c:pt idx="325">
                  <c:v>5.270833333333333</c:v>
                </c:pt>
                <c:pt idx="326">
                  <c:v>5.28125</c:v>
                </c:pt>
                <c:pt idx="327">
                  <c:v>5.2916666666666661</c:v>
                </c:pt>
                <c:pt idx="328">
                  <c:v>5.302083333333333</c:v>
                </c:pt>
                <c:pt idx="329">
                  <c:v>5.3125</c:v>
                </c:pt>
                <c:pt idx="330">
                  <c:v>5.3229166666666661</c:v>
                </c:pt>
                <c:pt idx="331">
                  <c:v>5.34375</c:v>
                </c:pt>
                <c:pt idx="332">
                  <c:v>5.375</c:v>
                </c:pt>
                <c:pt idx="333">
                  <c:v>5.395833333333333</c:v>
                </c:pt>
                <c:pt idx="334">
                  <c:v>5.40625</c:v>
                </c:pt>
                <c:pt idx="335">
                  <c:v>5.4166666666666661</c:v>
                </c:pt>
                <c:pt idx="336">
                  <c:v>5.427083333333333</c:v>
                </c:pt>
                <c:pt idx="337">
                  <c:v>5.4479166666666661</c:v>
                </c:pt>
                <c:pt idx="338">
                  <c:v>5.458333333333333</c:v>
                </c:pt>
                <c:pt idx="339">
                  <c:v>5.46875</c:v>
                </c:pt>
                <c:pt idx="340">
                  <c:v>5.4791666666666661</c:v>
                </c:pt>
                <c:pt idx="341">
                  <c:v>5.489583333333333</c:v>
                </c:pt>
                <c:pt idx="342">
                  <c:v>5.5</c:v>
                </c:pt>
                <c:pt idx="343">
                  <c:v>5.520833333333333</c:v>
                </c:pt>
                <c:pt idx="344">
                  <c:v>5.5416666666666661</c:v>
                </c:pt>
                <c:pt idx="345">
                  <c:v>5.5625</c:v>
                </c:pt>
                <c:pt idx="346">
                  <c:v>5.59375</c:v>
                </c:pt>
                <c:pt idx="347">
                  <c:v>5.614583333333333</c:v>
                </c:pt>
                <c:pt idx="348">
                  <c:v>5.645833333333333</c:v>
                </c:pt>
                <c:pt idx="349">
                  <c:v>5.65625</c:v>
                </c:pt>
                <c:pt idx="350">
                  <c:v>5.6666666666666661</c:v>
                </c:pt>
                <c:pt idx="351">
                  <c:v>5.677083333333333</c:v>
                </c:pt>
                <c:pt idx="352">
                  <c:v>5.6875</c:v>
                </c:pt>
                <c:pt idx="353">
                  <c:v>5.6979166666666661</c:v>
                </c:pt>
                <c:pt idx="354">
                  <c:v>5.708333333333333</c:v>
                </c:pt>
                <c:pt idx="355">
                  <c:v>5.7291666666666661</c:v>
                </c:pt>
                <c:pt idx="356">
                  <c:v>5.75</c:v>
                </c:pt>
                <c:pt idx="357">
                  <c:v>5.7604166666666661</c:v>
                </c:pt>
                <c:pt idx="358">
                  <c:v>5.802083333333333</c:v>
                </c:pt>
                <c:pt idx="359">
                  <c:v>5.8125</c:v>
                </c:pt>
                <c:pt idx="360">
                  <c:v>5.8229166666666661</c:v>
                </c:pt>
                <c:pt idx="361">
                  <c:v>5.8541666666666661</c:v>
                </c:pt>
                <c:pt idx="362">
                  <c:v>5.864583333333333</c:v>
                </c:pt>
                <c:pt idx="363">
                  <c:v>5.8854166666666661</c:v>
                </c:pt>
                <c:pt idx="364">
                  <c:v>5.895833333333333</c:v>
                </c:pt>
                <c:pt idx="365">
                  <c:v>5.90625</c:v>
                </c:pt>
                <c:pt idx="366">
                  <c:v>5.9166666666666661</c:v>
                </c:pt>
                <c:pt idx="367">
                  <c:v>5.927083333333333</c:v>
                </c:pt>
                <c:pt idx="368">
                  <c:v>5.9375</c:v>
                </c:pt>
                <c:pt idx="369">
                  <c:v>5.9791666666666661</c:v>
                </c:pt>
                <c:pt idx="370">
                  <c:v>5.989583333333333</c:v>
                </c:pt>
                <c:pt idx="371">
                  <c:v>6</c:v>
                </c:pt>
                <c:pt idx="372">
                  <c:v>6.0104166666666661</c:v>
                </c:pt>
                <c:pt idx="373">
                  <c:v>6.03125</c:v>
                </c:pt>
                <c:pt idx="374">
                  <c:v>6.052083333333333</c:v>
                </c:pt>
                <c:pt idx="375">
                  <c:v>6.0625</c:v>
                </c:pt>
                <c:pt idx="376">
                  <c:v>6.0729166666666661</c:v>
                </c:pt>
                <c:pt idx="377">
                  <c:v>6.1041666666666661</c:v>
                </c:pt>
                <c:pt idx="378">
                  <c:v>6.114583333333333</c:v>
                </c:pt>
                <c:pt idx="379">
                  <c:v>6.125</c:v>
                </c:pt>
                <c:pt idx="380">
                  <c:v>6.145833333333333</c:v>
                </c:pt>
                <c:pt idx="381">
                  <c:v>6.1666666666666661</c:v>
                </c:pt>
                <c:pt idx="382">
                  <c:v>6.1875</c:v>
                </c:pt>
                <c:pt idx="383">
                  <c:v>6.1979166666666661</c:v>
                </c:pt>
                <c:pt idx="384">
                  <c:v>6.21875</c:v>
                </c:pt>
                <c:pt idx="385">
                  <c:v>6.2291666666666661</c:v>
                </c:pt>
                <c:pt idx="386">
                  <c:v>6.239583333333333</c:v>
                </c:pt>
                <c:pt idx="387">
                  <c:v>6.25</c:v>
                </c:pt>
                <c:pt idx="388">
                  <c:v>6.2916666666666661</c:v>
                </c:pt>
                <c:pt idx="389">
                  <c:v>6.302083333333333</c:v>
                </c:pt>
                <c:pt idx="390">
                  <c:v>6.3125</c:v>
                </c:pt>
                <c:pt idx="391">
                  <c:v>6.34375</c:v>
                </c:pt>
                <c:pt idx="392">
                  <c:v>6.3541666666666661</c:v>
                </c:pt>
                <c:pt idx="393">
                  <c:v>6.375</c:v>
                </c:pt>
                <c:pt idx="394">
                  <c:v>6.3854166666666661</c:v>
                </c:pt>
                <c:pt idx="395">
                  <c:v>6.395833333333333</c:v>
                </c:pt>
                <c:pt idx="396">
                  <c:v>6.40625</c:v>
                </c:pt>
                <c:pt idx="397">
                  <c:v>6.4375</c:v>
                </c:pt>
                <c:pt idx="398">
                  <c:v>6.458333333333333</c:v>
                </c:pt>
                <c:pt idx="399">
                  <c:v>6.46875</c:v>
                </c:pt>
                <c:pt idx="400">
                  <c:v>6.4791666666666661</c:v>
                </c:pt>
                <c:pt idx="401">
                  <c:v>6.489583333333333</c:v>
                </c:pt>
                <c:pt idx="402">
                  <c:v>6.5</c:v>
                </c:pt>
                <c:pt idx="403">
                  <c:v>6.53125</c:v>
                </c:pt>
                <c:pt idx="404">
                  <c:v>6.5416666666666661</c:v>
                </c:pt>
                <c:pt idx="405">
                  <c:v>6.552083333333333</c:v>
                </c:pt>
                <c:pt idx="406">
                  <c:v>6.59375</c:v>
                </c:pt>
                <c:pt idx="407">
                  <c:v>6.6041666666666661</c:v>
                </c:pt>
                <c:pt idx="408">
                  <c:v>6.625</c:v>
                </c:pt>
                <c:pt idx="409">
                  <c:v>6.6354166666666661</c:v>
                </c:pt>
                <c:pt idx="410">
                  <c:v>6.6666666666666661</c:v>
                </c:pt>
                <c:pt idx="411">
                  <c:v>6.677083333333333</c:v>
                </c:pt>
                <c:pt idx="412">
                  <c:v>6.71875</c:v>
                </c:pt>
                <c:pt idx="413">
                  <c:v>6.7291666666666661</c:v>
                </c:pt>
                <c:pt idx="414">
                  <c:v>6.739583333333333</c:v>
                </c:pt>
                <c:pt idx="415">
                  <c:v>6.7604166666666661</c:v>
                </c:pt>
                <c:pt idx="416">
                  <c:v>6.770833333333333</c:v>
                </c:pt>
                <c:pt idx="417">
                  <c:v>6.7916666666666661</c:v>
                </c:pt>
                <c:pt idx="418">
                  <c:v>6.8125</c:v>
                </c:pt>
                <c:pt idx="419">
                  <c:v>6.8229166666666661</c:v>
                </c:pt>
                <c:pt idx="420">
                  <c:v>6.833333333333333</c:v>
                </c:pt>
                <c:pt idx="421">
                  <c:v>6.84375</c:v>
                </c:pt>
                <c:pt idx="422">
                  <c:v>6.8541666666666661</c:v>
                </c:pt>
                <c:pt idx="423">
                  <c:v>6.875</c:v>
                </c:pt>
                <c:pt idx="424">
                  <c:v>6.895833333333333</c:v>
                </c:pt>
                <c:pt idx="425">
                  <c:v>6.9375</c:v>
                </c:pt>
                <c:pt idx="426">
                  <c:v>6.9479166666666661</c:v>
                </c:pt>
                <c:pt idx="427">
                  <c:v>6.958333333333333</c:v>
                </c:pt>
                <c:pt idx="428">
                  <c:v>6.96875</c:v>
                </c:pt>
                <c:pt idx="429">
                  <c:v>6.9791666666666661</c:v>
                </c:pt>
                <c:pt idx="430">
                  <c:v>7</c:v>
                </c:pt>
                <c:pt idx="431">
                  <c:v>7.020833333333333</c:v>
                </c:pt>
                <c:pt idx="432">
                  <c:v>7.0416666666666661</c:v>
                </c:pt>
                <c:pt idx="433">
                  <c:v>7.0625</c:v>
                </c:pt>
                <c:pt idx="434">
                  <c:v>7.0729166666666661</c:v>
                </c:pt>
                <c:pt idx="435">
                  <c:v>7.083333333333333</c:v>
                </c:pt>
                <c:pt idx="436">
                  <c:v>7.09375</c:v>
                </c:pt>
                <c:pt idx="437">
                  <c:v>7.114583333333333</c:v>
                </c:pt>
                <c:pt idx="438">
                  <c:v>7.125</c:v>
                </c:pt>
                <c:pt idx="439">
                  <c:v>7.145833333333333</c:v>
                </c:pt>
                <c:pt idx="440">
                  <c:v>7.15625</c:v>
                </c:pt>
                <c:pt idx="441">
                  <c:v>7.1666666666666661</c:v>
                </c:pt>
                <c:pt idx="442">
                  <c:v>7.177083333333333</c:v>
                </c:pt>
                <c:pt idx="443">
                  <c:v>7.1875</c:v>
                </c:pt>
                <c:pt idx="444">
                  <c:v>7.208333333333333</c:v>
                </c:pt>
                <c:pt idx="445">
                  <c:v>7.2291666666666661</c:v>
                </c:pt>
                <c:pt idx="446">
                  <c:v>7.25</c:v>
                </c:pt>
                <c:pt idx="447">
                  <c:v>7.2604166666666661</c:v>
                </c:pt>
                <c:pt idx="448">
                  <c:v>7.270833333333333</c:v>
                </c:pt>
                <c:pt idx="449">
                  <c:v>7.28125</c:v>
                </c:pt>
                <c:pt idx="450">
                  <c:v>7.2916666666666661</c:v>
                </c:pt>
                <c:pt idx="451">
                  <c:v>7.302083333333333</c:v>
                </c:pt>
                <c:pt idx="452">
                  <c:v>7.333333333333333</c:v>
                </c:pt>
                <c:pt idx="453">
                  <c:v>7.34375</c:v>
                </c:pt>
                <c:pt idx="454">
                  <c:v>7.3541666666666661</c:v>
                </c:pt>
                <c:pt idx="455">
                  <c:v>7.364583333333333</c:v>
                </c:pt>
                <c:pt idx="456">
                  <c:v>7.395833333333333</c:v>
                </c:pt>
                <c:pt idx="457">
                  <c:v>7.40625</c:v>
                </c:pt>
                <c:pt idx="458">
                  <c:v>7.4166666666666661</c:v>
                </c:pt>
                <c:pt idx="459">
                  <c:v>7.427083333333333</c:v>
                </c:pt>
                <c:pt idx="460">
                  <c:v>7.4375</c:v>
                </c:pt>
                <c:pt idx="461">
                  <c:v>7.458333333333333</c:v>
                </c:pt>
                <c:pt idx="462">
                  <c:v>7.46875</c:v>
                </c:pt>
                <c:pt idx="463">
                  <c:v>7.4791666666666661</c:v>
                </c:pt>
                <c:pt idx="464">
                  <c:v>7.520833333333333</c:v>
                </c:pt>
                <c:pt idx="465">
                  <c:v>7.53125</c:v>
                </c:pt>
                <c:pt idx="466">
                  <c:v>7.5416666666666661</c:v>
                </c:pt>
                <c:pt idx="467">
                  <c:v>7.5625</c:v>
                </c:pt>
                <c:pt idx="468">
                  <c:v>7.5729166666666661</c:v>
                </c:pt>
                <c:pt idx="469">
                  <c:v>7.6041666666666661</c:v>
                </c:pt>
                <c:pt idx="470">
                  <c:v>7.614583333333333</c:v>
                </c:pt>
                <c:pt idx="471">
                  <c:v>7.625</c:v>
                </c:pt>
                <c:pt idx="472">
                  <c:v>7.6354166666666661</c:v>
                </c:pt>
                <c:pt idx="473">
                  <c:v>7.65625</c:v>
                </c:pt>
                <c:pt idx="474">
                  <c:v>7.6875</c:v>
                </c:pt>
                <c:pt idx="475">
                  <c:v>7.6979166666666661</c:v>
                </c:pt>
                <c:pt idx="476">
                  <c:v>7.71875</c:v>
                </c:pt>
                <c:pt idx="477">
                  <c:v>7.739583333333333</c:v>
                </c:pt>
                <c:pt idx="478">
                  <c:v>7.75</c:v>
                </c:pt>
                <c:pt idx="479">
                  <c:v>7.770833333333333</c:v>
                </c:pt>
                <c:pt idx="480">
                  <c:v>7.8125</c:v>
                </c:pt>
                <c:pt idx="481">
                  <c:v>7.8229166666666661</c:v>
                </c:pt>
                <c:pt idx="482">
                  <c:v>7.833333333333333</c:v>
                </c:pt>
                <c:pt idx="483">
                  <c:v>7.84375</c:v>
                </c:pt>
                <c:pt idx="484">
                  <c:v>7.864583333333333</c:v>
                </c:pt>
                <c:pt idx="485">
                  <c:v>7.895833333333333</c:v>
                </c:pt>
                <c:pt idx="486">
                  <c:v>7.90625</c:v>
                </c:pt>
                <c:pt idx="487">
                  <c:v>7.9166666666666661</c:v>
                </c:pt>
                <c:pt idx="488">
                  <c:v>7.9375</c:v>
                </c:pt>
                <c:pt idx="489">
                  <c:v>7.9479166666666661</c:v>
                </c:pt>
                <c:pt idx="490">
                  <c:v>7.96875</c:v>
                </c:pt>
                <c:pt idx="491">
                  <c:v>7.9791666666666661</c:v>
                </c:pt>
                <c:pt idx="492">
                  <c:v>8</c:v>
                </c:pt>
                <c:pt idx="493">
                  <c:v>8.0416666666666661</c:v>
                </c:pt>
                <c:pt idx="494">
                  <c:v>8.0625</c:v>
                </c:pt>
                <c:pt idx="495">
                  <c:v>8.0729166666666661</c:v>
                </c:pt>
                <c:pt idx="496">
                  <c:v>8.09375</c:v>
                </c:pt>
                <c:pt idx="497">
                  <c:v>8.1041666666666661</c:v>
                </c:pt>
                <c:pt idx="498">
                  <c:v>8.125</c:v>
                </c:pt>
                <c:pt idx="499">
                  <c:v>8.1458333333333321</c:v>
                </c:pt>
                <c:pt idx="500">
                  <c:v>8.1770833333333321</c:v>
                </c:pt>
                <c:pt idx="501">
                  <c:v>8.1875</c:v>
                </c:pt>
                <c:pt idx="502">
                  <c:v>8.1979166666666661</c:v>
                </c:pt>
                <c:pt idx="503">
                  <c:v>8.21875</c:v>
                </c:pt>
                <c:pt idx="504">
                  <c:v>8.2291666666666661</c:v>
                </c:pt>
                <c:pt idx="505">
                  <c:v>8.2395833333333321</c:v>
                </c:pt>
                <c:pt idx="506">
                  <c:v>8.25</c:v>
                </c:pt>
                <c:pt idx="507">
                  <c:v>8.2604166666666661</c:v>
                </c:pt>
                <c:pt idx="508">
                  <c:v>8.28125</c:v>
                </c:pt>
                <c:pt idx="509">
                  <c:v>8.2916666666666661</c:v>
                </c:pt>
                <c:pt idx="510">
                  <c:v>8.3020833333333321</c:v>
                </c:pt>
                <c:pt idx="511">
                  <c:v>8.3125</c:v>
                </c:pt>
                <c:pt idx="512">
                  <c:v>8.3229166666666661</c:v>
                </c:pt>
                <c:pt idx="513">
                  <c:v>8.3333333333333321</c:v>
                </c:pt>
                <c:pt idx="514">
                  <c:v>8.3645833333333321</c:v>
                </c:pt>
                <c:pt idx="515">
                  <c:v>8.375</c:v>
                </c:pt>
                <c:pt idx="516">
                  <c:v>8.3854166666666661</c:v>
                </c:pt>
                <c:pt idx="517">
                  <c:v>8.3958333333333321</c:v>
                </c:pt>
                <c:pt idx="518">
                  <c:v>8.40625</c:v>
                </c:pt>
                <c:pt idx="519">
                  <c:v>8.4166666666666661</c:v>
                </c:pt>
                <c:pt idx="520">
                  <c:v>8.4270833333333321</c:v>
                </c:pt>
                <c:pt idx="521">
                  <c:v>8.4895833333333321</c:v>
                </c:pt>
                <c:pt idx="522">
                  <c:v>8.5</c:v>
                </c:pt>
                <c:pt idx="523">
                  <c:v>8.5208333333333321</c:v>
                </c:pt>
                <c:pt idx="524">
                  <c:v>8.53125</c:v>
                </c:pt>
                <c:pt idx="525">
                  <c:v>8.5729166666666661</c:v>
                </c:pt>
                <c:pt idx="526">
                  <c:v>8.59375</c:v>
                </c:pt>
                <c:pt idx="527">
                  <c:v>8.6145833333333321</c:v>
                </c:pt>
                <c:pt idx="528">
                  <c:v>8.625</c:v>
                </c:pt>
                <c:pt idx="529">
                  <c:v>8.6354166666666661</c:v>
                </c:pt>
                <c:pt idx="530">
                  <c:v>8.6666666666666661</c:v>
                </c:pt>
                <c:pt idx="531">
                  <c:v>8.6770833333333321</c:v>
                </c:pt>
                <c:pt idx="532">
                  <c:v>8.7291666666666661</c:v>
                </c:pt>
                <c:pt idx="533">
                  <c:v>8.7604166666666661</c:v>
                </c:pt>
                <c:pt idx="534">
                  <c:v>8.78125</c:v>
                </c:pt>
                <c:pt idx="535">
                  <c:v>8.7916666666666661</c:v>
                </c:pt>
                <c:pt idx="536">
                  <c:v>8.8125</c:v>
                </c:pt>
                <c:pt idx="537">
                  <c:v>8.8229166666666661</c:v>
                </c:pt>
                <c:pt idx="538">
                  <c:v>8.8333333333333321</c:v>
                </c:pt>
                <c:pt idx="539">
                  <c:v>8.84375</c:v>
                </c:pt>
                <c:pt idx="540">
                  <c:v>8.8645833333333321</c:v>
                </c:pt>
                <c:pt idx="541">
                  <c:v>8.8854166666666661</c:v>
                </c:pt>
                <c:pt idx="542">
                  <c:v>8.8958333333333321</c:v>
                </c:pt>
                <c:pt idx="543">
                  <c:v>8.90625</c:v>
                </c:pt>
                <c:pt idx="544">
                  <c:v>8.9166666666666661</c:v>
                </c:pt>
                <c:pt idx="545">
                  <c:v>8.9270833333333321</c:v>
                </c:pt>
                <c:pt idx="546">
                  <c:v>8.9375</c:v>
                </c:pt>
                <c:pt idx="547">
                  <c:v>8.9583333333333321</c:v>
                </c:pt>
                <c:pt idx="548">
                  <c:v>8.96875</c:v>
                </c:pt>
                <c:pt idx="549">
                  <c:v>8.9791666666666661</c:v>
                </c:pt>
                <c:pt idx="550">
                  <c:v>9</c:v>
                </c:pt>
                <c:pt idx="551">
                  <c:v>9.0208333333333321</c:v>
                </c:pt>
                <c:pt idx="552">
                  <c:v>9.0625</c:v>
                </c:pt>
                <c:pt idx="553">
                  <c:v>9.0729166666666661</c:v>
                </c:pt>
                <c:pt idx="554">
                  <c:v>9.0833333333333321</c:v>
                </c:pt>
                <c:pt idx="555">
                  <c:v>9.09375</c:v>
                </c:pt>
                <c:pt idx="556">
                  <c:v>9.1145833333333321</c:v>
                </c:pt>
                <c:pt idx="557">
                  <c:v>9.125</c:v>
                </c:pt>
                <c:pt idx="558">
                  <c:v>9.1354166666666661</c:v>
                </c:pt>
                <c:pt idx="559">
                  <c:v>9.15625</c:v>
                </c:pt>
                <c:pt idx="560">
                  <c:v>9.1770833333333321</c:v>
                </c:pt>
                <c:pt idx="561">
                  <c:v>9.1875</c:v>
                </c:pt>
                <c:pt idx="562">
                  <c:v>9.1979166666666661</c:v>
                </c:pt>
                <c:pt idx="563">
                  <c:v>9.2083333333333321</c:v>
                </c:pt>
                <c:pt idx="564">
                  <c:v>9.21875</c:v>
                </c:pt>
                <c:pt idx="565">
                  <c:v>9.2291666666666661</c:v>
                </c:pt>
                <c:pt idx="566">
                  <c:v>9.25</c:v>
                </c:pt>
                <c:pt idx="567">
                  <c:v>9.2604166666666661</c:v>
                </c:pt>
                <c:pt idx="568">
                  <c:v>9.28125</c:v>
                </c:pt>
                <c:pt idx="569">
                  <c:v>9.3125</c:v>
                </c:pt>
                <c:pt idx="570">
                  <c:v>9.3229166666666661</c:v>
                </c:pt>
                <c:pt idx="571">
                  <c:v>9.3541666666666661</c:v>
                </c:pt>
                <c:pt idx="572">
                  <c:v>9.3854166666666661</c:v>
                </c:pt>
                <c:pt idx="573">
                  <c:v>9.3958333333333321</c:v>
                </c:pt>
                <c:pt idx="574">
                  <c:v>9.4166666666666661</c:v>
                </c:pt>
                <c:pt idx="575">
                  <c:v>9.4270833333333321</c:v>
                </c:pt>
                <c:pt idx="576">
                  <c:v>9.4375</c:v>
                </c:pt>
                <c:pt idx="577">
                  <c:v>9.4479166666666661</c:v>
                </c:pt>
                <c:pt idx="578">
                  <c:v>9.4583333333333321</c:v>
                </c:pt>
                <c:pt idx="579">
                  <c:v>9.4791666666666661</c:v>
                </c:pt>
                <c:pt idx="580">
                  <c:v>9.4895833333333321</c:v>
                </c:pt>
                <c:pt idx="581">
                  <c:v>9.5104166666666661</c:v>
                </c:pt>
                <c:pt idx="582">
                  <c:v>9.53125</c:v>
                </c:pt>
                <c:pt idx="583">
                  <c:v>9.59375</c:v>
                </c:pt>
                <c:pt idx="584">
                  <c:v>9.6041666666666661</c:v>
                </c:pt>
                <c:pt idx="585">
                  <c:v>9.625</c:v>
                </c:pt>
                <c:pt idx="586">
                  <c:v>9.6354166666666661</c:v>
                </c:pt>
                <c:pt idx="587">
                  <c:v>9.6458333333333321</c:v>
                </c:pt>
                <c:pt idx="588">
                  <c:v>9.65625</c:v>
                </c:pt>
                <c:pt idx="589">
                  <c:v>9.6666666666666661</c:v>
                </c:pt>
                <c:pt idx="590">
                  <c:v>9.6770833333333321</c:v>
                </c:pt>
                <c:pt idx="591">
                  <c:v>9.6875</c:v>
                </c:pt>
                <c:pt idx="592">
                  <c:v>9.6979166666666661</c:v>
                </c:pt>
                <c:pt idx="593">
                  <c:v>9.7083333333333321</c:v>
                </c:pt>
                <c:pt idx="594">
                  <c:v>9.7395833333333321</c:v>
                </c:pt>
                <c:pt idx="595">
                  <c:v>9.7604166666666661</c:v>
                </c:pt>
                <c:pt idx="596">
                  <c:v>9.7916666666666661</c:v>
                </c:pt>
                <c:pt idx="597">
                  <c:v>9.8020833333333321</c:v>
                </c:pt>
                <c:pt idx="598">
                  <c:v>9.8125</c:v>
                </c:pt>
                <c:pt idx="599">
                  <c:v>9.8229166666666661</c:v>
                </c:pt>
                <c:pt idx="600">
                  <c:v>9.8541666666666661</c:v>
                </c:pt>
                <c:pt idx="601">
                  <c:v>9.8645833333333321</c:v>
                </c:pt>
                <c:pt idx="602">
                  <c:v>9.8854166666666661</c:v>
                </c:pt>
                <c:pt idx="603">
                  <c:v>9.8958333333333321</c:v>
                </c:pt>
                <c:pt idx="604">
                  <c:v>9.90625</c:v>
                </c:pt>
                <c:pt idx="605">
                  <c:v>9.9166666666666661</c:v>
                </c:pt>
                <c:pt idx="606">
                  <c:v>9.9270833333333321</c:v>
                </c:pt>
                <c:pt idx="607">
                  <c:v>9.9375</c:v>
                </c:pt>
                <c:pt idx="608">
                  <c:v>9.9479166666666661</c:v>
                </c:pt>
                <c:pt idx="609">
                  <c:v>9.9583333333333321</c:v>
                </c:pt>
                <c:pt idx="610">
                  <c:v>9.96875</c:v>
                </c:pt>
                <c:pt idx="611">
                  <c:v>9.9895833333333321</c:v>
                </c:pt>
                <c:pt idx="612">
                  <c:v>10.010416666666666</c:v>
                </c:pt>
                <c:pt idx="613">
                  <c:v>10.020833333333332</c:v>
                </c:pt>
                <c:pt idx="614">
                  <c:v>10.03125</c:v>
                </c:pt>
                <c:pt idx="615">
                  <c:v>10.041666666666666</c:v>
                </c:pt>
                <c:pt idx="616">
                  <c:v>10.052083333333332</c:v>
                </c:pt>
                <c:pt idx="617">
                  <c:v>10.072916666666666</c:v>
                </c:pt>
                <c:pt idx="618">
                  <c:v>10.09375</c:v>
                </c:pt>
                <c:pt idx="619">
                  <c:v>10.104166666666666</c:v>
                </c:pt>
                <c:pt idx="620">
                  <c:v>10.114583333333332</c:v>
                </c:pt>
                <c:pt idx="621">
                  <c:v>10.135416666666666</c:v>
                </c:pt>
                <c:pt idx="622">
                  <c:v>10.15625</c:v>
                </c:pt>
                <c:pt idx="623">
                  <c:v>10.177083333333332</c:v>
                </c:pt>
                <c:pt idx="624">
                  <c:v>10.1875</c:v>
                </c:pt>
                <c:pt idx="625">
                  <c:v>10.197916666666666</c:v>
                </c:pt>
                <c:pt idx="626">
                  <c:v>10.208333333333332</c:v>
                </c:pt>
                <c:pt idx="627">
                  <c:v>10.21875</c:v>
                </c:pt>
                <c:pt idx="628">
                  <c:v>10.229166666666666</c:v>
                </c:pt>
                <c:pt idx="629">
                  <c:v>10.239583333333332</c:v>
                </c:pt>
                <c:pt idx="630">
                  <c:v>10.25</c:v>
                </c:pt>
                <c:pt idx="631">
                  <c:v>10.260416666666666</c:v>
                </c:pt>
                <c:pt idx="632">
                  <c:v>10.270833333333332</c:v>
                </c:pt>
                <c:pt idx="633">
                  <c:v>10.291666666666666</c:v>
                </c:pt>
                <c:pt idx="634">
                  <c:v>10.3125</c:v>
                </c:pt>
                <c:pt idx="635">
                  <c:v>10.322916666666666</c:v>
                </c:pt>
                <c:pt idx="636">
                  <c:v>10.333333333333332</c:v>
                </c:pt>
                <c:pt idx="637">
                  <c:v>10.34375</c:v>
                </c:pt>
                <c:pt idx="638">
                  <c:v>10.354166666666666</c:v>
                </c:pt>
                <c:pt idx="639">
                  <c:v>10.375</c:v>
                </c:pt>
                <c:pt idx="640">
                  <c:v>10.395833333333332</c:v>
                </c:pt>
                <c:pt idx="641">
                  <c:v>10.427083333333332</c:v>
                </c:pt>
                <c:pt idx="642">
                  <c:v>10.447916666666666</c:v>
                </c:pt>
                <c:pt idx="643">
                  <c:v>10.46875</c:v>
                </c:pt>
                <c:pt idx="644">
                  <c:v>10.510416666666666</c:v>
                </c:pt>
                <c:pt idx="645">
                  <c:v>10.53125</c:v>
                </c:pt>
                <c:pt idx="646">
                  <c:v>10.541666666666666</c:v>
                </c:pt>
                <c:pt idx="647">
                  <c:v>10.5625</c:v>
                </c:pt>
                <c:pt idx="648">
                  <c:v>10.583333333333332</c:v>
                </c:pt>
                <c:pt idx="649">
                  <c:v>10.59375</c:v>
                </c:pt>
                <c:pt idx="650">
                  <c:v>10.604166666666666</c:v>
                </c:pt>
                <c:pt idx="651">
                  <c:v>10.614583333333332</c:v>
                </c:pt>
                <c:pt idx="652">
                  <c:v>10.625</c:v>
                </c:pt>
                <c:pt idx="653">
                  <c:v>10.635416666666666</c:v>
                </c:pt>
                <c:pt idx="654">
                  <c:v>10.645833333333332</c:v>
                </c:pt>
                <c:pt idx="655">
                  <c:v>10.666666666666666</c:v>
                </c:pt>
                <c:pt idx="656">
                  <c:v>10.677083333333332</c:v>
                </c:pt>
                <c:pt idx="657">
                  <c:v>10.6875</c:v>
                </c:pt>
                <c:pt idx="658">
                  <c:v>10.697916666666666</c:v>
                </c:pt>
                <c:pt idx="659">
                  <c:v>10.729166666666666</c:v>
                </c:pt>
                <c:pt idx="660">
                  <c:v>10.739583333333332</c:v>
                </c:pt>
                <c:pt idx="661">
                  <c:v>10.760416666666666</c:v>
                </c:pt>
                <c:pt idx="662">
                  <c:v>10.770833333333332</c:v>
                </c:pt>
                <c:pt idx="663">
                  <c:v>10.78125</c:v>
                </c:pt>
                <c:pt idx="664">
                  <c:v>10.791666666666666</c:v>
                </c:pt>
                <c:pt idx="665">
                  <c:v>10.802083333333332</c:v>
                </c:pt>
                <c:pt idx="666">
                  <c:v>10.8125</c:v>
                </c:pt>
                <c:pt idx="667">
                  <c:v>10.822916666666666</c:v>
                </c:pt>
                <c:pt idx="668">
                  <c:v>10.833333333333332</c:v>
                </c:pt>
                <c:pt idx="669">
                  <c:v>10.84375</c:v>
                </c:pt>
                <c:pt idx="670">
                  <c:v>10.864583333333332</c:v>
                </c:pt>
                <c:pt idx="671">
                  <c:v>10.875</c:v>
                </c:pt>
                <c:pt idx="672">
                  <c:v>10.885416666666666</c:v>
                </c:pt>
                <c:pt idx="673">
                  <c:v>10.90625</c:v>
                </c:pt>
                <c:pt idx="674">
                  <c:v>10.916666666666666</c:v>
                </c:pt>
                <c:pt idx="675">
                  <c:v>10.927083333333332</c:v>
                </c:pt>
                <c:pt idx="676">
                  <c:v>10.9375</c:v>
                </c:pt>
                <c:pt idx="677">
                  <c:v>10.947916666666666</c:v>
                </c:pt>
                <c:pt idx="678">
                  <c:v>10.96875</c:v>
                </c:pt>
                <c:pt idx="679">
                  <c:v>11</c:v>
                </c:pt>
                <c:pt idx="680">
                  <c:v>11.03125</c:v>
                </c:pt>
                <c:pt idx="681">
                  <c:v>11.041666666666666</c:v>
                </c:pt>
                <c:pt idx="682">
                  <c:v>11.052083333333332</c:v>
                </c:pt>
                <c:pt idx="683">
                  <c:v>11.072916666666666</c:v>
                </c:pt>
                <c:pt idx="684">
                  <c:v>11.083333333333332</c:v>
                </c:pt>
                <c:pt idx="685">
                  <c:v>11.09375</c:v>
                </c:pt>
                <c:pt idx="686">
                  <c:v>11.104166666666666</c:v>
                </c:pt>
                <c:pt idx="687">
                  <c:v>11.114583333333332</c:v>
                </c:pt>
                <c:pt idx="688">
                  <c:v>11.125</c:v>
                </c:pt>
                <c:pt idx="689">
                  <c:v>11.135416666666666</c:v>
                </c:pt>
                <c:pt idx="690">
                  <c:v>11.145833333333332</c:v>
                </c:pt>
                <c:pt idx="691">
                  <c:v>11.15625</c:v>
                </c:pt>
                <c:pt idx="692">
                  <c:v>11.177083333333332</c:v>
                </c:pt>
                <c:pt idx="693">
                  <c:v>11.1875</c:v>
                </c:pt>
                <c:pt idx="694">
                  <c:v>11.208333333333332</c:v>
                </c:pt>
                <c:pt idx="695">
                  <c:v>11.21875</c:v>
                </c:pt>
                <c:pt idx="696">
                  <c:v>11.229166666666666</c:v>
                </c:pt>
                <c:pt idx="697">
                  <c:v>11.25</c:v>
                </c:pt>
                <c:pt idx="698">
                  <c:v>11.260416666666666</c:v>
                </c:pt>
                <c:pt idx="699">
                  <c:v>11.270833333333332</c:v>
                </c:pt>
                <c:pt idx="700">
                  <c:v>11.291666666666666</c:v>
                </c:pt>
                <c:pt idx="701">
                  <c:v>11.3125</c:v>
                </c:pt>
                <c:pt idx="702">
                  <c:v>11.322916666666666</c:v>
                </c:pt>
                <c:pt idx="703">
                  <c:v>11.333333333333332</c:v>
                </c:pt>
                <c:pt idx="704">
                  <c:v>11.34375</c:v>
                </c:pt>
                <c:pt idx="705">
                  <c:v>11.354166666666666</c:v>
                </c:pt>
                <c:pt idx="706">
                  <c:v>11.395833333333332</c:v>
                </c:pt>
                <c:pt idx="707">
                  <c:v>11.416666666666666</c:v>
                </c:pt>
                <c:pt idx="708">
                  <c:v>11.427083333333332</c:v>
                </c:pt>
                <c:pt idx="709">
                  <c:v>11.4375</c:v>
                </c:pt>
                <c:pt idx="710">
                  <c:v>11.447916666666666</c:v>
                </c:pt>
                <c:pt idx="711">
                  <c:v>11.458333333333332</c:v>
                </c:pt>
                <c:pt idx="712">
                  <c:v>11.479166666666666</c:v>
                </c:pt>
                <c:pt idx="713">
                  <c:v>11.489583333333332</c:v>
                </c:pt>
                <c:pt idx="714">
                  <c:v>11.510416666666666</c:v>
                </c:pt>
                <c:pt idx="715">
                  <c:v>11.541666666666666</c:v>
                </c:pt>
                <c:pt idx="716">
                  <c:v>11.552083333333332</c:v>
                </c:pt>
                <c:pt idx="717">
                  <c:v>11.5625</c:v>
                </c:pt>
                <c:pt idx="718">
                  <c:v>11.572916666666666</c:v>
                </c:pt>
                <c:pt idx="719">
                  <c:v>11.583333333333332</c:v>
                </c:pt>
                <c:pt idx="720">
                  <c:v>11.59375</c:v>
                </c:pt>
                <c:pt idx="721">
                  <c:v>11.614583333333332</c:v>
                </c:pt>
                <c:pt idx="722">
                  <c:v>11.625</c:v>
                </c:pt>
                <c:pt idx="723">
                  <c:v>11.635416666666666</c:v>
                </c:pt>
                <c:pt idx="724">
                  <c:v>11.645833333333332</c:v>
                </c:pt>
                <c:pt idx="725">
                  <c:v>11.65625</c:v>
                </c:pt>
                <c:pt idx="726">
                  <c:v>11.666666666666666</c:v>
                </c:pt>
                <c:pt idx="727">
                  <c:v>11.677083333333332</c:v>
                </c:pt>
                <c:pt idx="728">
                  <c:v>11.708333333333332</c:v>
                </c:pt>
                <c:pt idx="729">
                  <c:v>11.71875</c:v>
                </c:pt>
                <c:pt idx="730">
                  <c:v>11.729166666666666</c:v>
                </c:pt>
                <c:pt idx="731">
                  <c:v>11.739583333333332</c:v>
                </c:pt>
                <c:pt idx="732">
                  <c:v>11.760416666666666</c:v>
                </c:pt>
                <c:pt idx="733">
                  <c:v>11.770833333333332</c:v>
                </c:pt>
                <c:pt idx="734">
                  <c:v>11.78125</c:v>
                </c:pt>
                <c:pt idx="735">
                  <c:v>11.791666666666666</c:v>
                </c:pt>
                <c:pt idx="736">
                  <c:v>11.802083333333332</c:v>
                </c:pt>
                <c:pt idx="737">
                  <c:v>11.8125</c:v>
                </c:pt>
                <c:pt idx="738">
                  <c:v>11.822916666666666</c:v>
                </c:pt>
                <c:pt idx="739">
                  <c:v>11.833333333333332</c:v>
                </c:pt>
                <c:pt idx="740">
                  <c:v>11.84375</c:v>
                </c:pt>
                <c:pt idx="741">
                  <c:v>11.854166666666666</c:v>
                </c:pt>
                <c:pt idx="742">
                  <c:v>11.875</c:v>
                </c:pt>
                <c:pt idx="743">
                  <c:v>11.885416666666666</c:v>
                </c:pt>
                <c:pt idx="744">
                  <c:v>11.895833333333332</c:v>
                </c:pt>
                <c:pt idx="745">
                  <c:v>11.90625</c:v>
                </c:pt>
                <c:pt idx="746">
                  <c:v>11.927083333333332</c:v>
                </c:pt>
                <c:pt idx="747">
                  <c:v>11.9375</c:v>
                </c:pt>
                <c:pt idx="748">
                  <c:v>11.958333333333332</c:v>
                </c:pt>
                <c:pt idx="749">
                  <c:v>11.979166666666666</c:v>
                </c:pt>
                <c:pt idx="750">
                  <c:v>12</c:v>
                </c:pt>
                <c:pt idx="751">
                  <c:v>12.020833333333332</c:v>
                </c:pt>
                <c:pt idx="752">
                  <c:v>12.03125</c:v>
                </c:pt>
                <c:pt idx="753">
                  <c:v>12.052083333333332</c:v>
                </c:pt>
                <c:pt idx="754">
                  <c:v>12.0625</c:v>
                </c:pt>
                <c:pt idx="755">
                  <c:v>12.072916666666666</c:v>
                </c:pt>
                <c:pt idx="756">
                  <c:v>12.083333333333332</c:v>
                </c:pt>
                <c:pt idx="757">
                  <c:v>12.104166666666666</c:v>
                </c:pt>
                <c:pt idx="758">
                  <c:v>12.125</c:v>
                </c:pt>
                <c:pt idx="759">
                  <c:v>12.145833333333332</c:v>
                </c:pt>
                <c:pt idx="760">
                  <c:v>12.15625</c:v>
                </c:pt>
                <c:pt idx="761">
                  <c:v>12.177083333333332</c:v>
                </c:pt>
                <c:pt idx="762">
                  <c:v>12.1875</c:v>
                </c:pt>
                <c:pt idx="763">
                  <c:v>12.197916666666666</c:v>
                </c:pt>
                <c:pt idx="764">
                  <c:v>12.208333333333332</c:v>
                </c:pt>
                <c:pt idx="765">
                  <c:v>12.21875</c:v>
                </c:pt>
                <c:pt idx="766">
                  <c:v>12.229166666666666</c:v>
                </c:pt>
                <c:pt idx="767">
                  <c:v>12.239583333333332</c:v>
                </c:pt>
                <c:pt idx="768">
                  <c:v>12.25</c:v>
                </c:pt>
                <c:pt idx="769">
                  <c:v>12.260416666666666</c:v>
                </c:pt>
                <c:pt idx="770">
                  <c:v>12.270833333333332</c:v>
                </c:pt>
                <c:pt idx="771">
                  <c:v>12.28125</c:v>
                </c:pt>
                <c:pt idx="772">
                  <c:v>12.302083333333332</c:v>
                </c:pt>
                <c:pt idx="773">
                  <c:v>12.3125</c:v>
                </c:pt>
                <c:pt idx="774">
                  <c:v>12.322916666666666</c:v>
                </c:pt>
                <c:pt idx="775">
                  <c:v>12.34375</c:v>
                </c:pt>
                <c:pt idx="776">
                  <c:v>12.364583333333332</c:v>
                </c:pt>
                <c:pt idx="777">
                  <c:v>12.375</c:v>
                </c:pt>
                <c:pt idx="778">
                  <c:v>12.385416666666666</c:v>
                </c:pt>
                <c:pt idx="779">
                  <c:v>12.395833333333332</c:v>
                </c:pt>
                <c:pt idx="780">
                  <c:v>12.40625</c:v>
                </c:pt>
                <c:pt idx="781">
                  <c:v>12.416666666666666</c:v>
                </c:pt>
                <c:pt idx="782">
                  <c:v>12.4375</c:v>
                </c:pt>
                <c:pt idx="783">
                  <c:v>12.447916666666666</c:v>
                </c:pt>
                <c:pt idx="784">
                  <c:v>12.458333333333332</c:v>
                </c:pt>
                <c:pt idx="785">
                  <c:v>12.46875</c:v>
                </c:pt>
                <c:pt idx="786">
                  <c:v>12.479166666666666</c:v>
                </c:pt>
                <c:pt idx="787">
                  <c:v>12.5</c:v>
                </c:pt>
                <c:pt idx="788">
                  <c:v>12.510416666666666</c:v>
                </c:pt>
                <c:pt idx="789">
                  <c:v>12.520833333333332</c:v>
                </c:pt>
                <c:pt idx="790">
                  <c:v>12.53125</c:v>
                </c:pt>
                <c:pt idx="791">
                  <c:v>12.541666666666666</c:v>
                </c:pt>
                <c:pt idx="792">
                  <c:v>12.552083333333332</c:v>
                </c:pt>
                <c:pt idx="793">
                  <c:v>12.5625</c:v>
                </c:pt>
                <c:pt idx="794">
                  <c:v>12.572916666666666</c:v>
                </c:pt>
                <c:pt idx="795">
                  <c:v>12.59375</c:v>
                </c:pt>
                <c:pt idx="796">
                  <c:v>12.604166666666666</c:v>
                </c:pt>
                <c:pt idx="797">
                  <c:v>12.614583333333332</c:v>
                </c:pt>
                <c:pt idx="798">
                  <c:v>12.625</c:v>
                </c:pt>
                <c:pt idx="799">
                  <c:v>12.645833333333332</c:v>
                </c:pt>
                <c:pt idx="800">
                  <c:v>12.65625</c:v>
                </c:pt>
                <c:pt idx="801">
                  <c:v>12.666666666666666</c:v>
                </c:pt>
                <c:pt idx="802">
                  <c:v>12.6875</c:v>
                </c:pt>
                <c:pt idx="803">
                  <c:v>12.697916666666666</c:v>
                </c:pt>
                <c:pt idx="804">
                  <c:v>12.708333333333332</c:v>
                </c:pt>
                <c:pt idx="805">
                  <c:v>12.729166666666666</c:v>
                </c:pt>
                <c:pt idx="806">
                  <c:v>12.739583333333332</c:v>
                </c:pt>
                <c:pt idx="807">
                  <c:v>12.75</c:v>
                </c:pt>
                <c:pt idx="808">
                  <c:v>12.760416666666666</c:v>
                </c:pt>
                <c:pt idx="809">
                  <c:v>12.8125</c:v>
                </c:pt>
                <c:pt idx="810">
                  <c:v>12.854166666666666</c:v>
                </c:pt>
                <c:pt idx="811">
                  <c:v>12.864583333333332</c:v>
                </c:pt>
                <c:pt idx="812">
                  <c:v>12.875</c:v>
                </c:pt>
                <c:pt idx="813">
                  <c:v>12.885416666666666</c:v>
                </c:pt>
                <c:pt idx="814">
                  <c:v>12.895833333333332</c:v>
                </c:pt>
                <c:pt idx="815">
                  <c:v>12.90625</c:v>
                </c:pt>
                <c:pt idx="816">
                  <c:v>12.927083333333332</c:v>
                </c:pt>
                <c:pt idx="817">
                  <c:v>12.947916666666666</c:v>
                </c:pt>
                <c:pt idx="818">
                  <c:v>12.958333333333332</c:v>
                </c:pt>
                <c:pt idx="819">
                  <c:v>12.96875</c:v>
                </c:pt>
                <c:pt idx="820">
                  <c:v>12.979166666666666</c:v>
                </c:pt>
                <c:pt idx="821">
                  <c:v>12.989583333333332</c:v>
                </c:pt>
                <c:pt idx="822">
                  <c:v>13</c:v>
                </c:pt>
                <c:pt idx="823">
                  <c:v>13.020833333333332</c:v>
                </c:pt>
                <c:pt idx="824">
                  <c:v>13.03125</c:v>
                </c:pt>
                <c:pt idx="825">
                  <c:v>13.041666666666666</c:v>
                </c:pt>
                <c:pt idx="826">
                  <c:v>13.052083333333332</c:v>
                </c:pt>
                <c:pt idx="827">
                  <c:v>13.0625</c:v>
                </c:pt>
                <c:pt idx="828">
                  <c:v>13.072916666666666</c:v>
                </c:pt>
                <c:pt idx="829">
                  <c:v>13.083333333333332</c:v>
                </c:pt>
                <c:pt idx="830">
                  <c:v>13.09375</c:v>
                </c:pt>
                <c:pt idx="831">
                  <c:v>13.104166666666666</c:v>
                </c:pt>
                <c:pt idx="832">
                  <c:v>13.114583333333332</c:v>
                </c:pt>
                <c:pt idx="833">
                  <c:v>13.125</c:v>
                </c:pt>
                <c:pt idx="834">
                  <c:v>13.135416666666666</c:v>
                </c:pt>
                <c:pt idx="835">
                  <c:v>13.15625</c:v>
                </c:pt>
                <c:pt idx="836">
                  <c:v>13.166666666666666</c:v>
                </c:pt>
                <c:pt idx="837">
                  <c:v>13.197916666666666</c:v>
                </c:pt>
                <c:pt idx="838">
                  <c:v>13.208333333333332</c:v>
                </c:pt>
                <c:pt idx="839">
                  <c:v>13.21875</c:v>
                </c:pt>
                <c:pt idx="840">
                  <c:v>13.229166666666666</c:v>
                </c:pt>
                <c:pt idx="841">
                  <c:v>13.239583333333332</c:v>
                </c:pt>
                <c:pt idx="842">
                  <c:v>13.25</c:v>
                </c:pt>
                <c:pt idx="843">
                  <c:v>13.270833333333332</c:v>
                </c:pt>
                <c:pt idx="844">
                  <c:v>13.28125</c:v>
                </c:pt>
                <c:pt idx="845">
                  <c:v>13.291666666666666</c:v>
                </c:pt>
                <c:pt idx="846">
                  <c:v>13.302083333333332</c:v>
                </c:pt>
                <c:pt idx="847">
                  <c:v>13.3125</c:v>
                </c:pt>
                <c:pt idx="848">
                  <c:v>13.322916666666666</c:v>
                </c:pt>
                <c:pt idx="849">
                  <c:v>13.333333333333332</c:v>
                </c:pt>
                <c:pt idx="850">
                  <c:v>13.34375</c:v>
                </c:pt>
                <c:pt idx="851">
                  <c:v>13.364583333333332</c:v>
                </c:pt>
                <c:pt idx="852">
                  <c:v>13.375</c:v>
                </c:pt>
                <c:pt idx="853">
                  <c:v>13.385416666666666</c:v>
                </c:pt>
                <c:pt idx="854">
                  <c:v>13.416666666666666</c:v>
                </c:pt>
                <c:pt idx="855">
                  <c:v>13.427083333333332</c:v>
                </c:pt>
                <c:pt idx="856">
                  <c:v>13.4375</c:v>
                </c:pt>
                <c:pt idx="857">
                  <c:v>13.447916666666666</c:v>
                </c:pt>
                <c:pt idx="858">
                  <c:v>13.458333333333332</c:v>
                </c:pt>
                <c:pt idx="859">
                  <c:v>13.46875</c:v>
                </c:pt>
                <c:pt idx="860">
                  <c:v>13.479166666666666</c:v>
                </c:pt>
                <c:pt idx="861">
                  <c:v>13.489583333333332</c:v>
                </c:pt>
                <c:pt idx="862">
                  <c:v>13.5</c:v>
                </c:pt>
                <c:pt idx="863">
                  <c:v>13.510416666666666</c:v>
                </c:pt>
                <c:pt idx="864">
                  <c:v>13.520833333333332</c:v>
                </c:pt>
                <c:pt idx="865">
                  <c:v>13.53125</c:v>
                </c:pt>
                <c:pt idx="866">
                  <c:v>13.541666666666666</c:v>
                </c:pt>
                <c:pt idx="867">
                  <c:v>13.552083333333332</c:v>
                </c:pt>
                <c:pt idx="868">
                  <c:v>13.5625</c:v>
                </c:pt>
                <c:pt idx="869">
                  <c:v>13.583333333333332</c:v>
                </c:pt>
                <c:pt idx="870">
                  <c:v>13.59375</c:v>
                </c:pt>
                <c:pt idx="871">
                  <c:v>13.604166666666666</c:v>
                </c:pt>
                <c:pt idx="872">
                  <c:v>13.635416666666666</c:v>
                </c:pt>
                <c:pt idx="873">
                  <c:v>13.645833333333332</c:v>
                </c:pt>
                <c:pt idx="874">
                  <c:v>13.65625</c:v>
                </c:pt>
                <c:pt idx="875">
                  <c:v>13.666666666666666</c:v>
                </c:pt>
                <c:pt idx="876">
                  <c:v>13.677083333333332</c:v>
                </c:pt>
                <c:pt idx="877">
                  <c:v>13.6875</c:v>
                </c:pt>
                <c:pt idx="878">
                  <c:v>13.697916666666666</c:v>
                </c:pt>
                <c:pt idx="879">
                  <c:v>13.708333333333332</c:v>
                </c:pt>
                <c:pt idx="880">
                  <c:v>13.71875</c:v>
                </c:pt>
                <c:pt idx="881">
                  <c:v>13.739583333333332</c:v>
                </c:pt>
                <c:pt idx="882">
                  <c:v>13.75</c:v>
                </c:pt>
                <c:pt idx="883">
                  <c:v>13.770833333333332</c:v>
                </c:pt>
                <c:pt idx="884">
                  <c:v>13.791666666666666</c:v>
                </c:pt>
                <c:pt idx="885">
                  <c:v>13.802083333333332</c:v>
                </c:pt>
                <c:pt idx="886">
                  <c:v>13.8125</c:v>
                </c:pt>
                <c:pt idx="887">
                  <c:v>13.822916666666666</c:v>
                </c:pt>
                <c:pt idx="888">
                  <c:v>13.84375</c:v>
                </c:pt>
                <c:pt idx="889">
                  <c:v>13.854166666666666</c:v>
                </c:pt>
                <c:pt idx="890">
                  <c:v>13.864583333333332</c:v>
                </c:pt>
              </c:numCache>
            </c:numRef>
          </c:xVal>
          <c:yVal>
            <c:numRef>
              <c:f>'C1OUT'!$Q$3:$Q$893</c:f>
              <c:numCache>
                <c:formatCode>General</c:formatCode>
                <c:ptCount val="891"/>
                <c:pt idx="0">
                  <c:v>0.2</c:v>
                </c:pt>
                <c:pt idx="1">
                  <c:v>0.2</c:v>
                </c:pt>
                <c:pt idx="2">
                  <c:v>-0.4</c:v>
                </c:pt>
                <c:pt idx="3">
                  <c:v>0.1</c:v>
                </c:pt>
                <c:pt idx="4">
                  <c:v>-0.3</c:v>
                </c:pt>
                <c:pt idx="5">
                  <c:v>0</c:v>
                </c:pt>
                <c:pt idx="6">
                  <c:v>-0.1</c:v>
                </c:pt>
                <c:pt idx="7">
                  <c:v>-0.1</c:v>
                </c:pt>
                <c:pt idx="8">
                  <c:v>-0.3</c:v>
                </c:pt>
                <c:pt idx="9">
                  <c:v>-0.3</c:v>
                </c:pt>
                <c:pt idx="10">
                  <c:v>-0.2</c:v>
                </c:pt>
                <c:pt idx="11">
                  <c:v>-0.2</c:v>
                </c:pt>
                <c:pt idx="12">
                  <c:v>-0.3</c:v>
                </c:pt>
                <c:pt idx="13">
                  <c:v>-0.2</c:v>
                </c:pt>
                <c:pt idx="14">
                  <c:v>-0.6</c:v>
                </c:pt>
                <c:pt idx="15">
                  <c:v>-0.3</c:v>
                </c:pt>
                <c:pt idx="16">
                  <c:v>0</c:v>
                </c:pt>
                <c:pt idx="17">
                  <c:v>-0.4</c:v>
                </c:pt>
                <c:pt idx="18">
                  <c:v>-0.1</c:v>
                </c:pt>
                <c:pt idx="19">
                  <c:v>-0.5</c:v>
                </c:pt>
                <c:pt idx="20">
                  <c:v>-0.6</c:v>
                </c:pt>
                <c:pt idx="21">
                  <c:v>-0.2</c:v>
                </c:pt>
                <c:pt idx="22">
                  <c:v>-0.4</c:v>
                </c:pt>
                <c:pt idx="23">
                  <c:v>-0.3</c:v>
                </c:pt>
                <c:pt idx="24">
                  <c:v>-0.5</c:v>
                </c:pt>
                <c:pt idx="25">
                  <c:v>-0.4</c:v>
                </c:pt>
                <c:pt idx="26">
                  <c:v>-0.4</c:v>
                </c:pt>
                <c:pt idx="27">
                  <c:v>-0.3</c:v>
                </c:pt>
                <c:pt idx="28">
                  <c:v>-0.2</c:v>
                </c:pt>
                <c:pt idx="29">
                  <c:v>-0.3</c:v>
                </c:pt>
                <c:pt idx="30">
                  <c:v>-0.2</c:v>
                </c:pt>
                <c:pt idx="31">
                  <c:v>-0.8</c:v>
                </c:pt>
                <c:pt idx="32">
                  <c:v>-0.8</c:v>
                </c:pt>
                <c:pt idx="33">
                  <c:v>-0.4</c:v>
                </c:pt>
                <c:pt idx="34">
                  <c:v>-0.5</c:v>
                </c:pt>
                <c:pt idx="35">
                  <c:v>0</c:v>
                </c:pt>
                <c:pt idx="36">
                  <c:v>-0.3</c:v>
                </c:pt>
                <c:pt idx="37">
                  <c:v>-0.3</c:v>
                </c:pt>
                <c:pt idx="38">
                  <c:v>0</c:v>
                </c:pt>
                <c:pt idx="39">
                  <c:v>1.4</c:v>
                </c:pt>
                <c:pt idx="40">
                  <c:v>1</c:v>
                </c:pt>
                <c:pt idx="41">
                  <c:v>5.4</c:v>
                </c:pt>
                <c:pt idx="42">
                  <c:v>8.9</c:v>
                </c:pt>
                <c:pt idx="43">
                  <c:v>8.6</c:v>
                </c:pt>
                <c:pt idx="44">
                  <c:v>9.5</c:v>
                </c:pt>
                <c:pt idx="45">
                  <c:v>36.799999999999997</c:v>
                </c:pt>
                <c:pt idx="46">
                  <c:v>32.700000000000003</c:v>
                </c:pt>
                <c:pt idx="47">
                  <c:v>56.9</c:v>
                </c:pt>
                <c:pt idx="48">
                  <c:v>94.8</c:v>
                </c:pt>
                <c:pt idx="49">
                  <c:v>89.4</c:v>
                </c:pt>
                <c:pt idx="50">
                  <c:v>97.3</c:v>
                </c:pt>
                <c:pt idx="51">
                  <c:v>126.8</c:v>
                </c:pt>
                <c:pt idx="52">
                  <c:v>125.3</c:v>
                </c:pt>
                <c:pt idx="53">
                  <c:v>100.4</c:v>
                </c:pt>
                <c:pt idx="54">
                  <c:v>88.4</c:v>
                </c:pt>
                <c:pt idx="55">
                  <c:v>82.7</c:v>
                </c:pt>
                <c:pt idx="56">
                  <c:v>80.599999999999994</c:v>
                </c:pt>
                <c:pt idx="57">
                  <c:v>77.8</c:v>
                </c:pt>
                <c:pt idx="58">
                  <c:v>74.8</c:v>
                </c:pt>
                <c:pt idx="59">
                  <c:v>75.7</c:v>
                </c:pt>
                <c:pt idx="60">
                  <c:v>76.900000000000006</c:v>
                </c:pt>
                <c:pt idx="61">
                  <c:v>74</c:v>
                </c:pt>
                <c:pt idx="62">
                  <c:v>72.3</c:v>
                </c:pt>
                <c:pt idx="63">
                  <c:v>73.3</c:v>
                </c:pt>
                <c:pt idx="64">
                  <c:v>75.5</c:v>
                </c:pt>
                <c:pt idx="65">
                  <c:v>76</c:v>
                </c:pt>
                <c:pt idx="66">
                  <c:v>120.9</c:v>
                </c:pt>
                <c:pt idx="67">
                  <c:v>124</c:v>
                </c:pt>
                <c:pt idx="68">
                  <c:v>84.7</c:v>
                </c:pt>
                <c:pt idx="69">
                  <c:v>86</c:v>
                </c:pt>
                <c:pt idx="70">
                  <c:v>88.5</c:v>
                </c:pt>
                <c:pt idx="71">
                  <c:v>88.6</c:v>
                </c:pt>
                <c:pt idx="72">
                  <c:v>90</c:v>
                </c:pt>
                <c:pt idx="73">
                  <c:v>101.4</c:v>
                </c:pt>
                <c:pt idx="74">
                  <c:v>104.4</c:v>
                </c:pt>
                <c:pt idx="75">
                  <c:v>139.9</c:v>
                </c:pt>
                <c:pt idx="76">
                  <c:v>103.3</c:v>
                </c:pt>
                <c:pt idx="77">
                  <c:v>107.7</c:v>
                </c:pt>
                <c:pt idx="78">
                  <c:v>109</c:v>
                </c:pt>
                <c:pt idx="79">
                  <c:v>116</c:v>
                </c:pt>
                <c:pt idx="80">
                  <c:v>122.4</c:v>
                </c:pt>
                <c:pt idx="81">
                  <c:v>137.69999999999999</c:v>
                </c:pt>
                <c:pt idx="82">
                  <c:v>143.4</c:v>
                </c:pt>
                <c:pt idx="83">
                  <c:v>140.5</c:v>
                </c:pt>
                <c:pt idx="84">
                  <c:v>136.69999999999999</c:v>
                </c:pt>
                <c:pt idx="85">
                  <c:v>138.9</c:v>
                </c:pt>
                <c:pt idx="86">
                  <c:v>140</c:v>
                </c:pt>
                <c:pt idx="87">
                  <c:v>131.69999999999999</c:v>
                </c:pt>
                <c:pt idx="88">
                  <c:v>136.1</c:v>
                </c:pt>
                <c:pt idx="89">
                  <c:v>134.30000000000001</c:v>
                </c:pt>
                <c:pt idx="90">
                  <c:v>136.80000000000001</c:v>
                </c:pt>
                <c:pt idx="91">
                  <c:v>134.5</c:v>
                </c:pt>
                <c:pt idx="92">
                  <c:v>130.9</c:v>
                </c:pt>
                <c:pt idx="93">
                  <c:v>136.19999999999999</c:v>
                </c:pt>
                <c:pt idx="94">
                  <c:v>140.9</c:v>
                </c:pt>
                <c:pt idx="95">
                  <c:v>142.69999999999999</c:v>
                </c:pt>
                <c:pt idx="96">
                  <c:v>142.5</c:v>
                </c:pt>
                <c:pt idx="97">
                  <c:v>139.69999999999999</c:v>
                </c:pt>
                <c:pt idx="98">
                  <c:v>139</c:v>
                </c:pt>
                <c:pt idx="99">
                  <c:v>138</c:v>
                </c:pt>
                <c:pt idx="100">
                  <c:v>135.5</c:v>
                </c:pt>
                <c:pt idx="101">
                  <c:v>135</c:v>
                </c:pt>
                <c:pt idx="102">
                  <c:v>141.80000000000001</c:v>
                </c:pt>
                <c:pt idx="103">
                  <c:v>144.69999999999999</c:v>
                </c:pt>
                <c:pt idx="104">
                  <c:v>135.9</c:v>
                </c:pt>
                <c:pt idx="105">
                  <c:v>143.19999999999999</c:v>
                </c:pt>
                <c:pt idx="106">
                  <c:v>143.4</c:v>
                </c:pt>
                <c:pt idx="107">
                  <c:v>146.6</c:v>
                </c:pt>
                <c:pt idx="108">
                  <c:v>147</c:v>
                </c:pt>
                <c:pt idx="109">
                  <c:v>126.9</c:v>
                </c:pt>
                <c:pt idx="110">
                  <c:v>119.3</c:v>
                </c:pt>
                <c:pt idx="111">
                  <c:v>121.4</c:v>
                </c:pt>
                <c:pt idx="112">
                  <c:v>120.7</c:v>
                </c:pt>
                <c:pt idx="113">
                  <c:v>115.4</c:v>
                </c:pt>
                <c:pt idx="114">
                  <c:v>116.5</c:v>
                </c:pt>
                <c:pt idx="115">
                  <c:v>117</c:v>
                </c:pt>
                <c:pt idx="116">
                  <c:v>117.7</c:v>
                </c:pt>
                <c:pt idx="117">
                  <c:v>116.6</c:v>
                </c:pt>
                <c:pt idx="118">
                  <c:v>119</c:v>
                </c:pt>
                <c:pt idx="119">
                  <c:v>117.2</c:v>
                </c:pt>
                <c:pt idx="120">
                  <c:v>119.7</c:v>
                </c:pt>
                <c:pt idx="121">
                  <c:v>127.3</c:v>
                </c:pt>
                <c:pt idx="122">
                  <c:v>116.1</c:v>
                </c:pt>
                <c:pt idx="123">
                  <c:v>118.1</c:v>
                </c:pt>
                <c:pt idx="124">
                  <c:v>121.6</c:v>
                </c:pt>
                <c:pt idx="125">
                  <c:v>121.6</c:v>
                </c:pt>
                <c:pt idx="126">
                  <c:v>121.5</c:v>
                </c:pt>
                <c:pt idx="127">
                  <c:v>121.1</c:v>
                </c:pt>
                <c:pt idx="128">
                  <c:v>116.5</c:v>
                </c:pt>
                <c:pt idx="129">
                  <c:v>130.5</c:v>
                </c:pt>
                <c:pt idx="130">
                  <c:v>136.30000000000001</c:v>
                </c:pt>
                <c:pt idx="131">
                  <c:v>128.4</c:v>
                </c:pt>
                <c:pt idx="132">
                  <c:v>125.7</c:v>
                </c:pt>
                <c:pt idx="133">
                  <c:v>122.9</c:v>
                </c:pt>
                <c:pt idx="134">
                  <c:v>126.8</c:v>
                </c:pt>
                <c:pt idx="135">
                  <c:v>126.3</c:v>
                </c:pt>
                <c:pt idx="136">
                  <c:v>125.8</c:v>
                </c:pt>
                <c:pt idx="137">
                  <c:v>124</c:v>
                </c:pt>
                <c:pt idx="138">
                  <c:v>117.2</c:v>
                </c:pt>
                <c:pt idx="139">
                  <c:v>120.9</c:v>
                </c:pt>
                <c:pt idx="140">
                  <c:v>117.7</c:v>
                </c:pt>
                <c:pt idx="141">
                  <c:v>122.6</c:v>
                </c:pt>
                <c:pt idx="142">
                  <c:v>123</c:v>
                </c:pt>
                <c:pt idx="143">
                  <c:v>122.8</c:v>
                </c:pt>
                <c:pt idx="144">
                  <c:v>122.8</c:v>
                </c:pt>
                <c:pt idx="145">
                  <c:v>122.4</c:v>
                </c:pt>
                <c:pt idx="146">
                  <c:v>118</c:v>
                </c:pt>
                <c:pt idx="147">
                  <c:v>123.6</c:v>
                </c:pt>
                <c:pt idx="148">
                  <c:v>123.5</c:v>
                </c:pt>
                <c:pt idx="149">
                  <c:v>123.5</c:v>
                </c:pt>
                <c:pt idx="150">
                  <c:v>123.4</c:v>
                </c:pt>
                <c:pt idx="151">
                  <c:v>119.5</c:v>
                </c:pt>
                <c:pt idx="152">
                  <c:v>120.5</c:v>
                </c:pt>
                <c:pt idx="153">
                  <c:v>121.3</c:v>
                </c:pt>
                <c:pt idx="154">
                  <c:v>123.8</c:v>
                </c:pt>
                <c:pt idx="155">
                  <c:v>124.7</c:v>
                </c:pt>
                <c:pt idx="156">
                  <c:v>120.6</c:v>
                </c:pt>
                <c:pt idx="157">
                  <c:v>118.7</c:v>
                </c:pt>
                <c:pt idx="158">
                  <c:v>121.2</c:v>
                </c:pt>
                <c:pt idx="159">
                  <c:v>123</c:v>
                </c:pt>
                <c:pt idx="160">
                  <c:v>121.5</c:v>
                </c:pt>
                <c:pt idx="161">
                  <c:v>124.2</c:v>
                </c:pt>
                <c:pt idx="162">
                  <c:v>122.2</c:v>
                </c:pt>
                <c:pt idx="163">
                  <c:v>122.7</c:v>
                </c:pt>
                <c:pt idx="164">
                  <c:v>120.1</c:v>
                </c:pt>
                <c:pt idx="165">
                  <c:v>123.1</c:v>
                </c:pt>
                <c:pt idx="166">
                  <c:v>119.7</c:v>
                </c:pt>
                <c:pt idx="167">
                  <c:v>118.5</c:v>
                </c:pt>
                <c:pt idx="168">
                  <c:v>118.7</c:v>
                </c:pt>
                <c:pt idx="169">
                  <c:v>115</c:v>
                </c:pt>
                <c:pt idx="170">
                  <c:v>117.8</c:v>
                </c:pt>
                <c:pt idx="171">
                  <c:v>120.8</c:v>
                </c:pt>
                <c:pt idx="172">
                  <c:v>121.2</c:v>
                </c:pt>
                <c:pt idx="173">
                  <c:v>116.6</c:v>
                </c:pt>
                <c:pt idx="174">
                  <c:v>116.8</c:v>
                </c:pt>
                <c:pt idx="175">
                  <c:v>115.8</c:v>
                </c:pt>
                <c:pt idx="176">
                  <c:v>120.6</c:v>
                </c:pt>
                <c:pt idx="177">
                  <c:v>116.1</c:v>
                </c:pt>
                <c:pt idx="178">
                  <c:v>114.7</c:v>
                </c:pt>
                <c:pt idx="179">
                  <c:v>117.7</c:v>
                </c:pt>
                <c:pt idx="180">
                  <c:v>116.6</c:v>
                </c:pt>
                <c:pt idx="181">
                  <c:v>115.5</c:v>
                </c:pt>
                <c:pt idx="182">
                  <c:v>113.5</c:v>
                </c:pt>
                <c:pt idx="183">
                  <c:v>109.8</c:v>
                </c:pt>
                <c:pt idx="184">
                  <c:v>106.3</c:v>
                </c:pt>
                <c:pt idx="185">
                  <c:v>104.9</c:v>
                </c:pt>
                <c:pt idx="186">
                  <c:v>104.7</c:v>
                </c:pt>
                <c:pt idx="187">
                  <c:v>103.9</c:v>
                </c:pt>
                <c:pt idx="188">
                  <c:v>105.7</c:v>
                </c:pt>
                <c:pt idx="189">
                  <c:v>106</c:v>
                </c:pt>
                <c:pt idx="190">
                  <c:v>105.9</c:v>
                </c:pt>
                <c:pt idx="191">
                  <c:v>106.7</c:v>
                </c:pt>
                <c:pt idx="192">
                  <c:v>105.9</c:v>
                </c:pt>
                <c:pt idx="193">
                  <c:v>101.4</c:v>
                </c:pt>
                <c:pt idx="194">
                  <c:v>101.6</c:v>
                </c:pt>
                <c:pt idx="195">
                  <c:v>101.5</c:v>
                </c:pt>
                <c:pt idx="196">
                  <c:v>102.3</c:v>
                </c:pt>
                <c:pt idx="197">
                  <c:v>102.9</c:v>
                </c:pt>
                <c:pt idx="198">
                  <c:v>104.5</c:v>
                </c:pt>
                <c:pt idx="199">
                  <c:v>101.9</c:v>
                </c:pt>
                <c:pt idx="200">
                  <c:v>104.5</c:v>
                </c:pt>
                <c:pt idx="201">
                  <c:v>106.4</c:v>
                </c:pt>
                <c:pt idx="202">
                  <c:v>102.6</c:v>
                </c:pt>
                <c:pt idx="203">
                  <c:v>106.1</c:v>
                </c:pt>
                <c:pt idx="204">
                  <c:v>105.8</c:v>
                </c:pt>
                <c:pt idx="205">
                  <c:v>106.6</c:v>
                </c:pt>
                <c:pt idx="206">
                  <c:v>106.8</c:v>
                </c:pt>
                <c:pt idx="207">
                  <c:v>107.1</c:v>
                </c:pt>
                <c:pt idx="208">
                  <c:v>106.4</c:v>
                </c:pt>
                <c:pt idx="209">
                  <c:v>103.3</c:v>
                </c:pt>
                <c:pt idx="210">
                  <c:v>106.2</c:v>
                </c:pt>
                <c:pt idx="211">
                  <c:v>105.2</c:v>
                </c:pt>
                <c:pt idx="212">
                  <c:v>105.1</c:v>
                </c:pt>
                <c:pt idx="213">
                  <c:v>104.1</c:v>
                </c:pt>
                <c:pt idx="214">
                  <c:v>103.7</c:v>
                </c:pt>
                <c:pt idx="215">
                  <c:v>101</c:v>
                </c:pt>
                <c:pt idx="216">
                  <c:v>103.5</c:v>
                </c:pt>
                <c:pt idx="217">
                  <c:v>103.6</c:v>
                </c:pt>
                <c:pt idx="218">
                  <c:v>103.5</c:v>
                </c:pt>
                <c:pt idx="219">
                  <c:v>101.6</c:v>
                </c:pt>
                <c:pt idx="220">
                  <c:v>102.7</c:v>
                </c:pt>
                <c:pt idx="221">
                  <c:v>100.3</c:v>
                </c:pt>
                <c:pt idx="222">
                  <c:v>97.1</c:v>
                </c:pt>
                <c:pt idx="223">
                  <c:v>100.8</c:v>
                </c:pt>
                <c:pt idx="224">
                  <c:v>99.9</c:v>
                </c:pt>
                <c:pt idx="225">
                  <c:v>98.5</c:v>
                </c:pt>
                <c:pt idx="226">
                  <c:v>99.9</c:v>
                </c:pt>
                <c:pt idx="227">
                  <c:v>99.4</c:v>
                </c:pt>
                <c:pt idx="228">
                  <c:v>97.8</c:v>
                </c:pt>
                <c:pt idx="229">
                  <c:v>95.1</c:v>
                </c:pt>
                <c:pt idx="230">
                  <c:v>96.3</c:v>
                </c:pt>
                <c:pt idx="231">
                  <c:v>94.8</c:v>
                </c:pt>
                <c:pt idx="232">
                  <c:v>97.6</c:v>
                </c:pt>
                <c:pt idx="233">
                  <c:v>96.8</c:v>
                </c:pt>
                <c:pt idx="234">
                  <c:v>96.7</c:v>
                </c:pt>
                <c:pt idx="235">
                  <c:v>95.3</c:v>
                </c:pt>
                <c:pt idx="236">
                  <c:v>93.9</c:v>
                </c:pt>
                <c:pt idx="237">
                  <c:v>93.5</c:v>
                </c:pt>
                <c:pt idx="238">
                  <c:v>92.3</c:v>
                </c:pt>
                <c:pt idx="239">
                  <c:v>90.7</c:v>
                </c:pt>
                <c:pt idx="240">
                  <c:v>89.8</c:v>
                </c:pt>
                <c:pt idx="241">
                  <c:v>87.2</c:v>
                </c:pt>
                <c:pt idx="242">
                  <c:v>87.5</c:v>
                </c:pt>
                <c:pt idx="243">
                  <c:v>87.5</c:v>
                </c:pt>
                <c:pt idx="244">
                  <c:v>88.9</c:v>
                </c:pt>
                <c:pt idx="245">
                  <c:v>88.4</c:v>
                </c:pt>
                <c:pt idx="246">
                  <c:v>87.8</c:v>
                </c:pt>
                <c:pt idx="247">
                  <c:v>86.2</c:v>
                </c:pt>
                <c:pt idx="248">
                  <c:v>83.3</c:v>
                </c:pt>
                <c:pt idx="249">
                  <c:v>82.9</c:v>
                </c:pt>
                <c:pt idx="250">
                  <c:v>85.6</c:v>
                </c:pt>
                <c:pt idx="251">
                  <c:v>84.4</c:v>
                </c:pt>
                <c:pt idx="252">
                  <c:v>82.9</c:v>
                </c:pt>
                <c:pt idx="253">
                  <c:v>86</c:v>
                </c:pt>
                <c:pt idx="254">
                  <c:v>85.3</c:v>
                </c:pt>
                <c:pt idx="255">
                  <c:v>84.6</c:v>
                </c:pt>
                <c:pt idx="256">
                  <c:v>84.6</c:v>
                </c:pt>
                <c:pt idx="257">
                  <c:v>81.3</c:v>
                </c:pt>
                <c:pt idx="258">
                  <c:v>84.2</c:v>
                </c:pt>
                <c:pt idx="259">
                  <c:v>82.2</c:v>
                </c:pt>
                <c:pt idx="260">
                  <c:v>83.2</c:v>
                </c:pt>
                <c:pt idx="261">
                  <c:v>84.4</c:v>
                </c:pt>
                <c:pt idx="262">
                  <c:v>84</c:v>
                </c:pt>
                <c:pt idx="263">
                  <c:v>85.3</c:v>
                </c:pt>
                <c:pt idx="264">
                  <c:v>82.3</c:v>
                </c:pt>
                <c:pt idx="265">
                  <c:v>83.3</c:v>
                </c:pt>
                <c:pt idx="266">
                  <c:v>82.7</c:v>
                </c:pt>
                <c:pt idx="267">
                  <c:v>80</c:v>
                </c:pt>
                <c:pt idx="268">
                  <c:v>82.7</c:v>
                </c:pt>
                <c:pt idx="269">
                  <c:v>82.2</c:v>
                </c:pt>
                <c:pt idx="270">
                  <c:v>80.3</c:v>
                </c:pt>
                <c:pt idx="271">
                  <c:v>79.900000000000006</c:v>
                </c:pt>
                <c:pt idx="272">
                  <c:v>81.2</c:v>
                </c:pt>
                <c:pt idx="273">
                  <c:v>81.8</c:v>
                </c:pt>
                <c:pt idx="274">
                  <c:v>82.1</c:v>
                </c:pt>
                <c:pt idx="275">
                  <c:v>77.900000000000006</c:v>
                </c:pt>
                <c:pt idx="276">
                  <c:v>78.099999999999994</c:v>
                </c:pt>
                <c:pt idx="277">
                  <c:v>80.8</c:v>
                </c:pt>
                <c:pt idx="278">
                  <c:v>81</c:v>
                </c:pt>
                <c:pt idx="279">
                  <c:v>77.099999999999994</c:v>
                </c:pt>
                <c:pt idx="280">
                  <c:v>78</c:v>
                </c:pt>
                <c:pt idx="281">
                  <c:v>79.7</c:v>
                </c:pt>
                <c:pt idx="282">
                  <c:v>79.2</c:v>
                </c:pt>
                <c:pt idx="283">
                  <c:v>78.8</c:v>
                </c:pt>
                <c:pt idx="284">
                  <c:v>78.5</c:v>
                </c:pt>
                <c:pt idx="285">
                  <c:v>75.5</c:v>
                </c:pt>
                <c:pt idx="286">
                  <c:v>75.599999999999994</c:v>
                </c:pt>
                <c:pt idx="287">
                  <c:v>75.7</c:v>
                </c:pt>
                <c:pt idx="288">
                  <c:v>78.7</c:v>
                </c:pt>
                <c:pt idx="289">
                  <c:v>75.7</c:v>
                </c:pt>
                <c:pt idx="290">
                  <c:v>76.400000000000006</c:v>
                </c:pt>
                <c:pt idx="291">
                  <c:v>76.3</c:v>
                </c:pt>
                <c:pt idx="292">
                  <c:v>77.400000000000006</c:v>
                </c:pt>
                <c:pt idx="293">
                  <c:v>76.3</c:v>
                </c:pt>
                <c:pt idx="294">
                  <c:v>76.3</c:v>
                </c:pt>
                <c:pt idx="295">
                  <c:v>75.2</c:v>
                </c:pt>
                <c:pt idx="296">
                  <c:v>74.2</c:v>
                </c:pt>
                <c:pt idx="297">
                  <c:v>74.3</c:v>
                </c:pt>
                <c:pt idx="298">
                  <c:v>72.099999999999994</c:v>
                </c:pt>
                <c:pt idx="299">
                  <c:v>68.7</c:v>
                </c:pt>
                <c:pt idx="300">
                  <c:v>70.400000000000006</c:v>
                </c:pt>
                <c:pt idx="301">
                  <c:v>70.3</c:v>
                </c:pt>
                <c:pt idx="302">
                  <c:v>70.900000000000006</c:v>
                </c:pt>
                <c:pt idx="303">
                  <c:v>69.900000000000006</c:v>
                </c:pt>
                <c:pt idx="304">
                  <c:v>69.5</c:v>
                </c:pt>
                <c:pt idx="305">
                  <c:v>69</c:v>
                </c:pt>
                <c:pt idx="306">
                  <c:v>66.099999999999994</c:v>
                </c:pt>
                <c:pt idx="307">
                  <c:v>66.2</c:v>
                </c:pt>
                <c:pt idx="308">
                  <c:v>67.5</c:v>
                </c:pt>
                <c:pt idx="309">
                  <c:v>63.9</c:v>
                </c:pt>
                <c:pt idx="310">
                  <c:v>66.3</c:v>
                </c:pt>
                <c:pt idx="311">
                  <c:v>66.400000000000006</c:v>
                </c:pt>
                <c:pt idx="312">
                  <c:v>66.099999999999994</c:v>
                </c:pt>
                <c:pt idx="313">
                  <c:v>65.8</c:v>
                </c:pt>
                <c:pt idx="314">
                  <c:v>62.5</c:v>
                </c:pt>
                <c:pt idx="315">
                  <c:v>64</c:v>
                </c:pt>
                <c:pt idx="316">
                  <c:v>62.4</c:v>
                </c:pt>
                <c:pt idx="317">
                  <c:v>62</c:v>
                </c:pt>
                <c:pt idx="318">
                  <c:v>66.400000000000006</c:v>
                </c:pt>
                <c:pt idx="319">
                  <c:v>61.2</c:v>
                </c:pt>
                <c:pt idx="320">
                  <c:v>58.1</c:v>
                </c:pt>
                <c:pt idx="321">
                  <c:v>58.9</c:v>
                </c:pt>
                <c:pt idx="322">
                  <c:v>56.7</c:v>
                </c:pt>
                <c:pt idx="323">
                  <c:v>59.8</c:v>
                </c:pt>
                <c:pt idx="324">
                  <c:v>60.7</c:v>
                </c:pt>
                <c:pt idx="325">
                  <c:v>60.9</c:v>
                </c:pt>
                <c:pt idx="326">
                  <c:v>58.4</c:v>
                </c:pt>
                <c:pt idx="327">
                  <c:v>59.1</c:v>
                </c:pt>
                <c:pt idx="328">
                  <c:v>58.3</c:v>
                </c:pt>
                <c:pt idx="329">
                  <c:v>58.4</c:v>
                </c:pt>
                <c:pt idx="330">
                  <c:v>60.5</c:v>
                </c:pt>
                <c:pt idx="331">
                  <c:v>60.5</c:v>
                </c:pt>
                <c:pt idx="332">
                  <c:v>59.8</c:v>
                </c:pt>
                <c:pt idx="333">
                  <c:v>58.8</c:v>
                </c:pt>
                <c:pt idx="334">
                  <c:v>57.4</c:v>
                </c:pt>
                <c:pt idx="335">
                  <c:v>58.2</c:v>
                </c:pt>
                <c:pt idx="336">
                  <c:v>58.3</c:v>
                </c:pt>
                <c:pt idx="337">
                  <c:v>57.6</c:v>
                </c:pt>
                <c:pt idx="338">
                  <c:v>57.7</c:v>
                </c:pt>
                <c:pt idx="339">
                  <c:v>56.3</c:v>
                </c:pt>
                <c:pt idx="340">
                  <c:v>50.1</c:v>
                </c:pt>
                <c:pt idx="341">
                  <c:v>57</c:v>
                </c:pt>
                <c:pt idx="342">
                  <c:v>55.8</c:v>
                </c:pt>
                <c:pt idx="343">
                  <c:v>56.9</c:v>
                </c:pt>
                <c:pt idx="344">
                  <c:v>55.6</c:v>
                </c:pt>
                <c:pt idx="345">
                  <c:v>56.4</c:v>
                </c:pt>
                <c:pt idx="346">
                  <c:v>55.2</c:v>
                </c:pt>
                <c:pt idx="347">
                  <c:v>54.2</c:v>
                </c:pt>
                <c:pt idx="348">
                  <c:v>53.6</c:v>
                </c:pt>
                <c:pt idx="349">
                  <c:v>52.5</c:v>
                </c:pt>
                <c:pt idx="350">
                  <c:v>53.5</c:v>
                </c:pt>
                <c:pt idx="351">
                  <c:v>53</c:v>
                </c:pt>
                <c:pt idx="352">
                  <c:v>53.7</c:v>
                </c:pt>
                <c:pt idx="353">
                  <c:v>54.1</c:v>
                </c:pt>
                <c:pt idx="354">
                  <c:v>53.3</c:v>
                </c:pt>
                <c:pt idx="355">
                  <c:v>51.7</c:v>
                </c:pt>
                <c:pt idx="356">
                  <c:v>53</c:v>
                </c:pt>
                <c:pt idx="357">
                  <c:v>52.9</c:v>
                </c:pt>
                <c:pt idx="358">
                  <c:v>52</c:v>
                </c:pt>
                <c:pt idx="359">
                  <c:v>50.8</c:v>
                </c:pt>
                <c:pt idx="360">
                  <c:v>52.6</c:v>
                </c:pt>
                <c:pt idx="361">
                  <c:v>52.3</c:v>
                </c:pt>
                <c:pt idx="362">
                  <c:v>50.6</c:v>
                </c:pt>
                <c:pt idx="363">
                  <c:v>52.1</c:v>
                </c:pt>
                <c:pt idx="364">
                  <c:v>50.7</c:v>
                </c:pt>
                <c:pt idx="365">
                  <c:v>51.2</c:v>
                </c:pt>
                <c:pt idx="366">
                  <c:v>51</c:v>
                </c:pt>
                <c:pt idx="367">
                  <c:v>51.6</c:v>
                </c:pt>
                <c:pt idx="368">
                  <c:v>55.2</c:v>
                </c:pt>
                <c:pt idx="369">
                  <c:v>51.8</c:v>
                </c:pt>
                <c:pt idx="370">
                  <c:v>49.8</c:v>
                </c:pt>
                <c:pt idx="371">
                  <c:v>52.4</c:v>
                </c:pt>
                <c:pt idx="372">
                  <c:v>49.1</c:v>
                </c:pt>
                <c:pt idx="373">
                  <c:v>51.5</c:v>
                </c:pt>
                <c:pt idx="374">
                  <c:v>51.5</c:v>
                </c:pt>
                <c:pt idx="375">
                  <c:v>50</c:v>
                </c:pt>
                <c:pt idx="376">
                  <c:v>49.3</c:v>
                </c:pt>
                <c:pt idx="377">
                  <c:v>51</c:v>
                </c:pt>
                <c:pt idx="378">
                  <c:v>48.8</c:v>
                </c:pt>
                <c:pt idx="379">
                  <c:v>48.8</c:v>
                </c:pt>
                <c:pt idx="380">
                  <c:v>50.1</c:v>
                </c:pt>
                <c:pt idx="381">
                  <c:v>50.9</c:v>
                </c:pt>
                <c:pt idx="382">
                  <c:v>50.7</c:v>
                </c:pt>
                <c:pt idx="383">
                  <c:v>50.5</c:v>
                </c:pt>
                <c:pt idx="384">
                  <c:v>50.8</c:v>
                </c:pt>
                <c:pt idx="385">
                  <c:v>48.9</c:v>
                </c:pt>
                <c:pt idx="386">
                  <c:v>48.7</c:v>
                </c:pt>
                <c:pt idx="387">
                  <c:v>48.6</c:v>
                </c:pt>
                <c:pt idx="388">
                  <c:v>50.4</c:v>
                </c:pt>
                <c:pt idx="389">
                  <c:v>50.3</c:v>
                </c:pt>
                <c:pt idx="390">
                  <c:v>50</c:v>
                </c:pt>
                <c:pt idx="391">
                  <c:v>48.5</c:v>
                </c:pt>
                <c:pt idx="392">
                  <c:v>47.1</c:v>
                </c:pt>
                <c:pt idx="393">
                  <c:v>49.5</c:v>
                </c:pt>
                <c:pt idx="394">
                  <c:v>48.1</c:v>
                </c:pt>
                <c:pt idx="395">
                  <c:v>47.6</c:v>
                </c:pt>
                <c:pt idx="396">
                  <c:v>48.4</c:v>
                </c:pt>
                <c:pt idx="397">
                  <c:v>48.1</c:v>
                </c:pt>
                <c:pt idx="398">
                  <c:v>48.4</c:v>
                </c:pt>
                <c:pt idx="399">
                  <c:v>46.7</c:v>
                </c:pt>
                <c:pt idx="400">
                  <c:v>48.5</c:v>
                </c:pt>
                <c:pt idx="401">
                  <c:v>46.9</c:v>
                </c:pt>
                <c:pt idx="402">
                  <c:v>48.5</c:v>
                </c:pt>
                <c:pt idx="403">
                  <c:v>48.2</c:v>
                </c:pt>
                <c:pt idx="404">
                  <c:v>46.6</c:v>
                </c:pt>
                <c:pt idx="405">
                  <c:v>46.8</c:v>
                </c:pt>
                <c:pt idx="406">
                  <c:v>47.9</c:v>
                </c:pt>
                <c:pt idx="407">
                  <c:v>47.6</c:v>
                </c:pt>
                <c:pt idx="408">
                  <c:v>47</c:v>
                </c:pt>
                <c:pt idx="409">
                  <c:v>44.8</c:v>
                </c:pt>
                <c:pt idx="410">
                  <c:v>46.8</c:v>
                </c:pt>
                <c:pt idx="411">
                  <c:v>45.4</c:v>
                </c:pt>
                <c:pt idx="412">
                  <c:v>46.7</c:v>
                </c:pt>
                <c:pt idx="413">
                  <c:v>46.3</c:v>
                </c:pt>
                <c:pt idx="414">
                  <c:v>46.6</c:v>
                </c:pt>
                <c:pt idx="415">
                  <c:v>45.1</c:v>
                </c:pt>
                <c:pt idx="416">
                  <c:v>44.5</c:v>
                </c:pt>
                <c:pt idx="417">
                  <c:v>44</c:v>
                </c:pt>
                <c:pt idx="418">
                  <c:v>45</c:v>
                </c:pt>
                <c:pt idx="419">
                  <c:v>45.1</c:v>
                </c:pt>
                <c:pt idx="420">
                  <c:v>45</c:v>
                </c:pt>
                <c:pt idx="421">
                  <c:v>44.2</c:v>
                </c:pt>
                <c:pt idx="422">
                  <c:v>44.9</c:v>
                </c:pt>
                <c:pt idx="423">
                  <c:v>43.6</c:v>
                </c:pt>
                <c:pt idx="424">
                  <c:v>43.6</c:v>
                </c:pt>
                <c:pt idx="425">
                  <c:v>44.4</c:v>
                </c:pt>
                <c:pt idx="426">
                  <c:v>43.4</c:v>
                </c:pt>
                <c:pt idx="427">
                  <c:v>43.5</c:v>
                </c:pt>
                <c:pt idx="428">
                  <c:v>43.6</c:v>
                </c:pt>
                <c:pt idx="429">
                  <c:v>43.3</c:v>
                </c:pt>
                <c:pt idx="430">
                  <c:v>43.6</c:v>
                </c:pt>
                <c:pt idx="431">
                  <c:v>43.9</c:v>
                </c:pt>
                <c:pt idx="432">
                  <c:v>43.8</c:v>
                </c:pt>
                <c:pt idx="433">
                  <c:v>43.3</c:v>
                </c:pt>
                <c:pt idx="434">
                  <c:v>43.3</c:v>
                </c:pt>
                <c:pt idx="435">
                  <c:v>42.6</c:v>
                </c:pt>
                <c:pt idx="436">
                  <c:v>42.4</c:v>
                </c:pt>
                <c:pt idx="437">
                  <c:v>43.5</c:v>
                </c:pt>
                <c:pt idx="438">
                  <c:v>43</c:v>
                </c:pt>
                <c:pt idx="439">
                  <c:v>42.6</c:v>
                </c:pt>
                <c:pt idx="440">
                  <c:v>43.2</c:v>
                </c:pt>
                <c:pt idx="441">
                  <c:v>41.6</c:v>
                </c:pt>
                <c:pt idx="442">
                  <c:v>43</c:v>
                </c:pt>
                <c:pt idx="443">
                  <c:v>43.8</c:v>
                </c:pt>
                <c:pt idx="444">
                  <c:v>42.8</c:v>
                </c:pt>
                <c:pt idx="445">
                  <c:v>43.6</c:v>
                </c:pt>
                <c:pt idx="446">
                  <c:v>41.6</c:v>
                </c:pt>
                <c:pt idx="447">
                  <c:v>43.9</c:v>
                </c:pt>
                <c:pt idx="448">
                  <c:v>45.3</c:v>
                </c:pt>
                <c:pt idx="449">
                  <c:v>41.6</c:v>
                </c:pt>
                <c:pt idx="450">
                  <c:v>43.5</c:v>
                </c:pt>
                <c:pt idx="451">
                  <c:v>42.7</c:v>
                </c:pt>
                <c:pt idx="452">
                  <c:v>42.4</c:v>
                </c:pt>
                <c:pt idx="453">
                  <c:v>41.5</c:v>
                </c:pt>
                <c:pt idx="454">
                  <c:v>40.799999999999997</c:v>
                </c:pt>
                <c:pt idx="455">
                  <c:v>41.3</c:v>
                </c:pt>
                <c:pt idx="456">
                  <c:v>41</c:v>
                </c:pt>
                <c:pt idx="457">
                  <c:v>42.5</c:v>
                </c:pt>
                <c:pt idx="458">
                  <c:v>42.2</c:v>
                </c:pt>
                <c:pt idx="459">
                  <c:v>42.4</c:v>
                </c:pt>
                <c:pt idx="460">
                  <c:v>40.5</c:v>
                </c:pt>
                <c:pt idx="461">
                  <c:v>41.5</c:v>
                </c:pt>
                <c:pt idx="462">
                  <c:v>41.6</c:v>
                </c:pt>
                <c:pt idx="463">
                  <c:v>41</c:v>
                </c:pt>
                <c:pt idx="464">
                  <c:v>39.700000000000003</c:v>
                </c:pt>
                <c:pt idx="465">
                  <c:v>38.5</c:v>
                </c:pt>
                <c:pt idx="466">
                  <c:v>39.6</c:v>
                </c:pt>
                <c:pt idx="467">
                  <c:v>40.1</c:v>
                </c:pt>
                <c:pt idx="468">
                  <c:v>40.1</c:v>
                </c:pt>
                <c:pt idx="469">
                  <c:v>36.9</c:v>
                </c:pt>
                <c:pt idx="470">
                  <c:v>34.1</c:v>
                </c:pt>
                <c:pt idx="471">
                  <c:v>31.4</c:v>
                </c:pt>
                <c:pt idx="472">
                  <c:v>32.5</c:v>
                </c:pt>
                <c:pt idx="473">
                  <c:v>34.6</c:v>
                </c:pt>
                <c:pt idx="474">
                  <c:v>36</c:v>
                </c:pt>
                <c:pt idx="475">
                  <c:v>33.799999999999997</c:v>
                </c:pt>
                <c:pt idx="476">
                  <c:v>38.700000000000003</c:v>
                </c:pt>
                <c:pt idx="477">
                  <c:v>31.8</c:v>
                </c:pt>
                <c:pt idx="478">
                  <c:v>31.9</c:v>
                </c:pt>
                <c:pt idx="479">
                  <c:v>32.6</c:v>
                </c:pt>
                <c:pt idx="480">
                  <c:v>30.2</c:v>
                </c:pt>
                <c:pt idx="481">
                  <c:v>28.5</c:v>
                </c:pt>
                <c:pt idx="482">
                  <c:v>29.5</c:v>
                </c:pt>
                <c:pt idx="483">
                  <c:v>31.4</c:v>
                </c:pt>
                <c:pt idx="484">
                  <c:v>29.9</c:v>
                </c:pt>
                <c:pt idx="485">
                  <c:v>37.6</c:v>
                </c:pt>
                <c:pt idx="486">
                  <c:v>27.7</c:v>
                </c:pt>
                <c:pt idx="487">
                  <c:v>27.4</c:v>
                </c:pt>
                <c:pt idx="488">
                  <c:v>27.8</c:v>
                </c:pt>
                <c:pt idx="489">
                  <c:v>26.4</c:v>
                </c:pt>
                <c:pt idx="490">
                  <c:v>28.6</c:v>
                </c:pt>
                <c:pt idx="491">
                  <c:v>28</c:v>
                </c:pt>
                <c:pt idx="492">
                  <c:v>26.3</c:v>
                </c:pt>
                <c:pt idx="493">
                  <c:v>27.7</c:v>
                </c:pt>
                <c:pt idx="494">
                  <c:v>28.4</c:v>
                </c:pt>
                <c:pt idx="495">
                  <c:v>27.7</c:v>
                </c:pt>
                <c:pt idx="496">
                  <c:v>29</c:v>
                </c:pt>
                <c:pt idx="497">
                  <c:v>29</c:v>
                </c:pt>
                <c:pt idx="498">
                  <c:v>28.2</c:v>
                </c:pt>
                <c:pt idx="499">
                  <c:v>26.8</c:v>
                </c:pt>
                <c:pt idx="500">
                  <c:v>27.5</c:v>
                </c:pt>
                <c:pt idx="501">
                  <c:v>28.2</c:v>
                </c:pt>
                <c:pt idx="502">
                  <c:v>26.3</c:v>
                </c:pt>
                <c:pt idx="503">
                  <c:v>27.1</c:v>
                </c:pt>
                <c:pt idx="504">
                  <c:v>28.5</c:v>
                </c:pt>
                <c:pt idx="505">
                  <c:v>28</c:v>
                </c:pt>
                <c:pt idx="506">
                  <c:v>27.7</c:v>
                </c:pt>
                <c:pt idx="507">
                  <c:v>27.9</c:v>
                </c:pt>
                <c:pt idx="508">
                  <c:v>25.7</c:v>
                </c:pt>
                <c:pt idx="509">
                  <c:v>26</c:v>
                </c:pt>
                <c:pt idx="510">
                  <c:v>26.1</c:v>
                </c:pt>
                <c:pt idx="511">
                  <c:v>26.4</c:v>
                </c:pt>
                <c:pt idx="512">
                  <c:v>27.3</c:v>
                </c:pt>
                <c:pt idx="513">
                  <c:v>26.3</c:v>
                </c:pt>
                <c:pt idx="514">
                  <c:v>25.7</c:v>
                </c:pt>
                <c:pt idx="515">
                  <c:v>25.1</c:v>
                </c:pt>
                <c:pt idx="516">
                  <c:v>24.1</c:v>
                </c:pt>
                <c:pt idx="517">
                  <c:v>25</c:v>
                </c:pt>
                <c:pt idx="518">
                  <c:v>24.4</c:v>
                </c:pt>
                <c:pt idx="519">
                  <c:v>23.1</c:v>
                </c:pt>
                <c:pt idx="520">
                  <c:v>24.3</c:v>
                </c:pt>
                <c:pt idx="521">
                  <c:v>23.5</c:v>
                </c:pt>
                <c:pt idx="522">
                  <c:v>23.6</c:v>
                </c:pt>
                <c:pt idx="523">
                  <c:v>23.5</c:v>
                </c:pt>
                <c:pt idx="524">
                  <c:v>24.1</c:v>
                </c:pt>
                <c:pt idx="525">
                  <c:v>21.5</c:v>
                </c:pt>
                <c:pt idx="526">
                  <c:v>23.9</c:v>
                </c:pt>
                <c:pt idx="527">
                  <c:v>23.5</c:v>
                </c:pt>
                <c:pt idx="528">
                  <c:v>24.2</c:v>
                </c:pt>
                <c:pt idx="529">
                  <c:v>23.3</c:v>
                </c:pt>
                <c:pt idx="530">
                  <c:v>24.5</c:v>
                </c:pt>
                <c:pt idx="531">
                  <c:v>24.1</c:v>
                </c:pt>
                <c:pt idx="532">
                  <c:v>23.3</c:v>
                </c:pt>
                <c:pt idx="533">
                  <c:v>22.9</c:v>
                </c:pt>
                <c:pt idx="534">
                  <c:v>24</c:v>
                </c:pt>
                <c:pt idx="535">
                  <c:v>23.1</c:v>
                </c:pt>
                <c:pt idx="536">
                  <c:v>23.5</c:v>
                </c:pt>
                <c:pt idx="537">
                  <c:v>23.7</c:v>
                </c:pt>
                <c:pt idx="538">
                  <c:v>24.8</c:v>
                </c:pt>
                <c:pt idx="539">
                  <c:v>23.6</c:v>
                </c:pt>
                <c:pt idx="540">
                  <c:v>21.9</c:v>
                </c:pt>
                <c:pt idx="541">
                  <c:v>22.8</c:v>
                </c:pt>
                <c:pt idx="542">
                  <c:v>25.7</c:v>
                </c:pt>
                <c:pt idx="543">
                  <c:v>24</c:v>
                </c:pt>
                <c:pt idx="544">
                  <c:v>22.4</c:v>
                </c:pt>
                <c:pt idx="545">
                  <c:v>22.4</c:v>
                </c:pt>
                <c:pt idx="546">
                  <c:v>25.7</c:v>
                </c:pt>
                <c:pt idx="547">
                  <c:v>22.9</c:v>
                </c:pt>
                <c:pt idx="548">
                  <c:v>24.4</c:v>
                </c:pt>
                <c:pt idx="549">
                  <c:v>24.1</c:v>
                </c:pt>
                <c:pt idx="550">
                  <c:v>23.4</c:v>
                </c:pt>
                <c:pt idx="551">
                  <c:v>24</c:v>
                </c:pt>
                <c:pt idx="552">
                  <c:v>25.8</c:v>
                </c:pt>
                <c:pt idx="553">
                  <c:v>27.3</c:v>
                </c:pt>
                <c:pt idx="554">
                  <c:v>25.1</c:v>
                </c:pt>
                <c:pt idx="555">
                  <c:v>23.8</c:v>
                </c:pt>
                <c:pt idx="556">
                  <c:v>20.5</c:v>
                </c:pt>
                <c:pt idx="557">
                  <c:v>25.2</c:v>
                </c:pt>
                <c:pt idx="558">
                  <c:v>22.1</c:v>
                </c:pt>
                <c:pt idx="559">
                  <c:v>25.5</c:v>
                </c:pt>
                <c:pt idx="560">
                  <c:v>23.3</c:v>
                </c:pt>
                <c:pt idx="561">
                  <c:v>25.2</c:v>
                </c:pt>
                <c:pt idx="562">
                  <c:v>25</c:v>
                </c:pt>
                <c:pt idx="563">
                  <c:v>23.9</c:v>
                </c:pt>
                <c:pt idx="564">
                  <c:v>22.5</c:v>
                </c:pt>
                <c:pt idx="565">
                  <c:v>23.3</c:v>
                </c:pt>
                <c:pt idx="566">
                  <c:v>23</c:v>
                </c:pt>
                <c:pt idx="567">
                  <c:v>22.4</c:v>
                </c:pt>
                <c:pt idx="568">
                  <c:v>22.5</c:v>
                </c:pt>
                <c:pt idx="569">
                  <c:v>23.4</c:v>
                </c:pt>
                <c:pt idx="570">
                  <c:v>23.8</c:v>
                </c:pt>
                <c:pt idx="571">
                  <c:v>23.4</c:v>
                </c:pt>
                <c:pt idx="572">
                  <c:v>23.5</c:v>
                </c:pt>
                <c:pt idx="573">
                  <c:v>23.2</c:v>
                </c:pt>
                <c:pt idx="574">
                  <c:v>22.5</c:v>
                </c:pt>
                <c:pt idx="575">
                  <c:v>23.4</c:v>
                </c:pt>
                <c:pt idx="576">
                  <c:v>24</c:v>
                </c:pt>
                <c:pt idx="577">
                  <c:v>22.7</c:v>
                </c:pt>
                <c:pt idx="578">
                  <c:v>22.5</c:v>
                </c:pt>
                <c:pt idx="579">
                  <c:v>21.7</c:v>
                </c:pt>
                <c:pt idx="580">
                  <c:v>21.7</c:v>
                </c:pt>
                <c:pt idx="581">
                  <c:v>22.8</c:v>
                </c:pt>
                <c:pt idx="582">
                  <c:v>22.9</c:v>
                </c:pt>
                <c:pt idx="583">
                  <c:v>23.4</c:v>
                </c:pt>
                <c:pt idx="584">
                  <c:v>22.8</c:v>
                </c:pt>
                <c:pt idx="585">
                  <c:v>22.8</c:v>
                </c:pt>
                <c:pt idx="586">
                  <c:v>22.1</c:v>
                </c:pt>
                <c:pt idx="587">
                  <c:v>21.8</c:v>
                </c:pt>
                <c:pt idx="588">
                  <c:v>24.4</c:v>
                </c:pt>
                <c:pt idx="589">
                  <c:v>22.1</c:v>
                </c:pt>
                <c:pt idx="590">
                  <c:v>24.1</c:v>
                </c:pt>
                <c:pt idx="591">
                  <c:v>22.4</c:v>
                </c:pt>
                <c:pt idx="592">
                  <c:v>21.7</c:v>
                </c:pt>
                <c:pt idx="593">
                  <c:v>22.6</c:v>
                </c:pt>
                <c:pt idx="594">
                  <c:v>20.6</c:v>
                </c:pt>
                <c:pt idx="595">
                  <c:v>26.4</c:v>
                </c:pt>
                <c:pt idx="596">
                  <c:v>27.8</c:v>
                </c:pt>
                <c:pt idx="597">
                  <c:v>24.7</c:v>
                </c:pt>
                <c:pt idx="598">
                  <c:v>28.9</c:v>
                </c:pt>
                <c:pt idx="599">
                  <c:v>28.2</c:v>
                </c:pt>
                <c:pt idx="600">
                  <c:v>29.9</c:v>
                </c:pt>
                <c:pt idx="601">
                  <c:v>28.3</c:v>
                </c:pt>
                <c:pt idx="602">
                  <c:v>32.4</c:v>
                </c:pt>
                <c:pt idx="603">
                  <c:v>29.9</c:v>
                </c:pt>
                <c:pt idx="604">
                  <c:v>31.3</c:v>
                </c:pt>
                <c:pt idx="605">
                  <c:v>30.2</c:v>
                </c:pt>
                <c:pt idx="606">
                  <c:v>28.4</c:v>
                </c:pt>
                <c:pt idx="607">
                  <c:v>28.4</c:v>
                </c:pt>
                <c:pt idx="608">
                  <c:v>29.3</c:v>
                </c:pt>
                <c:pt idx="609">
                  <c:v>28.8</c:v>
                </c:pt>
                <c:pt idx="610">
                  <c:v>28.8</c:v>
                </c:pt>
                <c:pt idx="611">
                  <c:v>29</c:v>
                </c:pt>
                <c:pt idx="612">
                  <c:v>28.3</c:v>
                </c:pt>
                <c:pt idx="613">
                  <c:v>28.2</c:v>
                </c:pt>
                <c:pt idx="614">
                  <c:v>27.6</c:v>
                </c:pt>
                <c:pt idx="615">
                  <c:v>26.9</c:v>
                </c:pt>
                <c:pt idx="616">
                  <c:v>27.8</c:v>
                </c:pt>
                <c:pt idx="617">
                  <c:v>36.4</c:v>
                </c:pt>
                <c:pt idx="618">
                  <c:v>26.1</c:v>
                </c:pt>
                <c:pt idx="619">
                  <c:v>25.5</c:v>
                </c:pt>
                <c:pt idx="620">
                  <c:v>25.2</c:v>
                </c:pt>
                <c:pt idx="621">
                  <c:v>25.8</c:v>
                </c:pt>
                <c:pt idx="622">
                  <c:v>24.9</c:v>
                </c:pt>
                <c:pt idx="623">
                  <c:v>34.5</c:v>
                </c:pt>
                <c:pt idx="624">
                  <c:v>24.1</c:v>
                </c:pt>
                <c:pt idx="625">
                  <c:v>32.5</c:v>
                </c:pt>
                <c:pt idx="626">
                  <c:v>24</c:v>
                </c:pt>
                <c:pt idx="627">
                  <c:v>24.8</c:v>
                </c:pt>
                <c:pt idx="628">
                  <c:v>23.8</c:v>
                </c:pt>
                <c:pt idx="629">
                  <c:v>22.4</c:v>
                </c:pt>
                <c:pt idx="630">
                  <c:v>22</c:v>
                </c:pt>
                <c:pt idx="631">
                  <c:v>23.2</c:v>
                </c:pt>
                <c:pt idx="632">
                  <c:v>23.6</c:v>
                </c:pt>
                <c:pt idx="633">
                  <c:v>23.1</c:v>
                </c:pt>
                <c:pt idx="634">
                  <c:v>25</c:v>
                </c:pt>
                <c:pt idx="635">
                  <c:v>24.9</c:v>
                </c:pt>
                <c:pt idx="636">
                  <c:v>24.5</c:v>
                </c:pt>
                <c:pt idx="637">
                  <c:v>24.5</c:v>
                </c:pt>
                <c:pt idx="638">
                  <c:v>24.7</c:v>
                </c:pt>
                <c:pt idx="639">
                  <c:v>28.8</c:v>
                </c:pt>
                <c:pt idx="640">
                  <c:v>36.1</c:v>
                </c:pt>
                <c:pt idx="641">
                  <c:v>26.7</c:v>
                </c:pt>
                <c:pt idx="642">
                  <c:v>26.6</c:v>
                </c:pt>
                <c:pt idx="643">
                  <c:v>25.8</c:v>
                </c:pt>
                <c:pt idx="644">
                  <c:v>25.9</c:v>
                </c:pt>
                <c:pt idx="645">
                  <c:v>25.3</c:v>
                </c:pt>
                <c:pt idx="646">
                  <c:v>25.4</c:v>
                </c:pt>
                <c:pt idx="647">
                  <c:v>25.3</c:v>
                </c:pt>
                <c:pt idx="648">
                  <c:v>29.7</c:v>
                </c:pt>
                <c:pt idx="649">
                  <c:v>23.2</c:v>
                </c:pt>
                <c:pt idx="650">
                  <c:v>24.2</c:v>
                </c:pt>
                <c:pt idx="651">
                  <c:v>23.8</c:v>
                </c:pt>
                <c:pt idx="652">
                  <c:v>24.8</c:v>
                </c:pt>
                <c:pt idx="653">
                  <c:v>24.6</c:v>
                </c:pt>
                <c:pt idx="654">
                  <c:v>24.4</c:v>
                </c:pt>
                <c:pt idx="655">
                  <c:v>24.4</c:v>
                </c:pt>
                <c:pt idx="656">
                  <c:v>24.4</c:v>
                </c:pt>
                <c:pt idx="657">
                  <c:v>24.8</c:v>
                </c:pt>
                <c:pt idx="658">
                  <c:v>23.6</c:v>
                </c:pt>
                <c:pt idx="659">
                  <c:v>26.2</c:v>
                </c:pt>
                <c:pt idx="660">
                  <c:v>25</c:v>
                </c:pt>
                <c:pt idx="661">
                  <c:v>26.2</c:v>
                </c:pt>
                <c:pt idx="662">
                  <c:v>25.3</c:v>
                </c:pt>
                <c:pt idx="663">
                  <c:v>25.5</c:v>
                </c:pt>
                <c:pt idx="664">
                  <c:v>25.6</c:v>
                </c:pt>
                <c:pt idx="665">
                  <c:v>26.9</c:v>
                </c:pt>
                <c:pt idx="666">
                  <c:v>27.3</c:v>
                </c:pt>
                <c:pt idx="667">
                  <c:v>25.2</c:v>
                </c:pt>
                <c:pt idx="668">
                  <c:v>25.5</c:v>
                </c:pt>
                <c:pt idx="669">
                  <c:v>24.8</c:v>
                </c:pt>
                <c:pt idx="670">
                  <c:v>21.6</c:v>
                </c:pt>
                <c:pt idx="671">
                  <c:v>21.4</c:v>
                </c:pt>
                <c:pt idx="672">
                  <c:v>22.9</c:v>
                </c:pt>
                <c:pt idx="673">
                  <c:v>23.9</c:v>
                </c:pt>
                <c:pt idx="674">
                  <c:v>23.9</c:v>
                </c:pt>
                <c:pt idx="675">
                  <c:v>23.9</c:v>
                </c:pt>
                <c:pt idx="676">
                  <c:v>31.3</c:v>
                </c:pt>
                <c:pt idx="677">
                  <c:v>22.5</c:v>
                </c:pt>
                <c:pt idx="678">
                  <c:v>23.7</c:v>
                </c:pt>
                <c:pt idx="679">
                  <c:v>23.3</c:v>
                </c:pt>
                <c:pt idx="680">
                  <c:v>23.1</c:v>
                </c:pt>
                <c:pt idx="681">
                  <c:v>23.5</c:v>
                </c:pt>
                <c:pt idx="682">
                  <c:v>23.9</c:v>
                </c:pt>
                <c:pt idx="683">
                  <c:v>30.4</c:v>
                </c:pt>
                <c:pt idx="684">
                  <c:v>26</c:v>
                </c:pt>
                <c:pt idx="685">
                  <c:v>23.1</c:v>
                </c:pt>
                <c:pt idx="686">
                  <c:v>23</c:v>
                </c:pt>
                <c:pt idx="687">
                  <c:v>22.6</c:v>
                </c:pt>
                <c:pt idx="688">
                  <c:v>23.7</c:v>
                </c:pt>
                <c:pt idx="689">
                  <c:v>23.7</c:v>
                </c:pt>
                <c:pt idx="690">
                  <c:v>23.5</c:v>
                </c:pt>
                <c:pt idx="691">
                  <c:v>23.3</c:v>
                </c:pt>
                <c:pt idx="692">
                  <c:v>23.7</c:v>
                </c:pt>
                <c:pt idx="693">
                  <c:v>23.4</c:v>
                </c:pt>
                <c:pt idx="694">
                  <c:v>28.6</c:v>
                </c:pt>
                <c:pt idx="695">
                  <c:v>23.3</c:v>
                </c:pt>
                <c:pt idx="696">
                  <c:v>23.7</c:v>
                </c:pt>
                <c:pt idx="697">
                  <c:v>24.2</c:v>
                </c:pt>
                <c:pt idx="698">
                  <c:v>25.3</c:v>
                </c:pt>
                <c:pt idx="699">
                  <c:v>22.9</c:v>
                </c:pt>
                <c:pt idx="700">
                  <c:v>23.5</c:v>
                </c:pt>
                <c:pt idx="701">
                  <c:v>23.2</c:v>
                </c:pt>
                <c:pt idx="702">
                  <c:v>23.2</c:v>
                </c:pt>
                <c:pt idx="703">
                  <c:v>24.2</c:v>
                </c:pt>
                <c:pt idx="704">
                  <c:v>23.7</c:v>
                </c:pt>
                <c:pt idx="705">
                  <c:v>23.4</c:v>
                </c:pt>
                <c:pt idx="706">
                  <c:v>22.8</c:v>
                </c:pt>
                <c:pt idx="707">
                  <c:v>24.1</c:v>
                </c:pt>
                <c:pt idx="708">
                  <c:v>23.7</c:v>
                </c:pt>
                <c:pt idx="709">
                  <c:v>22.9</c:v>
                </c:pt>
                <c:pt idx="710">
                  <c:v>22.9</c:v>
                </c:pt>
                <c:pt idx="711">
                  <c:v>23.3</c:v>
                </c:pt>
                <c:pt idx="712">
                  <c:v>27.8</c:v>
                </c:pt>
                <c:pt idx="713">
                  <c:v>23</c:v>
                </c:pt>
                <c:pt idx="714">
                  <c:v>23.5</c:v>
                </c:pt>
                <c:pt idx="715">
                  <c:v>23.5</c:v>
                </c:pt>
                <c:pt idx="716">
                  <c:v>22.9</c:v>
                </c:pt>
                <c:pt idx="717">
                  <c:v>23.4</c:v>
                </c:pt>
                <c:pt idx="718">
                  <c:v>22.3</c:v>
                </c:pt>
                <c:pt idx="719">
                  <c:v>30.7</c:v>
                </c:pt>
                <c:pt idx="720">
                  <c:v>28.1</c:v>
                </c:pt>
                <c:pt idx="721">
                  <c:v>23.1</c:v>
                </c:pt>
                <c:pt idx="722">
                  <c:v>20.7</c:v>
                </c:pt>
                <c:pt idx="723">
                  <c:v>21.7</c:v>
                </c:pt>
                <c:pt idx="724">
                  <c:v>21.8</c:v>
                </c:pt>
                <c:pt idx="725">
                  <c:v>20.9</c:v>
                </c:pt>
                <c:pt idx="726">
                  <c:v>22</c:v>
                </c:pt>
                <c:pt idx="727">
                  <c:v>22.1</c:v>
                </c:pt>
                <c:pt idx="728">
                  <c:v>20.7</c:v>
                </c:pt>
                <c:pt idx="729">
                  <c:v>20</c:v>
                </c:pt>
                <c:pt idx="730">
                  <c:v>18</c:v>
                </c:pt>
                <c:pt idx="731">
                  <c:v>16.3</c:v>
                </c:pt>
                <c:pt idx="732">
                  <c:v>17.100000000000001</c:v>
                </c:pt>
                <c:pt idx="733">
                  <c:v>20.399999999999999</c:v>
                </c:pt>
                <c:pt idx="734">
                  <c:v>15.6</c:v>
                </c:pt>
                <c:pt idx="735">
                  <c:v>15.3</c:v>
                </c:pt>
                <c:pt idx="736">
                  <c:v>16.5</c:v>
                </c:pt>
                <c:pt idx="737">
                  <c:v>16.100000000000001</c:v>
                </c:pt>
                <c:pt idx="738">
                  <c:v>17.3</c:v>
                </c:pt>
                <c:pt idx="739">
                  <c:v>15</c:v>
                </c:pt>
                <c:pt idx="740">
                  <c:v>14.6</c:v>
                </c:pt>
                <c:pt idx="741">
                  <c:v>15.4</c:v>
                </c:pt>
                <c:pt idx="742">
                  <c:v>17.8</c:v>
                </c:pt>
                <c:pt idx="743">
                  <c:v>14.5</c:v>
                </c:pt>
                <c:pt idx="744">
                  <c:v>13.9</c:v>
                </c:pt>
                <c:pt idx="745">
                  <c:v>14.2</c:v>
                </c:pt>
                <c:pt idx="746">
                  <c:v>15.1</c:v>
                </c:pt>
                <c:pt idx="747">
                  <c:v>15.7</c:v>
                </c:pt>
                <c:pt idx="748">
                  <c:v>14.2</c:v>
                </c:pt>
                <c:pt idx="749">
                  <c:v>20.2</c:v>
                </c:pt>
                <c:pt idx="750">
                  <c:v>14.3</c:v>
                </c:pt>
                <c:pt idx="751">
                  <c:v>16.3</c:v>
                </c:pt>
                <c:pt idx="752">
                  <c:v>14.6</c:v>
                </c:pt>
                <c:pt idx="753">
                  <c:v>9</c:v>
                </c:pt>
                <c:pt idx="754">
                  <c:v>13.8</c:v>
                </c:pt>
                <c:pt idx="755">
                  <c:v>14.2</c:v>
                </c:pt>
                <c:pt idx="756">
                  <c:v>9</c:v>
                </c:pt>
                <c:pt idx="757">
                  <c:v>14.2</c:v>
                </c:pt>
                <c:pt idx="758">
                  <c:v>14.3</c:v>
                </c:pt>
                <c:pt idx="759">
                  <c:v>13.8</c:v>
                </c:pt>
                <c:pt idx="760">
                  <c:v>12.9</c:v>
                </c:pt>
                <c:pt idx="761">
                  <c:v>14</c:v>
                </c:pt>
                <c:pt idx="762">
                  <c:v>13.3</c:v>
                </c:pt>
                <c:pt idx="763">
                  <c:v>13.5</c:v>
                </c:pt>
                <c:pt idx="764">
                  <c:v>13.3</c:v>
                </c:pt>
                <c:pt idx="765">
                  <c:v>13.5</c:v>
                </c:pt>
                <c:pt idx="766">
                  <c:v>13.6</c:v>
                </c:pt>
                <c:pt idx="767">
                  <c:v>14</c:v>
                </c:pt>
                <c:pt idx="768">
                  <c:v>13</c:v>
                </c:pt>
                <c:pt idx="769">
                  <c:v>13.5</c:v>
                </c:pt>
                <c:pt idx="770">
                  <c:v>13.2</c:v>
                </c:pt>
                <c:pt idx="771">
                  <c:v>13.8</c:v>
                </c:pt>
                <c:pt idx="772">
                  <c:v>13.1</c:v>
                </c:pt>
                <c:pt idx="773">
                  <c:v>13.5</c:v>
                </c:pt>
                <c:pt idx="774">
                  <c:v>12.7</c:v>
                </c:pt>
                <c:pt idx="775">
                  <c:v>14.1</c:v>
                </c:pt>
                <c:pt idx="776">
                  <c:v>13.8</c:v>
                </c:pt>
                <c:pt idx="777">
                  <c:v>13.5</c:v>
                </c:pt>
                <c:pt idx="778">
                  <c:v>14.1</c:v>
                </c:pt>
                <c:pt idx="779">
                  <c:v>13.6</c:v>
                </c:pt>
                <c:pt idx="780">
                  <c:v>13.6</c:v>
                </c:pt>
                <c:pt idx="781">
                  <c:v>13.9</c:v>
                </c:pt>
                <c:pt idx="782">
                  <c:v>14</c:v>
                </c:pt>
                <c:pt idx="783">
                  <c:v>13.8</c:v>
                </c:pt>
                <c:pt idx="784">
                  <c:v>13.4</c:v>
                </c:pt>
                <c:pt idx="785">
                  <c:v>13.7</c:v>
                </c:pt>
                <c:pt idx="786">
                  <c:v>12.6</c:v>
                </c:pt>
                <c:pt idx="787">
                  <c:v>13.6</c:v>
                </c:pt>
                <c:pt idx="788">
                  <c:v>13.5</c:v>
                </c:pt>
                <c:pt idx="789">
                  <c:v>13.3</c:v>
                </c:pt>
                <c:pt idx="790">
                  <c:v>13.3</c:v>
                </c:pt>
                <c:pt idx="791">
                  <c:v>13.3</c:v>
                </c:pt>
                <c:pt idx="792">
                  <c:v>12.9</c:v>
                </c:pt>
                <c:pt idx="793">
                  <c:v>13.3</c:v>
                </c:pt>
                <c:pt idx="794">
                  <c:v>13.5</c:v>
                </c:pt>
                <c:pt idx="795">
                  <c:v>13.9</c:v>
                </c:pt>
                <c:pt idx="796">
                  <c:v>13.1</c:v>
                </c:pt>
                <c:pt idx="797">
                  <c:v>16.5</c:v>
                </c:pt>
                <c:pt idx="798">
                  <c:v>14.4</c:v>
                </c:pt>
                <c:pt idx="799">
                  <c:v>14.1</c:v>
                </c:pt>
                <c:pt idx="800">
                  <c:v>13.4</c:v>
                </c:pt>
                <c:pt idx="801">
                  <c:v>7.3</c:v>
                </c:pt>
                <c:pt idx="802">
                  <c:v>13.7</c:v>
                </c:pt>
                <c:pt idx="803">
                  <c:v>13.4</c:v>
                </c:pt>
                <c:pt idx="804">
                  <c:v>13.2</c:v>
                </c:pt>
                <c:pt idx="805">
                  <c:v>14.5</c:v>
                </c:pt>
                <c:pt idx="806">
                  <c:v>14.8</c:v>
                </c:pt>
                <c:pt idx="807">
                  <c:v>17.100000000000001</c:v>
                </c:pt>
                <c:pt idx="808">
                  <c:v>18.899999999999999</c:v>
                </c:pt>
                <c:pt idx="809">
                  <c:v>19.7</c:v>
                </c:pt>
                <c:pt idx="810">
                  <c:v>19.399999999999999</c:v>
                </c:pt>
                <c:pt idx="811">
                  <c:v>17.399999999999999</c:v>
                </c:pt>
                <c:pt idx="812">
                  <c:v>24.3</c:v>
                </c:pt>
                <c:pt idx="813">
                  <c:v>21</c:v>
                </c:pt>
                <c:pt idx="814">
                  <c:v>16.600000000000001</c:v>
                </c:pt>
                <c:pt idx="815">
                  <c:v>16.8</c:v>
                </c:pt>
                <c:pt idx="816">
                  <c:v>16.8</c:v>
                </c:pt>
                <c:pt idx="817">
                  <c:v>15.8</c:v>
                </c:pt>
                <c:pt idx="818">
                  <c:v>13.5</c:v>
                </c:pt>
                <c:pt idx="819">
                  <c:v>13.9</c:v>
                </c:pt>
                <c:pt idx="820">
                  <c:v>12.6</c:v>
                </c:pt>
                <c:pt idx="821">
                  <c:v>13.8</c:v>
                </c:pt>
                <c:pt idx="822">
                  <c:v>17.600000000000001</c:v>
                </c:pt>
                <c:pt idx="823">
                  <c:v>13</c:v>
                </c:pt>
                <c:pt idx="824">
                  <c:v>12.9</c:v>
                </c:pt>
                <c:pt idx="825">
                  <c:v>12.9</c:v>
                </c:pt>
                <c:pt idx="826">
                  <c:v>12.8</c:v>
                </c:pt>
                <c:pt idx="827">
                  <c:v>13.5</c:v>
                </c:pt>
                <c:pt idx="828">
                  <c:v>13.5</c:v>
                </c:pt>
                <c:pt idx="829">
                  <c:v>5.9</c:v>
                </c:pt>
                <c:pt idx="830">
                  <c:v>12.5</c:v>
                </c:pt>
                <c:pt idx="831">
                  <c:v>6.9</c:v>
                </c:pt>
                <c:pt idx="832">
                  <c:v>13.3</c:v>
                </c:pt>
                <c:pt idx="833">
                  <c:v>13.1</c:v>
                </c:pt>
                <c:pt idx="834">
                  <c:v>12.7</c:v>
                </c:pt>
                <c:pt idx="835">
                  <c:v>12.8</c:v>
                </c:pt>
                <c:pt idx="836">
                  <c:v>12.8</c:v>
                </c:pt>
                <c:pt idx="837">
                  <c:v>12.6</c:v>
                </c:pt>
                <c:pt idx="838">
                  <c:v>12.6</c:v>
                </c:pt>
                <c:pt idx="839">
                  <c:v>12.8</c:v>
                </c:pt>
                <c:pt idx="840">
                  <c:v>12.9</c:v>
                </c:pt>
                <c:pt idx="841">
                  <c:v>13.1</c:v>
                </c:pt>
                <c:pt idx="842">
                  <c:v>11.8</c:v>
                </c:pt>
                <c:pt idx="843">
                  <c:v>12.3</c:v>
                </c:pt>
                <c:pt idx="844">
                  <c:v>12.3</c:v>
                </c:pt>
                <c:pt idx="845">
                  <c:v>11.9</c:v>
                </c:pt>
                <c:pt idx="846">
                  <c:v>12.3</c:v>
                </c:pt>
                <c:pt idx="847">
                  <c:v>12.8</c:v>
                </c:pt>
                <c:pt idx="848">
                  <c:v>13</c:v>
                </c:pt>
                <c:pt idx="849">
                  <c:v>6.7</c:v>
                </c:pt>
                <c:pt idx="850">
                  <c:v>9.6999999999999993</c:v>
                </c:pt>
                <c:pt idx="851">
                  <c:v>12.7</c:v>
                </c:pt>
                <c:pt idx="852">
                  <c:v>12.4</c:v>
                </c:pt>
                <c:pt idx="853">
                  <c:v>12.4</c:v>
                </c:pt>
                <c:pt idx="854">
                  <c:v>13</c:v>
                </c:pt>
                <c:pt idx="855">
                  <c:v>11.9</c:v>
                </c:pt>
                <c:pt idx="856">
                  <c:v>11.9</c:v>
                </c:pt>
                <c:pt idx="857">
                  <c:v>13.4</c:v>
                </c:pt>
                <c:pt idx="858">
                  <c:v>9.6</c:v>
                </c:pt>
                <c:pt idx="859">
                  <c:v>12.6</c:v>
                </c:pt>
                <c:pt idx="860">
                  <c:v>13</c:v>
                </c:pt>
                <c:pt idx="861">
                  <c:v>12.2</c:v>
                </c:pt>
                <c:pt idx="862">
                  <c:v>12.8</c:v>
                </c:pt>
                <c:pt idx="863">
                  <c:v>11.9</c:v>
                </c:pt>
                <c:pt idx="864">
                  <c:v>12.5</c:v>
                </c:pt>
                <c:pt idx="865">
                  <c:v>11.9</c:v>
                </c:pt>
                <c:pt idx="866">
                  <c:v>11.7</c:v>
                </c:pt>
                <c:pt idx="867">
                  <c:v>12</c:v>
                </c:pt>
                <c:pt idx="868">
                  <c:v>11.5</c:v>
                </c:pt>
                <c:pt idx="869">
                  <c:v>12.7</c:v>
                </c:pt>
                <c:pt idx="870">
                  <c:v>15.8</c:v>
                </c:pt>
                <c:pt idx="871">
                  <c:v>12</c:v>
                </c:pt>
                <c:pt idx="872">
                  <c:v>12.7</c:v>
                </c:pt>
                <c:pt idx="873">
                  <c:v>12.6</c:v>
                </c:pt>
                <c:pt idx="874">
                  <c:v>9.3000000000000007</c:v>
                </c:pt>
                <c:pt idx="875">
                  <c:v>12.8</c:v>
                </c:pt>
                <c:pt idx="876">
                  <c:v>11.6</c:v>
                </c:pt>
                <c:pt idx="877">
                  <c:v>11</c:v>
                </c:pt>
                <c:pt idx="878">
                  <c:v>11.2</c:v>
                </c:pt>
                <c:pt idx="879">
                  <c:v>15.6</c:v>
                </c:pt>
                <c:pt idx="880">
                  <c:v>11.5</c:v>
                </c:pt>
                <c:pt idx="881">
                  <c:v>20.100000000000001</c:v>
                </c:pt>
                <c:pt idx="882">
                  <c:v>17.8</c:v>
                </c:pt>
                <c:pt idx="883">
                  <c:v>19.899999999999999</c:v>
                </c:pt>
                <c:pt idx="884">
                  <c:v>19.8</c:v>
                </c:pt>
                <c:pt idx="885">
                  <c:v>16.600000000000001</c:v>
                </c:pt>
                <c:pt idx="886">
                  <c:v>23.9</c:v>
                </c:pt>
                <c:pt idx="887">
                  <c:v>16.3</c:v>
                </c:pt>
                <c:pt idx="888">
                  <c:v>16.100000000000001</c:v>
                </c:pt>
                <c:pt idx="889">
                  <c:v>16.3</c:v>
                </c:pt>
                <c:pt idx="890">
                  <c:v>23.2</c:v>
                </c:pt>
              </c:numCache>
            </c:numRef>
          </c:yVal>
          <c:smooth val="0"/>
          <c:extLst>
            <c:ext xmlns:c16="http://schemas.microsoft.com/office/drawing/2014/chart" uri="{C3380CC4-5D6E-409C-BE32-E72D297353CC}">
              <c16:uniqueId val="{00000000-B920-490F-9AD8-DF1A9DFD4774}"/>
            </c:ext>
          </c:extLst>
        </c:ser>
        <c:dLbls>
          <c:showLegendKey val="0"/>
          <c:showVal val="0"/>
          <c:showCatName val="0"/>
          <c:showSerName val="0"/>
          <c:showPercent val="0"/>
          <c:showBubbleSize val="0"/>
        </c:dLbls>
        <c:axId val="329323808"/>
        <c:axId val="329317928"/>
      </c:scatterChart>
      <c:valAx>
        <c:axId val="329323808"/>
        <c:scaling>
          <c:orientation val="minMax"/>
          <c:max val="14"/>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Since Dye Introduction to Cell 1 (Days)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9317928"/>
        <c:crosses val="autoZero"/>
        <c:crossBetween val="midCat"/>
      </c:valAx>
      <c:valAx>
        <c:axId val="329317928"/>
        <c:scaling>
          <c:orientation val="minMax"/>
          <c:max val="15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Rhodamine Concentration (ug/L)</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93238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29906388041464"/>
          <c:y val="5.6734159003479896E-2"/>
          <c:w val="0.8449867962523061"/>
          <c:h val="0.78377131091238883"/>
        </c:manualLayout>
      </c:layout>
      <c:scatterChart>
        <c:scatterStyle val="lineMarker"/>
        <c:varyColors val="0"/>
        <c:ser>
          <c:idx val="1"/>
          <c:order val="0"/>
          <c:spPr>
            <a:ln w="25400">
              <a:noFill/>
            </a:ln>
          </c:spPr>
          <c:trendline>
            <c:spPr>
              <a:ln>
                <a:prstDash val="dash"/>
              </a:ln>
            </c:spPr>
            <c:trendlineType val="poly"/>
            <c:order val="6"/>
            <c:dispRSqr val="0"/>
            <c:dispEq val="0"/>
          </c:trendline>
          <c:xVal>
            <c:numRef>
              <c:f>'C2NOUT'!$O$3:$O$828</c:f>
              <c:numCache>
                <c:formatCode>General</c:formatCode>
                <c:ptCount val="826"/>
                <c:pt idx="0">
                  <c:v>-6.25E-2</c:v>
                </c:pt>
                <c:pt idx="1">
                  <c:v>-3.125E-2</c:v>
                </c:pt>
                <c:pt idx="2">
                  <c:v>-2.0833333333333332E-2</c:v>
                </c:pt>
                <c:pt idx="3">
                  <c:v>-1.0416666666666666E-2</c:v>
                </c:pt>
                <c:pt idx="4">
                  <c:v>0</c:v>
                </c:pt>
                <c:pt idx="5">
                  <c:v>2.0833333333333332E-2</c:v>
                </c:pt>
                <c:pt idx="6">
                  <c:v>3.125E-2</c:v>
                </c:pt>
                <c:pt idx="7">
                  <c:v>4.1666666666666664E-2</c:v>
                </c:pt>
                <c:pt idx="8">
                  <c:v>5.2083333333333329E-2</c:v>
                </c:pt>
                <c:pt idx="9">
                  <c:v>7.2916666666666657E-2</c:v>
                </c:pt>
                <c:pt idx="10">
                  <c:v>8.3333333333333329E-2</c:v>
                </c:pt>
                <c:pt idx="11">
                  <c:v>9.375E-2</c:v>
                </c:pt>
                <c:pt idx="12">
                  <c:v>0.10416666666666666</c:v>
                </c:pt>
                <c:pt idx="13">
                  <c:v>0.11458333333333333</c:v>
                </c:pt>
                <c:pt idx="14">
                  <c:v>0.13541666666666666</c:v>
                </c:pt>
                <c:pt idx="15">
                  <c:v>0.14583333333333331</c:v>
                </c:pt>
                <c:pt idx="16">
                  <c:v>0.15625</c:v>
                </c:pt>
                <c:pt idx="17">
                  <c:v>0.16666666666666666</c:v>
                </c:pt>
                <c:pt idx="18">
                  <c:v>0.1875</c:v>
                </c:pt>
                <c:pt idx="19">
                  <c:v>0.19791666666666666</c:v>
                </c:pt>
                <c:pt idx="20">
                  <c:v>0.20833333333333331</c:v>
                </c:pt>
                <c:pt idx="21">
                  <c:v>0.23958333333333331</c:v>
                </c:pt>
                <c:pt idx="22">
                  <c:v>0.25</c:v>
                </c:pt>
                <c:pt idx="23">
                  <c:v>0.26041666666666663</c:v>
                </c:pt>
                <c:pt idx="24">
                  <c:v>0.27083333333333331</c:v>
                </c:pt>
                <c:pt idx="25">
                  <c:v>0.28125</c:v>
                </c:pt>
                <c:pt idx="26">
                  <c:v>0.29166666666666663</c:v>
                </c:pt>
                <c:pt idx="27">
                  <c:v>0.30208333333333331</c:v>
                </c:pt>
                <c:pt idx="28">
                  <c:v>0.3125</c:v>
                </c:pt>
                <c:pt idx="29">
                  <c:v>0.32291666666666663</c:v>
                </c:pt>
                <c:pt idx="30">
                  <c:v>0.33333333333333331</c:v>
                </c:pt>
                <c:pt idx="31">
                  <c:v>0.35416666666666663</c:v>
                </c:pt>
                <c:pt idx="32">
                  <c:v>0.36458333333333331</c:v>
                </c:pt>
                <c:pt idx="33">
                  <c:v>0.375</c:v>
                </c:pt>
                <c:pt idx="34">
                  <c:v>0.38541666666666663</c:v>
                </c:pt>
                <c:pt idx="35">
                  <c:v>0.39583333333333331</c:v>
                </c:pt>
                <c:pt idx="36">
                  <c:v>0.40625</c:v>
                </c:pt>
                <c:pt idx="37">
                  <c:v>0.4375</c:v>
                </c:pt>
                <c:pt idx="38">
                  <c:v>0.44791666666666663</c:v>
                </c:pt>
                <c:pt idx="39">
                  <c:v>0.45833333333333331</c:v>
                </c:pt>
                <c:pt idx="40">
                  <c:v>0.46875</c:v>
                </c:pt>
                <c:pt idx="41">
                  <c:v>0.47916666666666663</c:v>
                </c:pt>
                <c:pt idx="42">
                  <c:v>0.5</c:v>
                </c:pt>
                <c:pt idx="43">
                  <c:v>0.52083333333333326</c:v>
                </c:pt>
                <c:pt idx="44">
                  <c:v>0.53125</c:v>
                </c:pt>
                <c:pt idx="45">
                  <c:v>0.54166666666666663</c:v>
                </c:pt>
                <c:pt idx="46">
                  <c:v>0.55208333333333326</c:v>
                </c:pt>
                <c:pt idx="47">
                  <c:v>0.5625</c:v>
                </c:pt>
                <c:pt idx="48">
                  <c:v>0.58333333333333326</c:v>
                </c:pt>
                <c:pt idx="49">
                  <c:v>0.59375</c:v>
                </c:pt>
                <c:pt idx="50">
                  <c:v>0.60416666666666663</c:v>
                </c:pt>
                <c:pt idx="51">
                  <c:v>0.61458333333333326</c:v>
                </c:pt>
                <c:pt idx="52">
                  <c:v>0.625</c:v>
                </c:pt>
                <c:pt idx="53">
                  <c:v>0.63541666666666663</c:v>
                </c:pt>
                <c:pt idx="54">
                  <c:v>0.64583333333333326</c:v>
                </c:pt>
                <c:pt idx="55">
                  <c:v>0.65625</c:v>
                </c:pt>
                <c:pt idx="56">
                  <c:v>0.67708333333333326</c:v>
                </c:pt>
                <c:pt idx="57">
                  <c:v>0.6875</c:v>
                </c:pt>
                <c:pt idx="58">
                  <c:v>0.69791666666666663</c:v>
                </c:pt>
                <c:pt idx="59">
                  <c:v>0.71875</c:v>
                </c:pt>
                <c:pt idx="60">
                  <c:v>0.73958333333333326</c:v>
                </c:pt>
                <c:pt idx="61">
                  <c:v>0.76041666666666663</c:v>
                </c:pt>
                <c:pt idx="62">
                  <c:v>0.77083333333333326</c:v>
                </c:pt>
                <c:pt idx="63">
                  <c:v>0.78125</c:v>
                </c:pt>
                <c:pt idx="64">
                  <c:v>0.79166666666666663</c:v>
                </c:pt>
                <c:pt idx="65">
                  <c:v>0.82291666666666663</c:v>
                </c:pt>
                <c:pt idx="66">
                  <c:v>0.83333333333333326</c:v>
                </c:pt>
                <c:pt idx="67">
                  <c:v>0.84375</c:v>
                </c:pt>
                <c:pt idx="68">
                  <c:v>0.85416666666666663</c:v>
                </c:pt>
                <c:pt idx="69">
                  <c:v>0.86458333333333326</c:v>
                </c:pt>
                <c:pt idx="70">
                  <c:v>0.875</c:v>
                </c:pt>
                <c:pt idx="71">
                  <c:v>0.88541666666666663</c:v>
                </c:pt>
                <c:pt idx="72">
                  <c:v>0.90625</c:v>
                </c:pt>
                <c:pt idx="73">
                  <c:v>0.91666666666666663</c:v>
                </c:pt>
                <c:pt idx="74">
                  <c:v>0.92708333333333326</c:v>
                </c:pt>
                <c:pt idx="75">
                  <c:v>0.9375</c:v>
                </c:pt>
                <c:pt idx="76">
                  <c:v>0.94791666666666663</c:v>
                </c:pt>
                <c:pt idx="77">
                  <c:v>0.95833333333333326</c:v>
                </c:pt>
                <c:pt idx="78">
                  <c:v>0.96875</c:v>
                </c:pt>
                <c:pt idx="79">
                  <c:v>0.97916666666666663</c:v>
                </c:pt>
                <c:pt idx="80">
                  <c:v>0.98958333333333326</c:v>
                </c:pt>
                <c:pt idx="81">
                  <c:v>1</c:v>
                </c:pt>
                <c:pt idx="82">
                  <c:v>1.0104166666666665</c:v>
                </c:pt>
                <c:pt idx="83">
                  <c:v>1.0520833333333333</c:v>
                </c:pt>
                <c:pt idx="84">
                  <c:v>1.0625</c:v>
                </c:pt>
                <c:pt idx="85">
                  <c:v>1.0729166666666665</c:v>
                </c:pt>
                <c:pt idx="86">
                  <c:v>1.0833333333333333</c:v>
                </c:pt>
                <c:pt idx="87">
                  <c:v>1.1041666666666665</c:v>
                </c:pt>
                <c:pt idx="88">
                  <c:v>1.1145833333333333</c:v>
                </c:pt>
                <c:pt idx="89">
                  <c:v>1.125</c:v>
                </c:pt>
                <c:pt idx="90">
                  <c:v>1.1354166666666665</c:v>
                </c:pt>
                <c:pt idx="91">
                  <c:v>1.1458333333333333</c:v>
                </c:pt>
                <c:pt idx="92">
                  <c:v>1.15625</c:v>
                </c:pt>
                <c:pt idx="93">
                  <c:v>1.1666666666666665</c:v>
                </c:pt>
                <c:pt idx="94">
                  <c:v>1.1770833333333333</c:v>
                </c:pt>
                <c:pt idx="95">
                  <c:v>1.1979166666666665</c:v>
                </c:pt>
                <c:pt idx="96">
                  <c:v>1.2083333333333333</c:v>
                </c:pt>
                <c:pt idx="97">
                  <c:v>1.2395833333333333</c:v>
                </c:pt>
                <c:pt idx="98">
                  <c:v>1.25</c:v>
                </c:pt>
                <c:pt idx="99">
                  <c:v>1.2604166666666665</c:v>
                </c:pt>
                <c:pt idx="100">
                  <c:v>1.2708333333333333</c:v>
                </c:pt>
                <c:pt idx="101">
                  <c:v>1.28125</c:v>
                </c:pt>
                <c:pt idx="102">
                  <c:v>1.2916666666666665</c:v>
                </c:pt>
                <c:pt idx="103">
                  <c:v>1.3020833333333333</c:v>
                </c:pt>
                <c:pt idx="104">
                  <c:v>1.3125</c:v>
                </c:pt>
                <c:pt idx="105">
                  <c:v>1.3333333333333333</c:v>
                </c:pt>
                <c:pt idx="106">
                  <c:v>1.34375</c:v>
                </c:pt>
                <c:pt idx="107">
                  <c:v>1.3645833333333333</c:v>
                </c:pt>
                <c:pt idx="108">
                  <c:v>1.375</c:v>
                </c:pt>
                <c:pt idx="109">
                  <c:v>1.3854166666666665</c:v>
                </c:pt>
                <c:pt idx="110">
                  <c:v>1.3958333333333333</c:v>
                </c:pt>
                <c:pt idx="111">
                  <c:v>1.40625</c:v>
                </c:pt>
                <c:pt idx="112">
                  <c:v>1.4166666666666665</c:v>
                </c:pt>
                <c:pt idx="113">
                  <c:v>1.4270833333333333</c:v>
                </c:pt>
                <c:pt idx="114">
                  <c:v>1.4375</c:v>
                </c:pt>
                <c:pt idx="115">
                  <c:v>1.4583333333333333</c:v>
                </c:pt>
                <c:pt idx="116">
                  <c:v>1.4791666666666665</c:v>
                </c:pt>
                <c:pt idx="117">
                  <c:v>1.4895833333333333</c:v>
                </c:pt>
                <c:pt idx="118">
                  <c:v>1.5</c:v>
                </c:pt>
                <c:pt idx="119">
                  <c:v>1.5208333333333333</c:v>
                </c:pt>
                <c:pt idx="120">
                  <c:v>1.53125</c:v>
                </c:pt>
                <c:pt idx="121">
                  <c:v>1.5416666666666665</c:v>
                </c:pt>
                <c:pt idx="122">
                  <c:v>1.5520833333333333</c:v>
                </c:pt>
                <c:pt idx="123">
                  <c:v>1.5625</c:v>
                </c:pt>
                <c:pt idx="124">
                  <c:v>1.5729166666666665</c:v>
                </c:pt>
                <c:pt idx="125">
                  <c:v>1.5833333333333333</c:v>
                </c:pt>
                <c:pt idx="126">
                  <c:v>1.6041666666666665</c:v>
                </c:pt>
                <c:pt idx="127">
                  <c:v>1.6145833333333333</c:v>
                </c:pt>
                <c:pt idx="128">
                  <c:v>1.625</c:v>
                </c:pt>
                <c:pt idx="129">
                  <c:v>1.6354166666666665</c:v>
                </c:pt>
                <c:pt idx="130">
                  <c:v>1.6458333333333333</c:v>
                </c:pt>
                <c:pt idx="131">
                  <c:v>1.65625</c:v>
                </c:pt>
                <c:pt idx="132">
                  <c:v>1.6666666666666665</c:v>
                </c:pt>
                <c:pt idx="133">
                  <c:v>1.6770833333333333</c:v>
                </c:pt>
                <c:pt idx="134">
                  <c:v>1.6875</c:v>
                </c:pt>
                <c:pt idx="135">
                  <c:v>1.71875</c:v>
                </c:pt>
                <c:pt idx="136">
                  <c:v>1.7395833333333333</c:v>
                </c:pt>
                <c:pt idx="137">
                  <c:v>1.75</c:v>
                </c:pt>
                <c:pt idx="138">
                  <c:v>1.7708333333333333</c:v>
                </c:pt>
                <c:pt idx="139">
                  <c:v>1.8020833333333333</c:v>
                </c:pt>
                <c:pt idx="140">
                  <c:v>1.8333333333333333</c:v>
                </c:pt>
                <c:pt idx="141">
                  <c:v>1.84375</c:v>
                </c:pt>
                <c:pt idx="142">
                  <c:v>1.8541666666666665</c:v>
                </c:pt>
                <c:pt idx="143">
                  <c:v>1.875</c:v>
                </c:pt>
                <c:pt idx="144">
                  <c:v>1.90625</c:v>
                </c:pt>
                <c:pt idx="145">
                  <c:v>1.9375</c:v>
                </c:pt>
                <c:pt idx="146">
                  <c:v>1.9479166666666665</c:v>
                </c:pt>
                <c:pt idx="147">
                  <c:v>1.9583333333333333</c:v>
                </c:pt>
                <c:pt idx="148">
                  <c:v>1.9791666666666665</c:v>
                </c:pt>
                <c:pt idx="149">
                  <c:v>2</c:v>
                </c:pt>
                <c:pt idx="150">
                  <c:v>2.0104166666666665</c:v>
                </c:pt>
                <c:pt idx="151">
                  <c:v>2.052083333333333</c:v>
                </c:pt>
                <c:pt idx="152">
                  <c:v>2.0729166666666665</c:v>
                </c:pt>
                <c:pt idx="153">
                  <c:v>2.114583333333333</c:v>
                </c:pt>
                <c:pt idx="154">
                  <c:v>2.125</c:v>
                </c:pt>
                <c:pt idx="155">
                  <c:v>2.1354166666666665</c:v>
                </c:pt>
                <c:pt idx="156">
                  <c:v>2.145833333333333</c:v>
                </c:pt>
                <c:pt idx="157">
                  <c:v>2.15625</c:v>
                </c:pt>
                <c:pt idx="158">
                  <c:v>2.177083333333333</c:v>
                </c:pt>
                <c:pt idx="159">
                  <c:v>2.208333333333333</c:v>
                </c:pt>
                <c:pt idx="160">
                  <c:v>2.21875</c:v>
                </c:pt>
                <c:pt idx="161">
                  <c:v>2.2291666666666665</c:v>
                </c:pt>
                <c:pt idx="162">
                  <c:v>2.28125</c:v>
                </c:pt>
                <c:pt idx="163">
                  <c:v>2.3125</c:v>
                </c:pt>
                <c:pt idx="164">
                  <c:v>2.3229166666666665</c:v>
                </c:pt>
                <c:pt idx="165">
                  <c:v>2.333333333333333</c:v>
                </c:pt>
                <c:pt idx="166">
                  <c:v>2.34375</c:v>
                </c:pt>
                <c:pt idx="167">
                  <c:v>2.3541666666666665</c:v>
                </c:pt>
                <c:pt idx="168">
                  <c:v>2.364583333333333</c:v>
                </c:pt>
                <c:pt idx="169">
                  <c:v>2.3854166666666665</c:v>
                </c:pt>
                <c:pt idx="170">
                  <c:v>2.395833333333333</c:v>
                </c:pt>
                <c:pt idx="171">
                  <c:v>2.40625</c:v>
                </c:pt>
                <c:pt idx="172">
                  <c:v>2.4166666666666665</c:v>
                </c:pt>
                <c:pt idx="173">
                  <c:v>2.4375</c:v>
                </c:pt>
                <c:pt idx="174">
                  <c:v>2.458333333333333</c:v>
                </c:pt>
                <c:pt idx="175">
                  <c:v>2.46875</c:v>
                </c:pt>
                <c:pt idx="176">
                  <c:v>2.4791666666666665</c:v>
                </c:pt>
                <c:pt idx="177">
                  <c:v>2.489583333333333</c:v>
                </c:pt>
                <c:pt idx="178">
                  <c:v>2.5</c:v>
                </c:pt>
                <c:pt idx="179">
                  <c:v>2.5104166666666665</c:v>
                </c:pt>
                <c:pt idx="180">
                  <c:v>2.53125</c:v>
                </c:pt>
                <c:pt idx="181">
                  <c:v>2.5416666666666665</c:v>
                </c:pt>
                <c:pt idx="182">
                  <c:v>2.552083333333333</c:v>
                </c:pt>
                <c:pt idx="183">
                  <c:v>2.5729166666666665</c:v>
                </c:pt>
                <c:pt idx="184">
                  <c:v>2.583333333333333</c:v>
                </c:pt>
                <c:pt idx="185">
                  <c:v>2.59375</c:v>
                </c:pt>
                <c:pt idx="186">
                  <c:v>2.6041666666666665</c:v>
                </c:pt>
                <c:pt idx="187">
                  <c:v>2.614583333333333</c:v>
                </c:pt>
                <c:pt idx="188">
                  <c:v>2.625</c:v>
                </c:pt>
                <c:pt idx="189">
                  <c:v>2.6354166666666665</c:v>
                </c:pt>
                <c:pt idx="190">
                  <c:v>2.65625</c:v>
                </c:pt>
                <c:pt idx="191">
                  <c:v>2.677083333333333</c:v>
                </c:pt>
                <c:pt idx="192">
                  <c:v>2.6875</c:v>
                </c:pt>
                <c:pt idx="193">
                  <c:v>2.6979166666666665</c:v>
                </c:pt>
                <c:pt idx="194">
                  <c:v>2.708333333333333</c:v>
                </c:pt>
                <c:pt idx="195">
                  <c:v>2.7291666666666665</c:v>
                </c:pt>
                <c:pt idx="196">
                  <c:v>2.7604166666666665</c:v>
                </c:pt>
                <c:pt idx="197">
                  <c:v>2.78125</c:v>
                </c:pt>
                <c:pt idx="198">
                  <c:v>2.7916666666666665</c:v>
                </c:pt>
                <c:pt idx="199">
                  <c:v>2.802083333333333</c:v>
                </c:pt>
                <c:pt idx="200">
                  <c:v>2.8125</c:v>
                </c:pt>
                <c:pt idx="201">
                  <c:v>2.833333333333333</c:v>
                </c:pt>
                <c:pt idx="202">
                  <c:v>2.84375</c:v>
                </c:pt>
                <c:pt idx="203">
                  <c:v>2.8541666666666665</c:v>
                </c:pt>
                <c:pt idx="204">
                  <c:v>2.8854166666666665</c:v>
                </c:pt>
                <c:pt idx="205">
                  <c:v>2.895833333333333</c:v>
                </c:pt>
                <c:pt idx="206">
                  <c:v>2.9166666666666665</c:v>
                </c:pt>
                <c:pt idx="207">
                  <c:v>2.927083333333333</c:v>
                </c:pt>
                <c:pt idx="208">
                  <c:v>2.9375</c:v>
                </c:pt>
                <c:pt idx="209">
                  <c:v>2.9479166666666665</c:v>
                </c:pt>
                <c:pt idx="210">
                  <c:v>2.96875</c:v>
                </c:pt>
                <c:pt idx="211">
                  <c:v>2.9791666666666665</c:v>
                </c:pt>
                <c:pt idx="212">
                  <c:v>3.020833333333333</c:v>
                </c:pt>
                <c:pt idx="213">
                  <c:v>3.0416666666666665</c:v>
                </c:pt>
                <c:pt idx="214">
                  <c:v>3.052083333333333</c:v>
                </c:pt>
                <c:pt idx="215">
                  <c:v>3.0729166666666665</c:v>
                </c:pt>
                <c:pt idx="216">
                  <c:v>3.083333333333333</c:v>
                </c:pt>
                <c:pt idx="217">
                  <c:v>3.114583333333333</c:v>
                </c:pt>
                <c:pt idx="218">
                  <c:v>3.1354166666666665</c:v>
                </c:pt>
                <c:pt idx="219">
                  <c:v>3.145833333333333</c:v>
                </c:pt>
                <c:pt idx="220">
                  <c:v>3.1666666666666665</c:v>
                </c:pt>
                <c:pt idx="221">
                  <c:v>3.1875</c:v>
                </c:pt>
                <c:pt idx="222">
                  <c:v>3.1979166666666665</c:v>
                </c:pt>
                <c:pt idx="223">
                  <c:v>3.208333333333333</c:v>
                </c:pt>
                <c:pt idx="224">
                  <c:v>3.21875</c:v>
                </c:pt>
                <c:pt idx="225">
                  <c:v>3.239583333333333</c:v>
                </c:pt>
                <c:pt idx="226">
                  <c:v>3.25</c:v>
                </c:pt>
                <c:pt idx="227">
                  <c:v>3.2604166666666665</c:v>
                </c:pt>
                <c:pt idx="228">
                  <c:v>3.28125</c:v>
                </c:pt>
                <c:pt idx="229">
                  <c:v>3.302083333333333</c:v>
                </c:pt>
                <c:pt idx="230">
                  <c:v>3.3125</c:v>
                </c:pt>
                <c:pt idx="231">
                  <c:v>3.3229166666666665</c:v>
                </c:pt>
                <c:pt idx="232">
                  <c:v>3.333333333333333</c:v>
                </c:pt>
                <c:pt idx="233">
                  <c:v>3.364583333333333</c:v>
                </c:pt>
                <c:pt idx="234">
                  <c:v>3.375</c:v>
                </c:pt>
                <c:pt idx="235">
                  <c:v>3.40625</c:v>
                </c:pt>
                <c:pt idx="236">
                  <c:v>3.427083333333333</c:v>
                </c:pt>
                <c:pt idx="237">
                  <c:v>3.4375</c:v>
                </c:pt>
                <c:pt idx="238">
                  <c:v>3.4479166666666665</c:v>
                </c:pt>
                <c:pt idx="239">
                  <c:v>3.458333333333333</c:v>
                </c:pt>
                <c:pt idx="240">
                  <c:v>3.46875</c:v>
                </c:pt>
                <c:pt idx="241">
                  <c:v>3.489583333333333</c:v>
                </c:pt>
                <c:pt idx="242">
                  <c:v>3.5416666666666665</c:v>
                </c:pt>
                <c:pt idx="243">
                  <c:v>3.552083333333333</c:v>
                </c:pt>
                <c:pt idx="244">
                  <c:v>3.583333333333333</c:v>
                </c:pt>
                <c:pt idx="245">
                  <c:v>3.59375</c:v>
                </c:pt>
                <c:pt idx="246">
                  <c:v>3.614583333333333</c:v>
                </c:pt>
                <c:pt idx="247">
                  <c:v>3.625</c:v>
                </c:pt>
                <c:pt idx="248">
                  <c:v>3.6354166666666665</c:v>
                </c:pt>
                <c:pt idx="249">
                  <c:v>3.65625</c:v>
                </c:pt>
                <c:pt idx="250">
                  <c:v>3.6666666666666665</c:v>
                </c:pt>
                <c:pt idx="251">
                  <c:v>3.677083333333333</c:v>
                </c:pt>
                <c:pt idx="252">
                  <c:v>3.6875</c:v>
                </c:pt>
                <c:pt idx="253">
                  <c:v>3.708333333333333</c:v>
                </c:pt>
                <c:pt idx="254">
                  <c:v>3.71875</c:v>
                </c:pt>
                <c:pt idx="255">
                  <c:v>3.739583333333333</c:v>
                </c:pt>
                <c:pt idx="256">
                  <c:v>3.75</c:v>
                </c:pt>
                <c:pt idx="257">
                  <c:v>3.802083333333333</c:v>
                </c:pt>
                <c:pt idx="258">
                  <c:v>3.8125</c:v>
                </c:pt>
                <c:pt idx="259">
                  <c:v>3.8229166666666665</c:v>
                </c:pt>
                <c:pt idx="260">
                  <c:v>3.833333333333333</c:v>
                </c:pt>
                <c:pt idx="261">
                  <c:v>3.864583333333333</c:v>
                </c:pt>
                <c:pt idx="262">
                  <c:v>3.8854166666666665</c:v>
                </c:pt>
                <c:pt idx="263">
                  <c:v>3.90625</c:v>
                </c:pt>
                <c:pt idx="264">
                  <c:v>3.9375</c:v>
                </c:pt>
                <c:pt idx="265">
                  <c:v>3.9479166666666665</c:v>
                </c:pt>
                <c:pt idx="266">
                  <c:v>3.958333333333333</c:v>
                </c:pt>
                <c:pt idx="267">
                  <c:v>3.96875</c:v>
                </c:pt>
                <c:pt idx="268">
                  <c:v>3.9791666666666665</c:v>
                </c:pt>
                <c:pt idx="269">
                  <c:v>4.0104166666666661</c:v>
                </c:pt>
                <c:pt idx="270">
                  <c:v>4.020833333333333</c:v>
                </c:pt>
                <c:pt idx="271">
                  <c:v>4.03125</c:v>
                </c:pt>
                <c:pt idx="272">
                  <c:v>4.0416666666666661</c:v>
                </c:pt>
                <c:pt idx="273">
                  <c:v>4.0729166666666661</c:v>
                </c:pt>
                <c:pt idx="274">
                  <c:v>4.09375</c:v>
                </c:pt>
                <c:pt idx="275">
                  <c:v>4.114583333333333</c:v>
                </c:pt>
                <c:pt idx="276">
                  <c:v>4.125</c:v>
                </c:pt>
                <c:pt idx="277">
                  <c:v>4.1354166666666661</c:v>
                </c:pt>
                <c:pt idx="278">
                  <c:v>4.1666666666666661</c:v>
                </c:pt>
                <c:pt idx="279">
                  <c:v>4.177083333333333</c:v>
                </c:pt>
                <c:pt idx="280">
                  <c:v>4.1979166666666661</c:v>
                </c:pt>
                <c:pt idx="281">
                  <c:v>4.208333333333333</c:v>
                </c:pt>
                <c:pt idx="282">
                  <c:v>4.239583333333333</c:v>
                </c:pt>
                <c:pt idx="283">
                  <c:v>4.2604166666666661</c:v>
                </c:pt>
                <c:pt idx="284">
                  <c:v>4.270833333333333</c:v>
                </c:pt>
                <c:pt idx="285">
                  <c:v>4.28125</c:v>
                </c:pt>
                <c:pt idx="286">
                  <c:v>4.333333333333333</c:v>
                </c:pt>
                <c:pt idx="287">
                  <c:v>4.3541666666666661</c:v>
                </c:pt>
                <c:pt idx="288">
                  <c:v>4.364583333333333</c:v>
                </c:pt>
                <c:pt idx="289">
                  <c:v>4.375</c:v>
                </c:pt>
                <c:pt idx="290">
                  <c:v>4.3854166666666661</c:v>
                </c:pt>
                <c:pt idx="291">
                  <c:v>4.395833333333333</c:v>
                </c:pt>
                <c:pt idx="292">
                  <c:v>4.40625</c:v>
                </c:pt>
                <c:pt idx="293">
                  <c:v>4.4166666666666661</c:v>
                </c:pt>
                <c:pt idx="294">
                  <c:v>4.427083333333333</c:v>
                </c:pt>
                <c:pt idx="295">
                  <c:v>4.46875</c:v>
                </c:pt>
                <c:pt idx="296">
                  <c:v>4.4791666666666661</c:v>
                </c:pt>
                <c:pt idx="297">
                  <c:v>4.5</c:v>
                </c:pt>
                <c:pt idx="298">
                  <c:v>4.5104166666666661</c:v>
                </c:pt>
                <c:pt idx="299">
                  <c:v>4.5416666666666661</c:v>
                </c:pt>
                <c:pt idx="300">
                  <c:v>4.552083333333333</c:v>
                </c:pt>
                <c:pt idx="301">
                  <c:v>4.5729166666666661</c:v>
                </c:pt>
                <c:pt idx="302">
                  <c:v>4.59375</c:v>
                </c:pt>
                <c:pt idx="303">
                  <c:v>4.6041666666666661</c:v>
                </c:pt>
                <c:pt idx="304">
                  <c:v>4.614583333333333</c:v>
                </c:pt>
                <c:pt idx="305">
                  <c:v>4.6354166666666661</c:v>
                </c:pt>
                <c:pt idx="306">
                  <c:v>4.645833333333333</c:v>
                </c:pt>
                <c:pt idx="307">
                  <c:v>4.6666666666666661</c:v>
                </c:pt>
                <c:pt idx="308">
                  <c:v>4.677083333333333</c:v>
                </c:pt>
                <c:pt idx="309">
                  <c:v>4.6979166666666661</c:v>
                </c:pt>
                <c:pt idx="310">
                  <c:v>4.71875</c:v>
                </c:pt>
                <c:pt idx="311">
                  <c:v>4.739583333333333</c:v>
                </c:pt>
                <c:pt idx="312">
                  <c:v>4.75</c:v>
                </c:pt>
                <c:pt idx="313">
                  <c:v>4.78125</c:v>
                </c:pt>
                <c:pt idx="314">
                  <c:v>4.7916666666666661</c:v>
                </c:pt>
                <c:pt idx="315">
                  <c:v>4.802083333333333</c:v>
                </c:pt>
                <c:pt idx="316">
                  <c:v>4.8125</c:v>
                </c:pt>
                <c:pt idx="317">
                  <c:v>4.8229166666666661</c:v>
                </c:pt>
                <c:pt idx="318">
                  <c:v>4.833333333333333</c:v>
                </c:pt>
                <c:pt idx="319">
                  <c:v>4.84375</c:v>
                </c:pt>
                <c:pt idx="320">
                  <c:v>4.864583333333333</c:v>
                </c:pt>
                <c:pt idx="321">
                  <c:v>4.875</c:v>
                </c:pt>
                <c:pt idx="322">
                  <c:v>4.895833333333333</c:v>
                </c:pt>
                <c:pt idx="323">
                  <c:v>4.90625</c:v>
                </c:pt>
                <c:pt idx="324">
                  <c:v>4.9166666666666661</c:v>
                </c:pt>
                <c:pt idx="325">
                  <c:v>4.927083333333333</c:v>
                </c:pt>
                <c:pt idx="326">
                  <c:v>4.96875</c:v>
                </c:pt>
                <c:pt idx="327">
                  <c:v>4.9791666666666661</c:v>
                </c:pt>
                <c:pt idx="328">
                  <c:v>4.989583333333333</c:v>
                </c:pt>
                <c:pt idx="329">
                  <c:v>5</c:v>
                </c:pt>
                <c:pt idx="330">
                  <c:v>5.0104166666666661</c:v>
                </c:pt>
                <c:pt idx="331">
                  <c:v>5.020833333333333</c:v>
                </c:pt>
                <c:pt idx="332">
                  <c:v>5.03125</c:v>
                </c:pt>
                <c:pt idx="333">
                  <c:v>5.0416666666666661</c:v>
                </c:pt>
                <c:pt idx="334">
                  <c:v>5.052083333333333</c:v>
                </c:pt>
                <c:pt idx="335">
                  <c:v>5.0625</c:v>
                </c:pt>
                <c:pt idx="336">
                  <c:v>5.0729166666666661</c:v>
                </c:pt>
                <c:pt idx="337">
                  <c:v>5.09375</c:v>
                </c:pt>
                <c:pt idx="338">
                  <c:v>5.1041666666666661</c:v>
                </c:pt>
                <c:pt idx="339">
                  <c:v>5.114583333333333</c:v>
                </c:pt>
                <c:pt idx="340">
                  <c:v>5.125</c:v>
                </c:pt>
                <c:pt idx="341">
                  <c:v>5.145833333333333</c:v>
                </c:pt>
                <c:pt idx="342">
                  <c:v>5.15625</c:v>
                </c:pt>
                <c:pt idx="343">
                  <c:v>5.177083333333333</c:v>
                </c:pt>
                <c:pt idx="344">
                  <c:v>5.1875</c:v>
                </c:pt>
                <c:pt idx="345">
                  <c:v>5.208333333333333</c:v>
                </c:pt>
                <c:pt idx="346">
                  <c:v>5.21875</c:v>
                </c:pt>
                <c:pt idx="347">
                  <c:v>5.2291666666666661</c:v>
                </c:pt>
                <c:pt idx="348">
                  <c:v>5.25</c:v>
                </c:pt>
                <c:pt idx="349">
                  <c:v>5.2604166666666661</c:v>
                </c:pt>
                <c:pt idx="350">
                  <c:v>5.28125</c:v>
                </c:pt>
                <c:pt idx="351">
                  <c:v>5.302083333333333</c:v>
                </c:pt>
                <c:pt idx="352">
                  <c:v>5.3125</c:v>
                </c:pt>
                <c:pt idx="353">
                  <c:v>5.3229166666666661</c:v>
                </c:pt>
                <c:pt idx="354">
                  <c:v>5.333333333333333</c:v>
                </c:pt>
                <c:pt idx="355">
                  <c:v>5.364583333333333</c:v>
                </c:pt>
                <c:pt idx="356">
                  <c:v>5.375</c:v>
                </c:pt>
                <c:pt idx="357">
                  <c:v>5.3854166666666661</c:v>
                </c:pt>
                <c:pt idx="358">
                  <c:v>5.40625</c:v>
                </c:pt>
                <c:pt idx="359">
                  <c:v>5.4166666666666661</c:v>
                </c:pt>
                <c:pt idx="360">
                  <c:v>5.427083333333333</c:v>
                </c:pt>
                <c:pt idx="361">
                  <c:v>5.46875</c:v>
                </c:pt>
                <c:pt idx="362">
                  <c:v>5.4791666666666661</c:v>
                </c:pt>
                <c:pt idx="363">
                  <c:v>5.489583333333333</c:v>
                </c:pt>
                <c:pt idx="364">
                  <c:v>5.5</c:v>
                </c:pt>
                <c:pt idx="365">
                  <c:v>5.53125</c:v>
                </c:pt>
                <c:pt idx="366">
                  <c:v>5.5416666666666661</c:v>
                </c:pt>
                <c:pt idx="367">
                  <c:v>5.552083333333333</c:v>
                </c:pt>
                <c:pt idx="368">
                  <c:v>5.5625</c:v>
                </c:pt>
                <c:pt idx="369">
                  <c:v>5.583333333333333</c:v>
                </c:pt>
                <c:pt idx="370">
                  <c:v>5.614583333333333</c:v>
                </c:pt>
                <c:pt idx="371">
                  <c:v>5.625</c:v>
                </c:pt>
                <c:pt idx="372">
                  <c:v>5.6354166666666661</c:v>
                </c:pt>
                <c:pt idx="373">
                  <c:v>5.65625</c:v>
                </c:pt>
                <c:pt idx="374">
                  <c:v>5.6875</c:v>
                </c:pt>
                <c:pt idx="375">
                  <c:v>5.708333333333333</c:v>
                </c:pt>
                <c:pt idx="376">
                  <c:v>5.71875</c:v>
                </c:pt>
                <c:pt idx="377">
                  <c:v>5.739583333333333</c:v>
                </c:pt>
                <c:pt idx="378">
                  <c:v>5.75</c:v>
                </c:pt>
                <c:pt idx="379">
                  <c:v>5.78125</c:v>
                </c:pt>
                <c:pt idx="380">
                  <c:v>5.8125</c:v>
                </c:pt>
                <c:pt idx="381">
                  <c:v>5.8229166666666661</c:v>
                </c:pt>
                <c:pt idx="382">
                  <c:v>5.833333333333333</c:v>
                </c:pt>
                <c:pt idx="383">
                  <c:v>5.84375</c:v>
                </c:pt>
                <c:pt idx="384">
                  <c:v>5.8541666666666661</c:v>
                </c:pt>
                <c:pt idx="385">
                  <c:v>5.864583333333333</c:v>
                </c:pt>
                <c:pt idx="386">
                  <c:v>5.875</c:v>
                </c:pt>
                <c:pt idx="387">
                  <c:v>5.8854166666666661</c:v>
                </c:pt>
                <c:pt idx="388">
                  <c:v>5.895833333333333</c:v>
                </c:pt>
                <c:pt idx="389">
                  <c:v>5.90625</c:v>
                </c:pt>
                <c:pt idx="390">
                  <c:v>5.927083333333333</c:v>
                </c:pt>
                <c:pt idx="391">
                  <c:v>5.9479166666666661</c:v>
                </c:pt>
                <c:pt idx="392">
                  <c:v>5.958333333333333</c:v>
                </c:pt>
                <c:pt idx="393">
                  <c:v>5.96875</c:v>
                </c:pt>
                <c:pt idx="394">
                  <c:v>5.9791666666666661</c:v>
                </c:pt>
                <c:pt idx="395">
                  <c:v>5.989583333333333</c:v>
                </c:pt>
                <c:pt idx="396">
                  <c:v>6</c:v>
                </c:pt>
                <c:pt idx="397">
                  <c:v>6.0104166666666661</c:v>
                </c:pt>
                <c:pt idx="398">
                  <c:v>6.020833333333333</c:v>
                </c:pt>
                <c:pt idx="399">
                  <c:v>6.03125</c:v>
                </c:pt>
                <c:pt idx="400">
                  <c:v>6.0625</c:v>
                </c:pt>
                <c:pt idx="401">
                  <c:v>6.0729166666666661</c:v>
                </c:pt>
                <c:pt idx="402">
                  <c:v>6.083333333333333</c:v>
                </c:pt>
                <c:pt idx="403">
                  <c:v>6.114583333333333</c:v>
                </c:pt>
                <c:pt idx="404">
                  <c:v>6.125</c:v>
                </c:pt>
                <c:pt idx="405">
                  <c:v>6.1354166666666661</c:v>
                </c:pt>
                <c:pt idx="406">
                  <c:v>6.15625</c:v>
                </c:pt>
                <c:pt idx="407">
                  <c:v>6.1666666666666661</c:v>
                </c:pt>
                <c:pt idx="408">
                  <c:v>6.1875</c:v>
                </c:pt>
                <c:pt idx="409">
                  <c:v>6.1979166666666661</c:v>
                </c:pt>
                <c:pt idx="410">
                  <c:v>6.21875</c:v>
                </c:pt>
                <c:pt idx="411">
                  <c:v>6.239583333333333</c:v>
                </c:pt>
                <c:pt idx="412">
                  <c:v>6.2604166666666661</c:v>
                </c:pt>
                <c:pt idx="413">
                  <c:v>6.270833333333333</c:v>
                </c:pt>
                <c:pt idx="414">
                  <c:v>6.3125</c:v>
                </c:pt>
                <c:pt idx="415">
                  <c:v>6.3229166666666661</c:v>
                </c:pt>
                <c:pt idx="416">
                  <c:v>6.333333333333333</c:v>
                </c:pt>
                <c:pt idx="417">
                  <c:v>6.34375</c:v>
                </c:pt>
                <c:pt idx="418">
                  <c:v>6.3541666666666661</c:v>
                </c:pt>
                <c:pt idx="419">
                  <c:v>6.364583333333333</c:v>
                </c:pt>
                <c:pt idx="420">
                  <c:v>6.40625</c:v>
                </c:pt>
                <c:pt idx="421">
                  <c:v>6.4166666666666661</c:v>
                </c:pt>
                <c:pt idx="422">
                  <c:v>6.458333333333333</c:v>
                </c:pt>
                <c:pt idx="423">
                  <c:v>6.46875</c:v>
                </c:pt>
                <c:pt idx="424">
                  <c:v>6.5</c:v>
                </c:pt>
                <c:pt idx="425">
                  <c:v>6.5104166666666661</c:v>
                </c:pt>
                <c:pt idx="426">
                  <c:v>6.5625</c:v>
                </c:pt>
                <c:pt idx="427">
                  <c:v>6.5729166666666661</c:v>
                </c:pt>
                <c:pt idx="428">
                  <c:v>6.59375</c:v>
                </c:pt>
                <c:pt idx="429">
                  <c:v>6.6041666666666661</c:v>
                </c:pt>
                <c:pt idx="430">
                  <c:v>6.614583333333333</c:v>
                </c:pt>
                <c:pt idx="431">
                  <c:v>6.625</c:v>
                </c:pt>
                <c:pt idx="432">
                  <c:v>6.6354166666666661</c:v>
                </c:pt>
                <c:pt idx="433">
                  <c:v>6.645833333333333</c:v>
                </c:pt>
                <c:pt idx="434">
                  <c:v>6.677083333333333</c:v>
                </c:pt>
                <c:pt idx="435">
                  <c:v>6.6875</c:v>
                </c:pt>
                <c:pt idx="436">
                  <c:v>6.6979166666666661</c:v>
                </c:pt>
                <c:pt idx="437">
                  <c:v>6.708333333333333</c:v>
                </c:pt>
                <c:pt idx="438">
                  <c:v>6.71875</c:v>
                </c:pt>
                <c:pt idx="439">
                  <c:v>6.739583333333333</c:v>
                </c:pt>
                <c:pt idx="440">
                  <c:v>6.75</c:v>
                </c:pt>
                <c:pt idx="441">
                  <c:v>6.7604166666666661</c:v>
                </c:pt>
                <c:pt idx="442">
                  <c:v>6.8125</c:v>
                </c:pt>
                <c:pt idx="443">
                  <c:v>6.84375</c:v>
                </c:pt>
                <c:pt idx="444">
                  <c:v>6.8541666666666661</c:v>
                </c:pt>
                <c:pt idx="445">
                  <c:v>6.864583333333333</c:v>
                </c:pt>
                <c:pt idx="446">
                  <c:v>6.895833333333333</c:v>
                </c:pt>
                <c:pt idx="447">
                  <c:v>6.927083333333333</c:v>
                </c:pt>
                <c:pt idx="448">
                  <c:v>6.9375</c:v>
                </c:pt>
                <c:pt idx="449">
                  <c:v>6.9479166666666661</c:v>
                </c:pt>
                <c:pt idx="450">
                  <c:v>6.96875</c:v>
                </c:pt>
                <c:pt idx="451">
                  <c:v>6.9791666666666661</c:v>
                </c:pt>
                <c:pt idx="452">
                  <c:v>6.989583333333333</c:v>
                </c:pt>
                <c:pt idx="453">
                  <c:v>7.0104166666666661</c:v>
                </c:pt>
                <c:pt idx="454">
                  <c:v>7.0625</c:v>
                </c:pt>
                <c:pt idx="455">
                  <c:v>7.0729166666666661</c:v>
                </c:pt>
                <c:pt idx="456">
                  <c:v>7.083333333333333</c:v>
                </c:pt>
                <c:pt idx="457">
                  <c:v>7.125</c:v>
                </c:pt>
                <c:pt idx="458">
                  <c:v>7.145833333333333</c:v>
                </c:pt>
                <c:pt idx="459">
                  <c:v>7.15625</c:v>
                </c:pt>
                <c:pt idx="460">
                  <c:v>7.177083333333333</c:v>
                </c:pt>
                <c:pt idx="461">
                  <c:v>7.208333333333333</c:v>
                </c:pt>
                <c:pt idx="462">
                  <c:v>7.21875</c:v>
                </c:pt>
                <c:pt idx="463">
                  <c:v>7.2291666666666661</c:v>
                </c:pt>
                <c:pt idx="464">
                  <c:v>7.239583333333333</c:v>
                </c:pt>
                <c:pt idx="465">
                  <c:v>7.2604166666666661</c:v>
                </c:pt>
                <c:pt idx="466">
                  <c:v>7.3125</c:v>
                </c:pt>
                <c:pt idx="467">
                  <c:v>7.34375</c:v>
                </c:pt>
                <c:pt idx="468">
                  <c:v>7.3541666666666661</c:v>
                </c:pt>
                <c:pt idx="469">
                  <c:v>7.364583333333333</c:v>
                </c:pt>
                <c:pt idx="470">
                  <c:v>7.375</c:v>
                </c:pt>
                <c:pt idx="471">
                  <c:v>7.395833333333333</c:v>
                </c:pt>
                <c:pt idx="472">
                  <c:v>7.40625</c:v>
                </c:pt>
                <c:pt idx="473">
                  <c:v>7.4479166666666661</c:v>
                </c:pt>
                <c:pt idx="474">
                  <c:v>7.458333333333333</c:v>
                </c:pt>
                <c:pt idx="475">
                  <c:v>7.489583333333333</c:v>
                </c:pt>
                <c:pt idx="476">
                  <c:v>7.5</c:v>
                </c:pt>
                <c:pt idx="477">
                  <c:v>7.5104166666666661</c:v>
                </c:pt>
                <c:pt idx="478">
                  <c:v>7.552083333333333</c:v>
                </c:pt>
                <c:pt idx="479">
                  <c:v>7.5729166666666661</c:v>
                </c:pt>
                <c:pt idx="480">
                  <c:v>7.59375</c:v>
                </c:pt>
                <c:pt idx="481">
                  <c:v>7.6041666666666661</c:v>
                </c:pt>
                <c:pt idx="482">
                  <c:v>7.625</c:v>
                </c:pt>
                <c:pt idx="483">
                  <c:v>7.6875</c:v>
                </c:pt>
                <c:pt idx="484">
                  <c:v>7.6979166666666661</c:v>
                </c:pt>
                <c:pt idx="485">
                  <c:v>7.708333333333333</c:v>
                </c:pt>
                <c:pt idx="486">
                  <c:v>7.7291666666666661</c:v>
                </c:pt>
                <c:pt idx="487">
                  <c:v>7.739583333333333</c:v>
                </c:pt>
                <c:pt idx="488">
                  <c:v>7.7604166666666661</c:v>
                </c:pt>
                <c:pt idx="489">
                  <c:v>7.770833333333333</c:v>
                </c:pt>
                <c:pt idx="490">
                  <c:v>7.78125</c:v>
                </c:pt>
                <c:pt idx="491">
                  <c:v>7.8125</c:v>
                </c:pt>
                <c:pt idx="492">
                  <c:v>7.8229166666666661</c:v>
                </c:pt>
                <c:pt idx="493">
                  <c:v>7.833333333333333</c:v>
                </c:pt>
                <c:pt idx="494">
                  <c:v>7.864583333333333</c:v>
                </c:pt>
                <c:pt idx="495">
                  <c:v>7.875</c:v>
                </c:pt>
                <c:pt idx="496">
                  <c:v>7.8854166666666661</c:v>
                </c:pt>
                <c:pt idx="497">
                  <c:v>7.895833333333333</c:v>
                </c:pt>
                <c:pt idx="498">
                  <c:v>7.90625</c:v>
                </c:pt>
                <c:pt idx="499">
                  <c:v>7.9375</c:v>
                </c:pt>
                <c:pt idx="500">
                  <c:v>7.958333333333333</c:v>
                </c:pt>
                <c:pt idx="501">
                  <c:v>7.96875</c:v>
                </c:pt>
                <c:pt idx="502">
                  <c:v>7.9791666666666661</c:v>
                </c:pt>
                <c:pt idx="503">
                  <c:v>8</c:v>
                </c:pt>
                <c:pt idx="504">
                  <c:v>8.0208333333333321</c:v>
                </c:pt>
                <c:pt idx="505">
                  <c:v>8.03125</c:v>
                </c:pt>
                <c:pt idx="506">
                  <c:v>8.0416666666666661</c:v>
                </c:pt>
                <c:pt idx="507">
                  <c:v>8.0833333333333321</c:v>
                </c:pt>
                <c:pt idx="508">
                  <c:v>8.1354166666666661</c:v>
                </c:pt>
                <c:pt idx="509">
                  <c:v>8.1458333333333321</c:v>
                </c:pt>
                <c:pt idx="510">
                  <c:v>8.15625</c:v>
                </c:pt>
                <c:pt idx="511">
                  <c:v>8.1666666666666661</c:v>
                </c:pt>
                <c:pt idx="512">
                  <c:v>8.1875</c:v>
                </c:pt>
                <c:pt idx="513">
                  <c:v>8.2083333333333321</c:v>
                </c:pt>
                <c:pt idx="514">
                  <c:v>8.2291666666666661</c:v>
                </c:pt>
                <c:pt idx="515">
                  <c:v>8.2708333333333321</c:v>
                </c:pt>
                <c:pt idx="516">
                  <c:v>8.28125</c:v>
                </c:pt>
                <c:pt idx="517">
                  <c:v>8.2916666666666661</c:v>
                </c:pt>
                <c:pt idx="518">
                  <c:v>8.3020833333333321</c:v>
                </c:pt>
                <c:pt idx="519">
                  <c:v>8.3125</c:v>
                </c:pt>
                <c:pt idx="520">
                  <c:v>8.34375</c:v>
                </c:pt>
                <c:pt idx="521">
                  <c:v>8.3541666666666661</c:v>
                </c:pt>
                <c:pt idx="522">
                  <c:v>8.3645833333333321</c:v>
                </c:pt>
                <c:pt idx="523">
                  <c:v>8.375</c:v>
                </c:pt>
                <c:pt idx="524">
                  <c:v>8.3854166666666661</c:v>
                </c:pt>
                <c:pt idx="525">
                  <c:v>8.3958333333333321</c:v>
                </c:pt>
                <c:pt idx="526">
                  <c:v>8.40625</c:v>
                </c:pt>
                <c:pt idx="527">
                  <c:v>8.4166666666666661</c:v>
                </c:pt>
                <c:pt idx="528">
                  <c:v>8.4270833333333321</c:v>
                </c:pt>
                <c:pt idx="529">
                  <c:v>8.4375</c:v>
                </c:pt>
                <c:pt idx="530">
                  <c:v>8.4479166666666661</c:v>
                </c:pt>
                <c:pt idx="531">
                  <c:v>8.4583333333333321</c:v>
                </c:pt>
                <c:pt idx="532">
                  <c:v>8.4791666666666661</c:v>
                </c:pt>
                <c:pt idx="533">
                  <c:v>8.5</c:v>
                </c:pt>
                <c:pt idx="534">
                  <c:v>8.5208333333333321</c:v>
                </c:pt>
                <c:pt idx="535">
                  <c:v>8.53125</c:v>
                </c:pt>
                <c:pt idx="536">
                  <c:v>8.5416666666666661</c:v>
                </c:pt>
                <c:pt idx="537">
                  <c:v>8.5520833333333321</c:v>
                </c:pt>
                <c:pt idx="538">
                  <c:v>8.5625</c:v>
                </c:pt>
                <c:pt idx="539">
                  <c:v>8.5729166666666661</c:v>
                </c:pt>
                <c:pt idx="540">
                  <c:v>8.5833333333333321</c:v>
                </c:pt>
                <c:pt idx="541">
                  <c:v>8.59375</c:v>
                </c:pt>
                <c:pt idx="542">
                  <c:v>8.6041666666666661</c:v>
                </c:pt>
                <c:pt idx="543">
                  <c:v>8.6666666666666661</c:v>
                </c:pt>
                <c:pt idx="544">
                  <c:v>8.6770833333333321</c:v>
                </c:pt>
                <c:pt idx="545">
                  <c:v>8.6875</c:v>
                </c:pt>
                <c:pt idx="546">
                  <c:v>8.6979166666666661</c:v>
                </c:pt>
                <c:pt idx="547">
                  <c:v>8.7083333333333321</c:v>
                </c:pt>
                <c:pt idx="548">
                  <c:v>8.71875</c:v>
                </c:pt>
                <c:pt idx="549">
                  <c:v>8.7395833333333321</c:v>
                </c:pt>
                <c:pt idx="550">
                  <c:v>8.78125</c:v>
                </c:pt>
                <c:pt idx="551">
                  <c:v>8.8020833333333321</c:v>
                </c:pt>
                <c:pt idx="552">
                  <c:v>8.8229166666666661</c:v>
                </c:pt>
                <c:pt idx="553">
                  <c:v>8.8333333333333321</c:v>
                </c:pt>
                <c:pt idx="554">
                  <c:v>8.84375</c:v>
                </c:pt>
                <c:pt idx="555">
                  <c:v>8.8541666666666661</c:v>
                </c:pt>
                <c:pt idx="556">
                  <c:v>8.8645833333333321</c:v>
                </c:pt>
                <c:pt idx="557">
                  <c:v>8.875</c:v>
                </c:pt>
                <c:pt idx="558">
                  <c:v>8.8854166666666661</c:v>
                </c:pt>
                <c:pt idx="559">
                  <c:v>8.90625</c:v>
                </c:pt>
                <c:pt idx="560">
                  <c:v>8.9270833333333321</c:v>
                </c:pt>
                <c:pt idx="561">
                  <c:v>8.9479166666666661</c:v>
                </c:pt>
                <c:pt idx="562">
                  <c:v>8.9583333333333321</c:v>
                </c:pt>
                <c:pt idx="563">
                  <c:v>9.0104166666666661</c:v>
                </c:pt>
                <c:pt idx="564">
                  <c:v>9.0208333333333321</c:v>
                </c:pt>
                <c:pt idx="565">
                  <c:v>9.0416666666666661</c:v>
                </c:pt>
                <c:pt idx="566">
                  <c:v>9.0520833333333321</c:v>
                </c:pt>
                <c:pt idx="567">
                  <c:v>9.0625</c:v>
                </c:pt>
                <c:pt idx="568">
                  <c:v>9.0833333333333321</c:v>
                </c:pt>
                <c:pt idx="569">
                  <c:v>9.1041666666666661</c:v>
                </c:pt>
                <c:pt idx="570">
                  <c:v>9.125</c:v>
                </c:pt>
                <c:pt idx="571">
                  <c:v>9.1458333333333321</c:v>
                </c:pt>
                <c:pt idx="572">
                  <c:v>9.15625</c:v>
                </c:pt>
                <c:pt idx="573">
                  <c:v>9.1979166666666661</c:v>
                </c:pt>
                <c:pt idx="574">
                  <c:v>9.2291666666666661</c:v>
                </c:pt>
                <c:pt idx="575">
                  <c:v>9.2395833333333321</c:v>
                </c:pt>
                <c:pt idx="576">
                  <c:v>9.2604166666666661</c:v>
                </c:pt>
                <c:pt idx="577">
                  <c:v>9.2708333333333321</c:v>
                </c:pt>
                <c:pt idx="578">
                  <c:v>9.28125</c:v>
                </c:pt>
                <c:pt idx="579">
                  <c:v>9.34375</c:v>
                </c:pt>
                <c:pt idx="580">
                  <c:v>9.3541666666666661</c:v>
                </c:pt>
                <c:pt idx="581">
                  <c:v>9.375</c:v>
                </c:pt>
                <c:pt idx="582">
                  <c:v>9.4166666666666661</c:v>
                </c:pt>
                <c:pt idx="583">
                  <c:v>9.4270833333333321</c:v>
                </c:pt>
                <c:pt idx="584">
                  <c:v>9.4375</c:v>
                </c:pt>
                <c:pt idx="585">
                  <c:v>9.4479166666666661</c:v>
                </c:pt>
                <c:pt idx="586">
                  <c:v>9.4583333333333321</c:v>
                </c:pt>
                <c:pt idx="587">
                  <c:v>9.4895833333333321</c:v>
                </c:pt>
                <c:pt idx="588">
                  <c:v>9.5</c:v>
                </c:pt>
                <c:pt idx="589">
                  <c:v>9.5104166666666661</c:v>
                </c:pt>
                <c:pt idx="590">
                  <c:v>9.53125</c:v>
                </c:pt>
                <c:pt idx="591">
                  <c:v>9.5520833333333321</c:v>
                </c:pt>
                <c:pt idx="592">
                  <c:v>9.5833333333333321</c:v>
                </c:pt>
                <c:pt idx="593">
                  <c:v>9.6145833333333321</c:v>
                </c:pt>
                <c:pt idx="594">
                  <c:v>9.65625</c:v>
                </c:pt>
                <c:pt idx="595">
                  <c:v>9.6666666666666661</c:v>
                </c:pt>
                <c:pt idx="596">
                  <c:v>9.6770833333333321</c:v>
                </c:pt>
                <c:pt idx="597">
                  <c:v>9.6875</c:v>
                </c:pt>
                <c:pt idx="598">
                  <c:v>9.6979166666666661</c:v>
                </c:pt>
                <c:pt idx="599">
                  <c:v>9.7083333333333321</c:v>
                </c:pt>
                <c:pt idx="600">
                  <c:v>9.71875</c:v>
                </c:pt>
                <c:pt idx="601">
                  <c:v>9.7395833333333321</c:v>
                </c:pt>
                <c:pt idx="602">
                  <c:v>9.7708333333333321</c:v>
                </c:pt>
                <c:pt idx="603">
                  <c:v>9.78125</c:v>
                </c:pt>
                <c:pt idx="604">
                  <c:v>9.8125</c:v>
                </c:pt>
                <c:pt idx="605">
                  <c:v>9.8541666666666661</c:v>
                </c:pt>
                <c:pt idx="606">
                  <c:v>9.8645833333333321</c:v>
                </c:pt>
                <c:pt idx="607">
                  <c:v>9.875</c:v>
                </c:pt>
                <c:pt idx="608">
                  <c:v>9.90625</c:v>
                </c:pt>
                <c:pt idx="609">
                  <c:v>9.9270833333333321</c:v>
                </c:pt>
                <c:pt idx="610">
                  <c:v>9.9375</c:v>
                </c:pt>
                <c:pt idx="611">
                  <c:v>9.9479166666666661</c:v>
                </c:pt>
                <c:pt idx="612">
                  <c:v>9.9583333333333321</c:v>
                </c:pt>
                <c:pt idx="613">
                  <c:v>9.9895833333333321</c:v>
                </c:pt>
                <c:pt idx="614">
                  <c:v>10</c:v>
                </c:pt>
                <c:pt idx="615">
                  <c:v>10.010416666666666</c:v>
                </c:pt>
                <c:pt idx="616">
                  <c:v>10.03125</c:v>
                </c:pt>
                <c:pt idx="617">
                  <c:v>10.052083333333332</c:v>
                </c:pt>
                <c:pt idx="618">
                  <c:v>10.0625</c:v>
                </c:pt>
                <c:pt idx="619">
                  <c:v>10.072916666666666</c:v>
                </c:pt>
                <c:pt idx="620">
                  <c:v>10.083333333333332</c:v>
                </c:pt>
                <c:pt idx="621">
                  <c:v>10.09375</c:v>
                </c:pt>
                <c:pt idx="622">
                  <c:v>10.114583333333332</c:v>
                </c:pt>
                <c:pt idx="623">
                  <c:v>10.125</c:v>
                </c:pt>
                <c:pt idx="624">
                  <c:v>10.135416666666666</c:v>
                </c:pt>
                <c:pt idx="625">
                  <c:v>10.145833333333332</c:v>
                </c:pt>
                <c:pt idx="626">
                  <c:v>10.15625</c:v>
                </c:pt>
                <c:pt idx="627">
                  <c:v>10.166666666666666</c:v>
                </c:pt>
                <c:pt idx="628">
                  <c:v>10.208333333333332</c:v>
                </c:pt>
                <c:pt idx="629">
                  <c:v>10.25</c:v>
                </c:pt>
                <c:pt idx="630">
                  <c:v>10.28125</c:v>
                </c:pt>
                <c:pt idx="631">
                  <c:v>10.291666666666666</c:v>
                </c:pt>
                <c:pt idx="632">
                  <c:v>10.3125</c:v>
                </c:pt>
                <c:pt idx="633">
                  <c:v>10.333333333333332</c:v>
                </c:pt>
                <c:pt idx="634">
                  <c:v>10.354166666666666</c:v>
                </c:pt>
                <c:pt idx="635">
                  <c:v>10.375</c:v>
                </c:pt>
                <c:pt idx="636">
                  <c:v>10.385416666666666</c:v>
                </c:pt>
                <c:pt idx="637">
                  <c:v>10.395833333333332</c:v>
                </c:pt>
                <c:pt idx="638">
                  <c:v>10.427083333333332</c:v>
                </c:pt>
                <c:pt idx="639">
                  <c:v>10.4375</c:v>
                </c:pt>
                <c:pt idx="640">
                  <c:v>10.447916666666666</c:v>
                </c:pt>
                <c:pt idx="641">
                  <c:v>10.458333333333332</c:v>
                </c:pt>
                <c:pt idx="642">
                  <c:v>10.489583333333332</c:v>
                </c:pt>
                <c:pt idx="643">
                  <c:v>10.510416666666666</c:v>
                </c:pt>
                <c:pt idx="644">
                  <c:v>10.520833333333332</c:v>
                </c:pt>
                <c:pt idx="645">
                  <c:v>10.541666666666666</c:v>
                </c:pt>
                <c:pt idx="646">
                  <c:v>10.552083333333332</c:v>
                </c:pt>
                <c:pt idx="647">
                  <c:v>10.5625</c:v>
                </c:pt>
                <c:pt idx="648">
                  <c:v>10.572916666666666</c:v>
                </c:pt>
                <c:pt idx="649">
                  <c:v>10.604166666666666</c:v>
                </c:pt>
                <c:pt idx="650">
                  <c:v>10.635416666666666</c:v>
                </c:pt>
                <c:pt idx="651">
                  <c:v>10.645833333333332</c:v>
                </c:pt>
                <c:pt idx="652">
                  <c:v>10.65625</c:v>
                </c:pt>
                <c:pt idx="653">
                  <c:v>10.666666666666666</c:v>
                </c:pt>
                <c:pt idx="654">
                  <c:v>10.677083333333332</c:v>
                </c:pt>
                <c:pt idx="655">
                  <c:v>10.75</c:v>
                </c:pt>
                <c:pt idx="656">
                  <c:v>10.760416666666666</c:v>
                </c:pt>
                <c:pt idx="657">
                  <c:v>10.770833333333332</c:v>
                </c:pt>
                <c:pt idx="658">
                  <c:v>10.791666666666666</c:v>
                </c:pt>
                <c:pt idx="659">
                  <c:v>10.802083333333332</c:v>
                </c:pt>
                <c:pt idx="660">
                  <c:v>10.833333333333332</c:v>
                </c:pt>
                <c:pt idx="661">
                  <c:v>10.84375</c:v>
                </c:pt>
                <c:pt idx="662">
                  <c:v>10.864583333333332</c:v>
                </c:pt>
                <c:pt idx="663">
                  <c:v>10.916666666666666</c:v>
                </c:pt>
                <c:pt idx="664">
                  <c:v>10.927083333333332</c:v>
                </c:pt>
                <c:pt idx="665">
                  <c:v>10.947916666666666</c:v>
                </c:pt>
                <c:pt idx="666">
                  <c:v>10.96875</c:v>
                </c:pt>
                <c:pt idx="667">
                  <c:v>10.989583333333332</c:v>
                </c:pt>
                <c:pt idx="668">
                  <c:v>11</c:v>
                </c:pt>
                <c:pt idx="669">
                  <c:v>11.010416666666666</c:v>
                </c:pt>
                <c:pt idx="670">
                  <c:v>11.020833333333332</c:v>
                </c:pt>
                <c:pt idx="671">
                  <c:v>11.03125</c:v>
                </c:pt>
                <c:pt idx="672">
                  <c:v>11.0625</c:v>
                </c:pt>
                <c:pt idx="673">
                  <c:v>11.072916666666666</c:v>
                </c:pt>
                <c:pt idx="674">
                  <c:v>11.09375</c:v>
                </c:pt>
                <c:pt idx="675">
                  <c:v>11.114583333333332</c:v>
                </c:pt>
                <c:pt idx="676">
                  <c:v>11.135416666666666</c:v>
                </c:pt>
                <c:pt idx="677">
                  <c:v>11.145833333333332</c:v>
                </c:pt>
                <c:pt idx="678">
                  <c:v>11.15625</c:v>
                </c:pt>
                <c:pt idx="679">
                  <c:v>11.166666666666666</c:v>
                </c:pt>
                <c:pt idx="680">
                  <c:v>11.197916666666666</c:v>
                </c:pt>
                <c:pt idx="681">
                  <c:v>11.229166666666666</c:v>
                </c:pt>
                <c:pt idx="682">
                  <c:v>11.260416666666666</c:v>
                </c:pt>
                <c:pt idx="683">
                  <c:v>11.270833333333332</c:v>
                </c:pt>
                <c:pt idx="684">
                  <c:v>11.28125</c:v>
                </c:pt>
                <c:pt idx="685">
                  <c:v>11.302083333333332</c:v>
                </c:pt>
                <c:pt idx="686">
                  <c:v>11.3125</c:v>
                </c:pt>
                <c:pt idx="687">
                  <c:v>11.322916666666666</c:v>
                </c:pt>
                <c:pt idx="688">
                  <c:v>11.333333333333332</c:v>
                </c:pt>
                <c:pt idx="689">
                  <c:v>11.34375</c:v>
                </c:pt>
                <c:pt idx="690">
                  <c:v>11.354166666666666</c:v>
                </c:pt>
                <c:pt idx="691">
                  <c:v>11.375</c:v>
                </c:pt>
                <c:pt idx="692">
                  <c:v>11.385416666666666</c:v>
                </c:pt>
                <c:pt idx="693">
                  <c:v>11.395833333333332</c:v>
                </c:pt>
                <c:pt idx="694">
                  <c:v>11.40625</c:v>
                </c:pt>
                <c:pt idx="695">
                  <c:v>11.458333333333332</c:v>
                </c:pt>
                <c:pt idx="696">
                  <c:v>11.479166666666666</c:v>
                </c:pt>
                <c:pt idx="697">
                  <c:v>11.510416666666666</c:v>
                </c:pt>
                <c:pt idx="698">
                  <c:v>11.552083333333332</c:v>
                </c:pt>
                <c:pt idx="699">
                  <c:v>11.5625</c:v>
                </c:pt>
                <c:pt idx="700">
                  <c:v>11.572916666666666</c:v>
                </c:pt>
                <c:pt idx="701">
                  <c:v>11.59375</c:v>
                </c:pt>
                <c:pt idx="702">
                  <c:v>11.604166666666666</c:v>
                </c:pt>
                <c:pt idx="703">
                  <c:v>11.625</c:v>
                </c:pt>
                <c:pt idx="704">
                  <c:v>11.65625</c:v>
                </c:pt>
                <c:pt idx="705">
                  <c:v>11.697916666666666</c:v>
                </c:pt>
                <c:pt idx="706">
                  <c:v>11.708333333333332</c:v>
                </c:pt>
                <c:pt idx="707">
                  <c:v>11.71875</c:v>
                </c:pt>
                <c:pt idx="708">
                  <c:v>11.739583333333332</c:v>
                </c:pt>
                <c:pt idx="709">
                  <c:v>11.770833333333332</c:v>
                </c:pt>
                <c:pt idx="710">
                  <c:v>11.791666666666666</c:v>
                </c:pt>
                <c:pt idx="711">
                  <c:v>11.8125</c:v>
                </c:pt>
                <c:pt idx="712">
                  <c:v>11.822916666666666</c:v>
                </c:pt>
                <c:pt idx="713">
                  <c:v>11.833333333333332</c:v>
                </c:pt>
                <c:pt idx="714">
                  <c:v>11.854166666666666</c:v>
                </c:pt>
                <c:pt idx="715">
                  <c:v>11.885416666666666</c:v>
                </c:pt>
                <c:pt idx="716">
                  <c:v>11.916666666666666</c:v>
                </c:pt>
                <c:pt idx="717">
                  <c:v>11.9375</c:v>
                </c:pt>
                <c:pt idx="718">
                  <c:v>11.947916666666666</c:v>
                </c:pt>
                <c:pt idx="719">
                  <c:v>11.96875</c:v>
                </c:pt>
                <c:pt idx="720">
                  <c:v>11.989583333333332</c:v>
                </c:pt>
                <c:pt idx="721">
                  <c:v>12</c:v>
                </c:pt>
                <c:pt idx="722">
                  <c:v>12.010416666666666</c:v>
                </c:pt>
                <c:pt idx="723">
                  <c:v>12.020833333333332</c:v>
                </c:pt>
                <c:pt idx="724">
                  <c:v>12.03125</c:v>
                </c:pt>
                <c:pt idx="725">
                  <c:v>12.052083333333332</c:v>
                </c:pt>
                <c:pt idx="726">
                  <c:v>12.0625</c:v>
                </c:pt>
                <c:pt idx="727">
                  <c:v>12.072916666666666</c:v>
                </c:pt>
                <c:pt idx="728">
                  <c:v>12.083333333333332</c:v>
                </c:pt>
                <c:pt idx="729">
                  <c:v>12.09375</c:v>
                </c:pt>
                <c:pt idx="730">
                  <c:v>12.104166666666666</c:v>
                </c:pt>
                <c:pt idx="731">
                  <c:v>12.114583333333332</c:v>
                </c:pt>
                <c:pt idx="732">
                  <c:v>12.145833333333332</c:v>
                </c:pt>
                <c:pt idx="733">
                  <c:v>12.177083333333332</c:v>
                </c:pt>
                <c:pt idx="734">
                  <c:v>12.1875</c:v>
                </c:pt>
                <c:pt idx="735">
                  <c:v>12.197916666666666</c:v>
                </c:pt>
                <c:pt idx="736">
                  <c:v>12.208333333333332</c:v>
                </c:pt>
                <c:pt idx="737">
                  <c:v>12.21875</c:v>
                </c:pt>
                <c:pt idx="738">
                  <c:v>12.229166666666666</c:v>
                </c:pt>
                <c:pt idx="739">
                  <c:v>12.25</c:v>
                </c:pt>
                <c:pt idx="740">
                  <c:v>12.270833333333332</c:v>
                </c:pt>
                <c:pt idx="741">
                  <c:v>12.28125</c:v>
                </c:pt>
                <c:pt idx="742">
                  <c:v>12.291666666666666</c:v>
                </c:pt>
                <c:pt idx="743">
                  <c:v>12.302083333333332</c:v>
                </c:pt>
                <c:pt idx="744">
                  <c:v>12.3125</c:v>
                </c:pt>
                <c:pt idx="745">
                  <c:v>12.322916666666666</c:v>
                </c:pt>
                <c:pt idx="746">
                  <c:v>12.364583333333332</c:v>
                </c:pt>
                <c:pt idx="747">
                  <c:v>12.395833333333332</c:v>
                </c:pt>
                <c:pt idx="748">
                  <c:v>12.416666666666666</c:v>
                </c:pt>
                <c:pt idx="749">
                  <c:v>12.447916666666666</c:v>
                </c:pt>
                <c:pt idx="750">
                  <c:v>12.479166666666666</c:v>
                </c:pt>
                <c:pt idx="751">
                  <c:v>12.489583333333332</c:v>
                </c:pt>
                <c:pt idx="752">
                  <c:v>12.510416666666666</c:v>
                </c:pt>
                <c:pt idx="753">
                  <c:v>12.53125</c:v>
                </c:pt>
                <c:pt idx="754">
                  <c:v>12.541666666666666</c:v>
                </c:pt>
                <c:pt idx="755">
                  <c:v>12.5625</c:v>
                </c:pt>
                <c:pt idx="756">
                  <c:v>12.583333333333332</c:v>
                </c:pt>
                <c:pt idx="757">
                  <c:v>12.625</c:v>
                </c:pt>
                <c:pt idx="758">
                  <c:v>12.635416666666666</c:v>
                </c:pt>
                <c:pt idx="759">
                  <c:v>12.697916666666666</c:v>
                </c:pt>
                <c:pt idx="760">
                  <c:v>12.71875</c:v>
                </c:pt>
                <c:pt idx="761">
                  <c:v>12.729166666666666</c:v>
                </c:pt>
                <c:pt idx="762">
                  <c:v>12.739583333333332</c:v>
                </c:pt>
                <c:pt idx="763">
                  <c:v>12.75</c:v>
                </c:pt>
                <c:pt idx="764">
                  <c:v>12.760416666666666</c:v>
                </c:pt>
                <c:pt idx="765">
                  <c:v>12.770833333333332</c:v>
                </c:pt>
                <c:pt idx="766">
                  <c:v>12.78125</c:v>
                </c:pt>
                <c:pt idx="767">
                  <c:v>12.8125</c:v>
                </c:pt>
                <c:pt idx="768">
                  <c:v>12.822916666666666</c:v>
                </c:pt>
                <c:pt idx="769">
                  <c:v>12.833333333333332</c:v>
                </c:pt>
                <c:pt idx="770">
                  <c:v>12.84375</c:v>
                </c:pt>
                <c:pt idx="771">
                  <c:v>12.854166666666666</c:v>
                </c:pt>
                <c:pt idx="772">
                  <c:v>12.895833333333332</c:v>
                </c:pt>
                <c:pt idx="773">
                  <c:v>12.927083333333332</c:v>
                </c:pt>
                <c:pt idx="774">
                  <c:v>12.958333333333332</c:v>
                </c:pt>
                <c:pt idx="775">
                  <c:v>12.989583333333332</c:v>
                </c:pt>
                <c:pt idx="776">
                  <c:v>13</c:v>
                </c:pt>
                <c:pt idx="777">
                  <c:v>13.010416666666666</c:v>
                </c:pt>
                <c:pt idx="778">
                  <c:v>13.041666666666666</c:v>
                </c:pt>
                <c:pt idx="779">
                  <c:v>13.052083333333332</c:v>
                </c:pt>
                <c:pt idx="780">
                  <c:v>13.0625</c:v>
                </c:pt>
                <c:pt idx="781">
                  <c:v>13.083333333333332</c:v>
                </c:pt>
                <c:pt idx="782">
                  <c:v>13.09375</c:v>
                </c:pt>
                <c:pt idx="783">
                  <c:v>13.135416666666666</c:v>
                </c:pt>
                <c:pt idx="784">
                  <c:v>13.166666666666666</c:v>
                </c:pt>
                <c:pt idx="785">
                  <c:v>13.177083333333332</c:v>
                </c:pt>
                <c:pt idx="786">
                  <c:v>13.21875</c:v>
                </c:pt>
                <c:pt idx="787">
                  <c:v>13.239583333333332</c:v>
                </c:pt>
                <c:pt idx="788">
                  <c:v>13.25</c:v>
                </c:pt>
                <c:pt idx="789">
                  <c:v>13.260416666666666</c:v>
                </c:pt>
                <c:pt idx="790">
                  <c:v>13.270833333333332</c:v>
                </c:pt>
                <c:pt idx="791">
                  <c:v>13.28125</c:v>
                </c:pt>
                <c:pt idx="792">
                  <c:v>13.291666666666666</c:v>
                </c:pt>
                <c:pt idx="793">
                  <c:v>13.302083333333332</c:v>
                </c:pt>
                <c:pt idx="794">
                  <c:v>13.3125</c:v>
                </c:pt>
                <c:pt idx="795">
                  <c:v>13.322916666666666</c:v>
                </c:pt>
                <c:pt idx="796">
                  <c:v>13.34375</c:v>
                </c:pt>
                <c:pt idx="797">
                  <c:v>13.354166666666666</c:v>
                </c:pt>
                <c:pt idx="798">
                  <c:v>13.364583333333332</c:v>
                </c:pt>
                <c:pt idx="799">
                  <c:v>13.395833333333332</c:v>
                </c:pt>
                <c:pt idx="800">
                  <c:v>13.40625</c:v>
                </c:pt>
                <c:pt idx="801">
                  <c:v>13.447916666666666</c:v>
                </c:pt>
                <c:pt idx="802">
                  <c:v>13.46875</c:v>
                </c:pt>
                <c:pt idx="803">
                  <c:v>13.479166666666666</c:v>
                </c:pt>
                <c:pt idx="804">
                  <c:v>13.489583333333332</c:v>
                </c:pt>
                <c:pt idx="805">
                  <c:v>13.5</c:v>
                </c:pt>
                <c:pt idx="806">
                  <c:v>13.510416666666666</c:v>
                </c:pt>
                <c:pt idx="807">
                  <c:v>13.5625</c:v>
                </c:pt>
                <c:pt idx="808">
                  <c:v>13.572916666666666</c:v>
                </c:pt>
                <c:pt idx="809">
                  <c:v>13.583333333333332</c:v>
                </c:pt>
                <c:pt idx="810">
                  <c:v>13.614583333333332</c:v>
                </c:pt>
                <c:pt idx="811">
                  <c:v>13.625</c:v>
                </c:pt>
                <c:pt idx="812">
                  <c:v>13.635416666666666</c:v>
                </c:pt>
                <c:pt idx="813">
                  <c:v>13.666666666666666</c:v>
                </c:pt>
                <c:pt idx="814">
                  <c:v>13.677083333333332</c:v>
                </c:pt>
                <c:pt idx="815">
                  <c:v>13.6875</c:v>
                </c:pt>
                <c:pt idx="816">
                  <c:v>13.71875</c:v>
                </c:pt>
                <c:pt idx="817">
                  <c:v>13.729166666666666</c:v>
                </c:pt>
                <c:pt idx="818">
                  <c:v>13.75</c:v>
                </c:pt>
                <c:pt idx="819">
                  <c:v>13.760416666666666</c:v>
                </c:pt>
                <c:pt idx="820">
                  <c:v>13.770833333333332</c:v>
                </c:pt>
                <c:pt idx="821">
                  <c:v>13.791666666666666</c:v>
                </c:pt>
                <c:pt idx="822">
                  <c:v>13.802083333333332</c:v>
                </c:pt>
                <c:pt idx="823">
                  <c:v>13.833333333333332</c:v>
                </c:pt>
                <c:pt idx="824">
                  <c:v>13.84375</c:v>
                </c:pt>
                <c:pt idx="825">
                  <c:v>13.854166666666666</c:v>
                </c:pt>
              </c:numCache>
            </c:numRef>
          </c:xVal>
          <c:yVal>
            <c:numRef>
              <c:f>'C2NOUT'!$P$3:$P$828</c:f>
              <c:numCache>
                <c:formatCode>General</c:formatCode>
                <c:ptCount val="826"/>
                <c:pt idx="0">
                  <c:v>-0.2</c:v>
                </c:pt>
                <c:pt idx="1">
                  <c:v>0.6</c:v>
                </c:pt>
                <c:pt idx="2">
                  <c:v>0.1</c:v>
                </c:pt>
                <c:pt idx="3">
                  <c:v>0</c:v>
                </c:pt>
                <c:pt idx="4">
                  <c:v>-0.1</c:v>
                </c:pt>
                <c:pt idx="5">
                  <c:v>0</c:v>
                </c:pt>
                <c:pt idx="6">
                  <c:v>-0.1</c:v>
                </c:pt>
                <c:pt idx="7">
                  <c:v>-0.1</c:v>
                </c:pt>
                <c:pt idx="8">
                  <c:v>0.1</c:v>
                </c:pt>
                <c:pt idx="9">
                  <c:v>-0.1</c:v>
                </c:pt>
                <c:pt idx="10">
                  <c:v>0.1</c:v>
                </c:pt>
                <c:pt idx="11">
                  <c:v>0.1</c:v>
                </c:pt>
                <c:pt idx="12">
                  <c:v>-0.1</c:v>
                </c:pt>
                <c:pt idx="13">
                  <c:v>-0.2</c:v>
                </c:pt>
                <c:pt idx="14">
                  <c:v>0.1</c:v>
                </c:pt>
                <c:pt idx="15">
                  <c:v>0.2</c:v>
                </c:pt>
                <c:pt idx="16">
                  <c:v>-0.2</c:v>
                </c:pt>
                <c:pt idx="17">
                  <c:v>0.2</c:v>
                </c:pt>
                <c:pt idx="18">
                  <c:v>-0.1</c:v>
                </c:pt>
                <c:pt idx="19">
                  <c:v>0</c:v>
                </c:pt>
                <c:pt idx="20">
                  <c:v>0.2</c:v>
                </c:pt>
                <c:pt idx="21">
                  <c:v>0.2</c:v>
                </c:pt>
                <c:pt idx="22">
                  <c:v>-0.5</c:v>
                </c:pt>
                <c:pt idx="23">
                  <c:v>-0.4</c:v>
                </c:pt>
                <c:pt idx="24">
                  <c:v>-0.3</c:v>
                </c:pt>
                <c:pt idx="25">
                  <c:v>0</c:v>
                </c:pt>
                <c:pt idx="26">
                  <c:v>0.1</c:v>
                </c:pt>
                <c:pt idx="27">
                  <c:v>-0.3</c:v>
                </c:pt>
                <c:pt idx="28">
                  <c:v>0</c:v>
                </c:pt>
                <c:pt idx="29">
                  <c:v>0</c:v>
                </c:pt>
                <c:pt idx="30">
                  <c:v>-0.1</c:v>
                </c:pt>
                <c:pt idx="31">
                  <c:v>-0.4</c:v>
                </c:pt>
                <c:pt idx="32">
                  <c:v>-0.1</c:v>
                </c:pt>
                <c:pt idx="33">
                  <c:v>-0.2</c:v>
                </c:pt>
                <c:pt idx="34">
                  <c:v>-0.1</c:v>
                </c:pt>
                <c:pt idx="35">
                  <c:v>0</c:v>
                </c:pt>
                <c:pt idx="36">
                  <c:v>0</c:v>
                </c:pt>
                <c:pt idx="37">
                  <c:v>0</c:v>
                </c:pt>
                <c:pt idx="38">
                  <c:v>0</c:v>
                </c:pt>
                <c:pt idx="39">
                  <c:v>0.1</c:v>
                </c:pt>
                <c:pt idx="40">
                  <c:v>0.1</c:v>
                </c:pt>
                <c:pt idx="41">
                  <c:v>-0.1</c:v>
                </c:pt>
                <c:pt idx="42">
                  <c:v>0</c:v>
                </c:pt>
                <c:pt idx="43">
                  <c:v>0.1</c:v>
                </c:pt>
                <c:pt idx="44">
                  <c:v>0</c:v>
                </c:pt>
                <c:pt idx="45">
                  <c:v>-0.1</c:v>
                </c:pt>
                <c:pt idx="46">
                  <c:v>0.1</c:v>
                </c:pt>
                <c:pt idx="47">
                  <c:v>-0.3</c:v>
                </c:pt>
                <c:pt idx="48">
                  <c:v>0.1</c:v>
                </c:pt>
                <c:pt idx="49">
                  <c:v>-0.1</c:v>
                </c:pt>
                <c:pt idx="50">
                  <c:v>0</c:v>
                </c:pt>
                <c:pt idx="51">
                  <c:v>-0.1</c:v>
                </c:pt>
                <c:pt idx="52">
                  <c:v>0.1</c:v>
                </c:pt>
                <c:pt idx="53">
                  <c:v>-0.2</c:v>
                </c:pt>
                <c:pt idx="54">
                  <c:v>-0.1</c:v>
                </c:pt>
                <c:pt idx="55">
                  <c:v>0</c:v>
                </c:pt>
                <c:pt idx="56">
                  <c:v>-0.3</c:v>
                </c:pt>
                <c:pt idx="57">
                  <c:v>-0.1</c:v>
                </c:pt>
                <c:pt idx="58">
                  <c:v>0.1</c:v>
                </c:pt>
                <c:pt idx="59">
                  <c:v>-0.1</c:v>
                </c:pt>
                <c:pt idx="60">
                  <c:v>0.1</c:v>
                </c:pt>
                <c:pt idx="61">
                  <c:v>1.5</c:v>
                </c:pt>
                <c:pt idx="62">
                  <c:v>2.4</c:v>
                </c:pt>
                <c:pt idx="63">
                  <c:v>3</c:v>
                </c:pt>
                <c:pt idx="64">
                  <c:v>4.5999999999999996</c:v>
                </c:pt>
                <c:pt idx="65">
                  <c:v>8</c:v>
                </c:pt>
                <c:pt idx="66">
                  <c:v>7.5</c:v>
                </c:pt>
                <c:pt idx="67">
                  <c:v>7.5</c:v>
                </c:pt>
                <c:pt idx="68">
                  <c:v>6.7</c:v>
                </c:pt>
                <c:pt idx="69">
                  <c:v>7.5</c:v>
                </c:pt>
                <c:pt idx="70">
                  <c:v>9.1999999999999993</c:v>
                </c:pt>
                <c:pt idx="71">
                  <c:v>9.3000000000000007</c:v>
                </c:pt>
                <c:pt idx="72">
                  <c:v>8.6999999999999993</c:v>
                </c:pt>
                <c:pt idx="73">
                  <c:v>8</c:v>
                </c:pt>
                <c:pt idx="74">
                  <c:v>8.1999999999999993</c:v>
                </c:pt>
                <c:pt idx="75">
                  <c:v>9.4</c:v>
                </c:pt>
                <c:pt idx="76">
                  <c:v>7.6</c:v>
                </c:pt>
                <c:pt idx="77">
                  <c:v>6.7</c:v>
                </c:pt>
                <c:pt idx="78">
                  <c:v>7.5</c:v>
                </c:pt>
                <c:pt idx="79">
                  <c:v>6.3</c:v>
                </c:pt>
                <c:pt idx="80">
                  <c:v>6</c:v>
                </c:pt>
                <c:pt idx="81">
                  <c:v>6.1</c:v>
                </c:pt>
                <c:pt idx="82">
                  <c:v>5.4</c:v>
                </c:pt>
                <c:pt idx="83">
                  <c:v>5.6</c:v>
                </c:pt>
                <c:pt idx="84">
                  <c:v>5.9</c:v>
                </c:pt>
                <c:pt idx="85">
                  <c:v>5.4</c:v>
                </c:pt>
                <c:pt idx="86">
                  <c:v>7.1</c:v>
                </c:pt>
                <c:pt idx="87">
                  <c:v>5.0999999999999996</c:v>
                </c:pt>
                <c:pt idx="88">
                  <c:v>5.5</c:v>
                </c:pt>
                <c:pt idx="89">
                  <c:v>5.3</c:v>
                </c:pt>
                <c:pt idx="90">
                  <c:v>5.9</c:v>
                </c:pt>
                <c:pt idx="91">
                  <c:v>5.0999999999999996</c:v>
                </c:pt>
                <c:pt idx="92">
                  <c:v>5.3</c:v>
                </c:pt>
                <c:pt idx="93">
                  <c:v>5.2</c:v>
                </c:pt>
                <c:pt idx="94">
                  <c:v>5.2</c:v>
                </c:pt>
                <c:pt idx="95">
                  <c:v>5.5</c:v>
                </c:pt>
                <c:pt idx="96">
                  <c:v>5.9</c:v>
                </c:pt>
                <c:pt idx="97">
                  <c:v>6.4</c:v>
                </c:pt>
                <c:pt idx="98">
                  <c:v>7</c:v>
                </c:pt>
                <c:pt idx="99">
                  <c:v>7.5</c:v>
                </c:pt>
                <c:pt idx="100">
                  <c:v>6.9</c:v>
                </c:pt>
                <c:pt idx="101">
                  <c:v>8</c:v>
                </c:pt>
                <c:pt idx="102">
                  <c:v>7.6</c:v>
                </c:pt>
                <c:pt idx="103">
                  <c:v>7.8</c:v>
                </c:pt>
                <c:pt idx="104">
                  <c:v>8.1</c:v>
                </c:pt>
                <c:pt idx="105">
                  <c:v>8.1999999999999993</c:v>
                </c:pt>
                <c:pt idx="106">
                  <c:v>8.9</c:v>
                </c:pt>
                <c:pt idx="107">
                  <c:v>9.4</c:v>
                </c:pt>
                <c:pt idx="108">
                  <c:v>8.8000000000000007</c:v>
                </c:pt>
                <c:pt idx="109">
                  <c:v>9</c:v>
                </c:pt>
                <c:pt idx="110">
                  <c:v>9.6999999999999993</c:v>
                </c:pt>
                <c:pt idx="111">
                  <c:v>10.6</c:v>
                </c:pt>
                <c:pt idx="112">
                  <c:v>10.9</c:v>
                </c:pt>
                <c:pt idx="113">
                  <c:v>10.7</c:v>
                </c:pt>
                <c:pt idx="114">
                  <c:v>12.7</c:v>
                </c:pt>
                <c:pt idx="115">
                  <c:v>10.3</c:v>
                </c:pt>
                <c:pt idx="116">
                  <c:v>10.6</c:v>
                </c:pt>
                <c:pt idx="117">
                  <c:v>10.7</c:v>
                </c:pt>
                <c:pt idx="118">
                  <c:v>10.8</c:v>
                </c:pt>
                <c:pt idx="119">
                  <c:v>11.7</c:v>
                </c:pt>
                <c:pt idx="120">
                  <c:v>11.7</c:v>
                </c:pt>
                <c:pt idx="121">
                  <c:v>12.6</c:v>
                </c:pt>
                <c:pt idx="122">
                  <c:v>13.5</c:v>
                </c:pt>
                <c:pt idx="123">
                  <c:v>13.3</c:v>
                </c:pt>
                <c:pt idx="124">
                  <c:v>13.8</c:v>
                </c:pt>
                <c:pt idx="125">
                  <c:v>14.4</c:v>
                </c:pt>
                <c:pt idx="126">
                  <c:v>14.5</c:v>
                </c:pt>
                <c:pt idx="127">
                  <c:v>15.1</c:v>
                </c:pt>
                <c:pt idx="128">
                  <c:v>16.3</c:v>
                </c:pt>
                <c:pt idx="129">
                  <c:v>17.5</c:v>
                </c:pt>
                <c:pt idx="130">
                  <c:v>18.899999999999999</c:v>
                </c:pt>
                <c:pt idx="131">
                  <c:v>18.899999999999999</c:v>
                </c:pt>
                <c:pt idx="132">
                  <c:v>18.3</c:v>
                </c:pt>
                <c:pt idx="133">
                  <c:v>21.9</c:v>
                </c:pt>
                <c:pt idx="134">
                  <c:v>21.3</c:v>
                </c:pt>
                <c:pt idx="135">
                  <c:v>25</c:v>
                </c:pt>
                <c:pt idx="136">
                  <c:v>26.8</c:v>
                </c:pt>
                <c:pt idx="137">
                  <c:v>27.5</c:v>
                </c:pt>
                <c:pt idx="138">
                  <c:v>33.200000000000003</c:v>
                </c:pt>
                <c:pt idx="139">
                  <c:v>35.799999999999997</c:v>
                </c:pt>
                <c:pt idx="140">
                  <c:v>36.6</c:v>
                </c:pt>
                <c:pt idx="141">
                  <c:v>35.9</c:v>
                </c:pt>
                <c:pt idx="142">
                  <c:v>35.700000000000003</c:v>
                </c:pt>
                <c:pt idx="143">
                  <c:v>34.6</c:v>
                </c:pt>
                <c:pt idx="144">
                  <c:v>36.200000000000003</c:v>
                </c:pt>
                <c:pt idx="145">
                  <c:v>35.9</c:v>
                </c:pt>
                <c:pt idx="146">
                  <c:v>34.6</c:v>
                </c:pt>
                <c:pt idx="147">
                  <c:v>37.700000000000003</c:v>
                </c:pt>
                <c:pt idx="148">
                  <c:v>35.799999999999997</c:v>
                </c:pt>
                <c:pt idx="149">
                  <c:v>36.9</c:v>
                </c:pt>
                <c:pt idx="150">
                  <c:v>37.299999999999997</c:v>
                </c:pt>
                <c:pt idx="151">
                  <c:v>36.799999999999997</c:v>
                </c:pt>
                <c:pt idx="152">
                  <c:v>36.9</c:v>
                </c:pt>
                <c:pt idx="153">
                  <c:v>37</c:v>
                </c:pt>
                <c:pt idx="154">
                  <c:v>36.5</c:v>
                </c:pt>
                <c:pt idx="155">
                  <c:v>36.200000000000003</c:v>
                </c:pt>
                <c:pt idx="156">
                  <c:v>36.4</c:v>
                </c:pt>
                <c:pt idx="157">
                  <c:v>35.4</c:v>
                </c:pt>
                <c:pt idx="158">
                  <c:v>35.1</c:v>
                </c:pt>
                <c:pt idx="159">
                  <c:v>36.9</c:v>
                </c:pt>
                <c:pt idx="160">
                  <c:v>36.700000000000003</c:v>
                </c:pt>
                <c:pt idx="161">
                  <c:v>37.1</c:v>
                </c:pt>
                <c:pt idx="162">
                  <c:v>37.799999999999997</c:v>
                </c:pt>
                <c:pt idx="163">
                  <c:v>39</c:v>
                </c:pt>
                <c:pt idx="164">
                  <c:v>38.9</c:v>
                </c:pt>
                <c:pt idx="165">
                  <c:v>37.9</c:v>
                </c:pt>
                <c:pt idx="166">
                  <c:v>38.1</c:v>
                </c:pt>
                <c:pt idx="167">
                  <c:v>37.700000000000003</c:v>
                </c:pt>
                <c:pt idx="168">
                  <c:v>38.1</c:v>
                </c:pt>
                <c:pt idx="169">
                  <c:v>39</c:v>
                </c:pt>
                <c:pt idx="170">
                  <c:v>39.200000000000003</c:v>
                </c:pt>
                <c:pt idx="171">
                  <c:v>38</c:v>
                </c:pt>
                <c:pt idx="172">
                  <c:v>38.700000000000003</c:v>
                </c:pt>
                <c:pt idx="173">
                  <c:v>39.5</c:v>
                </c:pt>
                <c:pt idx="174">
                  <c:v>40.5</c:v>
                </c:pt>
                <c:pt idx="175">
                  <c:v>39.6</c:v>
                </c:pt>
                <c:pt idx="176">
                  <c:v>37.9</c:v>
                </c:pt>
                <c:pt idx="177">
                  <c:v>38</c:v>
                </c:pt>
                <c:pt idx="178">
                  <c:v>38.5</c:v>
                </c:pt>
                <c:pt idx="179">
                  <c:v>39.6</c:v>
                </c:pt>
                <c:pt idx="180">
                  <c:v>39.6</c:v>
                </c:pt>
                <c:pt idx="181">
                  <c:v>38.5</c:v>
                </c:pt>
                <c:pt idx="182">
                  <c:v>38.299999999999997</c:v>
                </c:pt>
                <c:pt idx="183">
                  <c:v>40.200000000000003</c:v>
                </c:pt>
                <c:pt idx="184">
                  <c:v>40.9</c:v>
                </c:pt>
                <c:pt idx="185">
                  <c:v>42</c:v>
                </c:pt>
                <c:pt idx="186">
                  <c:v>41.3</c:v>
                </c:pt>
                <c:pt idx="187">
                  <c:v>42.1</c:v>
                </c:pt>
                <c:pt idx="188">
                  <c:v>43</c:v>
                </c:pt>
                <c:pt idx="189">
                  <c:v>43.4</c:v>
                </c:pt>
                <c:pt idx="190">
                  <c:v>45.6</c:v>
                </c:pt>
                <c:pt idx="191">
                  <c:v>47</c:v>
                </c:pt>
                <c:pt idx="192">
                  <c:v>44.6</c:v>
                </c:pt>
                <c:pt idx="193">
                  <c:v>46.5</c:v>
                </c:pt>
                <c:pt idx="194">
                  <c:v>45</c:v>
                </c:pt>
                <c:pt idx="195">
                  <c:v>45.2</c:v>
                </c:pt>
                <c:pt idx="196">
                  <c:v>46.5</c:v>
                </c:pt>
                <c:pt idx="197">
                  <c:v>46.4</c:v>
                </c:pt>
                <c:pt idx="198">
                  <c:v>44.5</c:v>
                </c:pt>
                <c:pt idx="199">
                  <c:v>44.7</c:v>
                </c:pt>
                <c:pt idx="200">
                  <c:v>45.1</c:v>
                </c:pt>
                <c:pt idx="201">
                  <c:v>46.8</c:v>
                </c:pt>
                <c:pt idx="202">
                  <c:v>45.8</c:v>
                </c:pt>
                <c:pt idx="203">
                  <c:v>46.9</c:v>
                </c:pt>
                <c:pt idx="204">
                  <c:v>47</c:v>
                </c:pt>
                <c:pt idx="205">
                  <c:v>45.8</c:v>
                </c:pt>
                <c:pt idx="206">
                  <c:v>47.8</c:v>
                </c:pt>
                <c:pt idx="207">
                  <c:v>48.9</c:v>
                </c:pt>
                <c:pt idx="208">
                  <c:v>48.7</c:v>
                </c:pt>
                <c:pt idx="209">
                  <c:v>47.2</c:v>
                </c:pt>
                <c:pt idx="210">
                  <c:v>49.8</c:v>
                </c:pt>
                <c:pt idx="211">
                  <c:v>48.2</c:v>
                </c:pt>
                <c:pt idx="212">
                  <c:v>50.4</c:v>
                </c:pt>
                <c:pt idx="213">
                  <c:v>50.4</c:v>
                </c:pt>
                <c:pt idx="214">
                  <c:v>51.8</c:v>
                </c:pt>
                <c:pt idx="215">
                  <c:v>52.1</c:v>
                </c:pt>
                <c:pt idx="216">
                  <c:v>50.3</c:v>
                </c:pt>
                <c:pt idx="217">
                  <c:v>53.1</c:v>
                </c:pt>
                <c:pt idx="218">
                  <c:v>53</c:v>
                </c:pt>
                <c:pt idx="219">
                  <c:v>52.8</c:v>
                </c:pt>
                <c:pt idx="220">
                  <c:v>53.4</c:v>
                </c:pt>
                <c:pt idx="221">
                  <c:v>53.5</c:v>
                </c:pt>
                <c:pt idx="222">
                  <c:v>51.6</c:v>
                </c:pt>
                <c:pt idx="223">
                  <c:v>53.3</c:v>
                </c:pt>
                <c:pt idx="224">
                  <c:v>53.7</c:v>
                </c:pt>
                <c:pt idx="225">
                  <c:v>54.1</c:v>
                </c:pt>
                <c:pt idx="226">
                  <c:v>53.7</c:v>
                </c:pt>
                <c:pt idx="227">
                  <c:v>54.3</c:v>
                </c:pt>
                <c:pt idx="228">
                  <c:v>54.4</c:v>
                </c:pt>
                <c:pt idx="229">
                  <c:v>54.4</c:v>
                </c:pt>
                <c:pt idx="230">
                  <c:v>54.5</c:v>
                </c:pt>
                <c:pt idx="231">
                  <c:v>53.7</c:v>
                </c:pt>
                <c:pt idx="232">
                  <c:v>54.6</c:v>
                </c:pt>
                <c:pt idx="233">
                  <c:v>55.4</c:v>
                </c:pt>
                <c:pt idx="234">
                  <c:v>55.5</c:v>
                </c:pt>
                <c:pt idx="235">
                  <c:v>55.9</c:v>
                </c:pt>
                <c:pt idx="236">
                  <c:v>56.2</c:v>
                </c:pt>
                <c:pt idx="237">
                  <c:v>56.5</c:v>
                </c:pt>
                <c:pt idx="238">
                  <c:v>55.7</c:v>
                </c:pt>
                <c:pt idx="239">
                  <c:v>56.6</c:v>
                </c:pt>
                <c:pt idx="240">
                  <c:v>56.9</c:v>
                </c:pt>
                <c:pt idx="241">
                  <c:v>57.2</c:v>
                </c:pt>
                <c:pt idx="242">
                  <c:v>58.2</c:v>
                </c:pt>
                <c:pt idx="243">
                  <c:v>55.9</c:v>
                </c:pt>
                <c:pt idx="244">
                  <c:v>58.3</c:v>
                </c:pt>
                <c:pt idx="245">
                  <c:v>58.7</c:v>
                </c:pt>
                <c:pt idx="246">
                  <c:v>58.7</c:v>
                </c:pt>
                <c:pt idx="247">
                  <c:v>59.5</c:v>
                </c:pt>
                <c:pt idx="248">
                  <c:v>58</c:v>
                </c:pt>
                <c:pt idx="249">
                  <c:v>58.3</c:v>
                </c:pt>
                <c:pt idx="250">
                  <c:v>58.5</c:v>
                </c:pt>
                <c:pt idx="251">
                  <c:v>59.3</c:v>
                </c:pt>
                <c:pt idx="252">
                  <c:v>58.4</c:v>
                </c:pt>
                <c:pt idx="253">
                  <c:v>59</c:v>
                </c:pt>
                <c:pt idx="254">
                  <c:v>59</c:v>
                </c:pt>
                <c:pt idx="255">
                  <c:v>59</c:v>
                </c:pt>
                <c:pt idx="256">
                  <c:v>57.8</c:v>
                </c:pt>
                <c:pt idx="257">
                  <c:v>59.4</c:v>
                </c:pt>
                <c:pt idx="258">
                  <c:v>58.6</c:v>
                </c:pt>
                <c:pt idx="259">
                  <c:v>59.2</c:v>
                </c:pt>
                <c:pt idx="260">
                  <c:v>56.8</c:v>
                </c:pt>
                <c:pt idx="261">
                  <c:v>59.2</c:v>
                </c:pt>
                <c:pt idx="262">
                  <c:v>58.9</c:v>
                </c:pt>
                <c:pt idx="263">
                  <c:v>60.4</c:v>
                </c:pt>
                <c:pt idx="264">
                  <c:v>58.8</c:v>
                </c:pt>
                <c:pt idx="265">
                  <c:v>57.4</c:v>
                </c:pt>
                <c:pt idx="266">
                  <c:v>59.8</c:v>
                </c:pt>
                <c:pt idx="267">
                  <c:v>59.5</c:v>
                </c:pt>
                <c:pt idx="268">
                  <c:v>59.2</c:v>
                </c:pt>
                <c:pt idx="269">
                  <c:v>60</c:v>
                </c:pt>
                <c:pt idx="270">
                  <c:v>58.1</c:v>
                </c:pt>
                <c:pt idx="271">
                  <c:v>57.7</c:v>
                </c:pt>
                <c:pt idx="272">
                  <c:v>57.8</c:v>
                </c:pt>
                <c:pt idx="273">
                  <c:v>60.7</c:v>
                </c:pt>
                <c:pt idx="274">
                  <c:v>60.2</c:v>
                </c:pt>
                <c:pt idx="275">
                  <c:v>61</c:v>
                </c:pt>
                <c:pt idx="276">
                  <c:v>60.1</c:v>
                </c:pt>
                <c:pt idx="277">
                  <c:v>60.8</c:v>
                </c:pt>
                <c:pt idx="278">
                  <c:v>60.4</c:v>
                </c:pt>
                <c:pt idx="279">
                  <c:v>61</c:v>
                </c:pt>
                <c:pt idx="280">
                  <c:v>60.8</c:v>
                </c:pt>
                <c:pt idx="281">
                  <c:v>59.2</c:v>
                </c:pt>
                <c:pt idx="282">
                  <c:v>60.8</c:v>
                </c:pt>
                <c:pt idx="283">
                  <c:v>61.1</c:v>
                </c:pt>
                <c:pt idx="284">
                  <c:v>61.1</c:v>
                </c:pt>
                <c:pt idx="285">
                  <c:v>59.5</c:v>
                </c:pt>
                <c:pt idx="286">
                  <c:v>61.3</c:v>
                </c:pt>
                <c:pt idx="287">
                  <c:v>61.1</c:v>
                </c:pt>
                <c:pt idx="288">
                  <c:v>59.1</c:v>
                </c:pt>
                <c:pt idx="289">
                  <c:v>61</c:v>
                </c:pt>
                <c:pt idx="290">
                  <c:v>59.3</c:v>
                </c:pt>
                <c:pt idx="291">
                  <c:v>61.1</c:v>
                </c:pt>
                <c:pt idx="292">
                  <c:v>59.8</c:v>
                </c:pt>
                <c:pt idx="293">
                  <c:v>59.6</c:v>
                </c:pt>
                <c:pt idx="294">
                  <c:v>61.1</c:v>
                </c:pt>
                <c:pt idx="295">
                  <c:v>61.5</c:v>
                </c:pt>
                <c:pt idx="296">
                  <c:v>60.2</c:v>
                </c:pt>
                <c:pt idx="297">
                  <c:v>61.8</c:v>
                </c:pt>
                <c:pt idx="298">
                  <c:v>59.4</c:v>
                </c:pt>
                <c:pt idx="299">
                  <c:v>61</c:v>
                </c:pt>
                <c:pt idx="300">
                  <c:v>60.5</c:v>
                </c:pt>
                <c:pt idx="301">
                  <c:v>61.3</c:v>
                </c:pt>
                <c:pt idx="302">
                  <c:v>61.1</c:v>
                </c:pt>
                <c:pt idx="303">
                  <c:v>61</c:v>
                </c:pt>
                <c:pt idx="304">
                  <c:v>61.2</c:v>
                </c:pt>
                <c:pt idx="305">
                  <c:v>61.9</c:v>
                </c:pt>
                <c:pt idx="306">
                  <c:v>61.6</c:v>
                </c:pt>
                <c:pt idx="307">
                  <c:v>61.3</c:v>
                </c:pt>
                <c:pt idx="308">
                  <c:v>60.5</c:v>
                </c:pt>
                <c:pt idx="309">
                  <c:v>61.4</c:v>
                </c:pt>
                <c:pt idx="310">
                  <c:v>60.7</c:v>
                </c:pt>
                <c:pt idx="311">
                  <c:v>60.8</c:v>
                </c:pt>
                <c:pt idx="312">
                  <c:v>60.6</c:v>
                </c:pt>
                <c:pt idx="313">
                  <c:v>60.8</c:v>
                </c:pt>
                <c:pt idx="314">
                  <c:v>60.6</c:v>
                </c:pt>
                <c:pt idx="315">
                  <c:v>61.5</c:v>
                </c:pt>
                <c:pt idx="316">
                  <c:v>57.8</c:v>
                </c:pt>
                <c:pt idx="317">
                  <c:v>58.5</c:v>
                </c:pt>
                <c:pt idx="318">
                  <c:v>57.7</c:v>
                </c:pt>
                <c:pt idx="319">
                  <c:v>60.1</c:v>
                </c:pt>
                <c:pt idx="320">
                  <c:v>59.7</c:v>
                </c:pt>
                <c:pt idx="321">
                  <c:v>58.2</c:v>
                </c:pt>
                <c:pt idx="322">
                  <c:v>59.8</c:v>
                </c:pt>
                <c:pt idx="323">
                  <c:v>59.6</c:v>
                </c:pt>
                <c:pt idx="324">
                  <c:v>57.3</c:v>
                </c:pt>
                <c:pt idx="325">
                  <c:v>59.3</c:v>
                </c:pt>
                <c:pt idx="326">
                  <c:v>59.3</c:v>
                </c:pt>
                <c:pt idx="327">
                  <c:v>57</c:v>
                </c:pt>
                <c:pt idx="328">
                  <c:v>56.5</c:v>
                </c:pt>
                <c:pt idx="329">
                  <c:v>56.1</c:v>
                </c:pt>
                <c:pt idx="330">
                  <c:v>58.2</c:v>
                </c:pt>
                <c:pt idx="331">
                  <c:v>58.6</c:v>
                </c:pt>
                <c:pt idx="332">
                  <c:v>58.5</c:v>
                </c:pt>
                <c:pt idx="333">
                  <c:v>58.5</c:v>
                </c:pt>
                <c:pt idx="334">
                  <c:v>58.3</c:v>
                </c:pt>
                <c:pt idx="335">
                  <c:v>56.7</c:v>
                </c:pt>
                <c:pt idx="336">
                  <c:v>58.1</c:v>
                </c:pt>
                <c:pt idx="337">
                  <c:v>58.1</c:v>
                </c:pt>
                <c:pt idx="338">
                  <c:v>58.1</c:v>
                </c:pt>
                <c:pt idx="339">
                  <c:v>58.2</c:v>
                </c:pt>
                <c:pt idx="340">
                  <c:v>56.4</c:v>
                </c:pt>
                <c:pt idx="341">
                  <c:v>57.7</c:v>
                </c:pt>
                <c:pt idx="342">
                  <c:v>57.8</c:v>
                </c:pt>
                <c:pt idx="343">
                  <c:v>55.2</c:v>
                </c:pt>
                <c:pt idx="344">
                  <c:v>56.5</c:v>
                </c:pt>
                <c:pt idx="345">
                  <c:v>58.1</c:v>
                </c:pt>
                <c:pt idx="346">
                  <c:v>55</c:v>
                </c:pt>
                <c:pt idx="347">
                  <c:v>54</c:v>
                </c:pt>
                <c:pt idx="348">
                  <c:v>56.7</c:v>
                </c:pt>
                <c:pt idx="349">
                  <c:v>55</c:v>
                </c:pt>
                <c:pt idx="350">
                  <c:v>56.7</c:v>
                </c:pt>
                <c:pt idx="351">
                  <c:v>58.3</c:v>
                </c:pt>
                <c:pt idx="352">
                  <c:v>58.8</c:v>
                </c:pt>
                <c:pt idx="353">
                  <c:v>56.6</c:v>
                </c:pt>
                <c:pt idx="354">
                  <c:v>56.4</c:v>
                </c:pt>
                <c:pt idx="355">
                  <c:v>55.9</c:v>
                </c:pt>
                <c:pt idx="356">
                  <c:v>56.8</c:v>
                </c:pt>
                <c:pt idx="357">
                  <c:v>56.2</c:v>
                </c:pt>
                <c:pt idx="358">
                  <c:v>57.7</c:v>
                </c:pt>
                <c:pt idx="359">
                  <c:v>57.5</c:v>
                </c:pt>
                <c:pt idx="360">
                  <c:v>57.1</c:v>
                </c:pt>
                <c:pt idx="361">
                  <c:v>57.2</c:v>
                </c:pt>
                <c:pt idx="362">
                  <c:v>56.2</c:v>
                </c:pt>
                <c:pt idx="363">
                  <c:v>56.1</c:v>
                </c:pt>
                <c:pt idx="364">
                  <c:v>56</c:v>
                </c:pt>
                <c:pt idx="365">
                  <c:v>56.6</c:v>
                </c:pt>
                <c:pt idx="366">
                  <c:v>55.9</c:v>
                </c:pt>
                <c:pt idx="367">
                  <c:v>55.2</c:v>
                </c:pt>
                <c:pt idx="368">
                  <c:v>56.6</c:v>
                </c:pt>
                <c:pt idx="369">
                  <c:v>56.5</c:v>
                </c:pt>
                <c:pt idx="370">
                  <c:v>56.4</c:v>
                </c:pt>
                <c:pt idx="371">
                  <c:v>56.9</c:v>
                </c:pt>
                <c:pt idx="372">
                  <c:v>56.6</c:v>
                </c:pt>
                <c:pt idx="373">
                  <c:v>56.7</c:v>
                </c:pt>
                <c:pt idx="374">
                  <c:v>57</c:v>
                </c:pt>
                <c:pt idx="375">
                  <c:v>55.9</c:v>
                </c:pt>
                <c:pt idx="376">
                  <c:v>54.7</c:v>
                </c:pt>
                <c:pt idx="377">
                  <c:v>54.9</c:v>
                </c:pt>
                <c:pt idx="378">
                  <c:v>55.5</c:v>
                </c:pt>
                <c:pt idx="379">
                  <c:v>56.4</c:v>
                </c:pt>
                <c:pt idx="380">
                  <c:v>56.9</c:v>
                </c:pt>
                <c:pt idx="381">
                  <c:v>56.8</c:v>
                </c:pt>
                <c:pt idx="382">
                  <c:v>54.9</c:v>
                </c:pt>
                <c:pt idx="383">
                  <c:v>54.3</c:v>
                </c:pt>
                <c:pt idx="384">
                  <c:v>57.6</c:v>
                </c:pt>
                <c:pt idx="385">
                  <c:v>56.7</c:v>
                </c:pt>
                <c:pt idx="386">
                  <c:v>56.6</c:v>
                </c:pt>
                <c:pt idx="387">
                  <c:v>56.7</c:v>
                </c:pt>
                <c:pt idx="388">
                  <c:v>56.5</c:v>
                </c:pt>
                <c:pt idx="389">
                  <c:v>54.9</c:v>
                </c:pt>
                <c:pt idx="390">
                  <c:v>56.6</c:v>
                </c:pt>
                <c:pt idx="391">
                  <c:v>56.8</c:v>
                </c:pt>
                <c:pt idx="392">
                  <c:v>55.5</c:v>
                </c:pt>
                <c:pt idx="393">
                  <c:v>56.8</c:v>
                </c:pt>
                <c:pt idx="394">
                  <c:v>54.9</c:v>
                </c:pt>
                <c:pt idx="395">
                  <c:v>55.2</c:v>
                </c:pt>
                <c:pt idx="396">
                  <c:v>55.7</c:v>
                </c:pt>
                <c:pt idx="397">
                  <c:v>54.5</c:v>
                </c:pt>
                <c:pt idx="398">
                  <c:v>56.8</c:v>
                </c:pt>
                <c:pt idx="399">
                  <c:v>57.1</c:v>
                </c:pt>
                <c:pt idx="400">
                  <c:v>56.1</c:v>
                </c:pt>
                <c:pt idx="401">
                  <c:v>55.1</c:v>
                </c:pt>
                <c:pt idx="402">
                  <c:v>55.4</c:v>
                </c:pt>
                <c:pt idx="403">
                  <c:v>57.1</c:v>
                </c:pt>
                <c:pt idx="404">
                  <c:v>56.6</c:v>
                </c:pt>
                <c:pt idx="405">
                  <c:v>56.9</c:v>
                </c:pt>
                <c:pt idx="406">
                  <c:v>57</c:v>
                </c:pt>
                <c:pt idx="407">
                  <c:v>56.2</c:v>
                </c:pt>
                <c:pt idx="408">
                  <c:v>57.2</c:v>
                </c:pt>
                <c:pt idx="409">
                  <c:v>56.2</c:v>
                </c:pt>
                <c:pt idx="410">
                  <c:v>56.9</c:v>
                </c:pt>
                <c:pt idx="411">
                  <c:v>57.2</c:v>
                </c:pt>
                <c:pt idx="412">
                  <c:v>57.3</c:v>
                </c:pt>
                <c:pt idx="413">
                  <c:v>58.7</c:v>
                </c:pt>
                <c:pt idx="414">
                  <c:v>57.6</c:v>
                </c:pt>
                <c:pt idx="415">
                  <c:v>57.7</c:v>
                </c:pt>
                <c:pt idx="416">
                  <c:v>57.7</c:v>
                </c:pt>
                <c:pt idx="417">
                  <c:v>57</c:v>
                </c:pt>
                <c:pt idx="418">
                  <c:v>55.5</c:v>
                </c:pt>
                <c:pt idx="419">
                  <c:v>57.3</c:v>
                </c:pt>
                <c:pt idx="420">
                  <c:v>58</c:v>
                </c:pt>
                <c:pt idx="421">
                  <c:v>56.5</c:v>
                </c:pt>
                <c:pt idx="422">
                  <c:v>57.1</c:v>
                </c:pt>
                <c:pt idx="423">
                  <c:v>55.6</c:v>
                </c:pt>
                <c:pt idx="424">
                  <c:v>56.5</c:v>
                </c:pt>
                <c:pt idx="425">
                  <c:v>55.8</c:v>
                </c:pt>
                <c:pt idx="426">
                  <c:v>55.8</c:v>
                </c:pt>
                <c:pt idx="427">
                  <c:v>58.2</c:v>
                </c:pt>
                <c:pt idx="428">
                  <c:v>58</c:v>
                </c:pt>
                <c:pt idx="429">
                  <c:v>57</c:v>
                </c:pt>
                <c:pt idx="430">
                  <c:v>57.4</c:v>
                </c:pt>
                <c:pt idx="431">
                  <c:v>57.1</c:v>
                </c:pt>
                <c:pt idx="432">
                  <c:v>55.9</c:v>
                </c:pt>
                <c:pt idx="433">
                  <c:v>57.9</c:v>
                </c:pt>
                <c:pt idx="434">
                  <c:v>58.1</c:v>
                </c:pt>
                <c:pt idx="435">
                  <c:v>56.3</c:v>
                </c:pt>
                <c:pt idx="436">
                  <c:v>57.9</c:v>
                </c:pt>
                <c:pt idx="437">
                  <c:v>59.2</c:v>
                </c:pt>
                <c:pt idx="438">
                  <c:v>56.4</c:v>
                </c:pt>
                <c:pt idx="439">
                  <c:v>58.5</c:v>
                </c:pt>
                <c:pt idx="440">
                  <c:v>57.6</c:v>
                </c:pt>
                <c:pt idx="441">
                  <c:v>56.6</c:v>
                </c:pt>
                <c:pt idx="442">
                  <c:v>58.3</c:v>
                </c:pt>
                <c:pt idx="443">
                  <c:v>57.9</c:v>
                </c:pt>
                <c:pt idx="444">
                  <c:v>56.8</c:v>
                </c:pt>
                <c:pt idx="445">
                  <c:v>56.4</c:v>
                </c:pt>
                <c:pt idx="446">
                  <c:v>58.1</c:v>
                </c:pt>
                <c:pt idx="447">
                  <c:v>57.8</c:v>
                </c:pt>
                <c:pt idx="448">
                  <c:v>56.7</c:v>
                </c:pt>
                <c:pt idx="449">
                  <c:v>57.6</c:v>
                </c:pt>
                <c:pt idx="450">
                  <c:v>58</c:v>
                </c:pt>
                <c:pt idx="451">
                  <c:v>58</c:v>
                </c:pt>
                <c:pt idx="452">
                  <c:v>56</c:v>
                </c:pt>
                <c:pt idx="453">
                  <c:v>58</c:v>
                </c:pt>
                <c:pt idx="454">
                  <c:v>57.8</c:v>
                </c:pt>
                <c:pt idx="455">
                  <c:v>57.3</c:v>
                </c:pt>
                <c:pt idx="456">
                  <c:v>55.6</c:v>
                </c:pt>
                <c:pt idx="457">
                  <c:v>57.5</c:v>
                </c:pt>
                <c:pt idx="458">
                  <c:v>55.3</c:v>
                </c:pt>
                <c:pt idx="459">
                  <c:v>57.6</c:v>
                </c:pt>
                <c:pt idx="460">
                  <c:v>57.7</c:v>
                </c:pt>
                <c:pt idx="461">
                  <c:v>55.3</c:v>
                </c:pt>
                <c:pt idx="462">
                  <c:v>56.6</c:v>
                </c:pt>
                <c:pt idx="463">
                  <c:v>56.4</c:v>
                </c:pt>
                <c:pt idx="464">
                  <c:v>57.5</c:v>
                </c:pt>
                <c:pt idx="465">
                  <c:v>57.6</c:v>
                </c:pt>
                <c:pt idx="466">
                  <c:v>54.7</c:v>
                </c:pt>
                <c:pt idx="467">
                  <c:v>57.2</c:v>
                </c:pt>
                <c:pt idx="468">
                  <c:v>56.6</c:v>
                </c:pt>
                <c:pt idx="469">
                  <c:v>56.8</c:v>
                </c:pt>
                <c:pt idx="470">
                  <c:v>55.9</c:v>
                </c:pt>
                <c:pt idx="471">
                  <c:v>57.1</c:v>
                </c:pt>
                <c:pt idx="472">
                  <c:v>56.3</c:v>
                </c:pt>
                <c:pt idx="473">
                  <c:v>56.8</c:v>
                </c:pt>
                <c:pt idx="474">
                  <c:v>56.3</c:v>
                </c:pt>
                <c:pt idx="475">
                  <c:v>56.8</c:v>
                </c:pt>
                <c:pt idx="476">
                  <c:v>57.1</c:v>
                </c:pt>
                <c:pt idx="477">
                  <c:v>56.7</c:v>
                </c:pt>
                <c:pt idx="478">
                  <c:v>55.2</c:v>
                </c:pt>
                <c:pt idx="479">
                  <c:v>56.6</c:v>
                </c:pt>
                <c:pt idx="480">
                  <c:v>56.5</c:v>
                </c:pt>
                <c:pt idx="481">
                  <c:v>56.3</c:v>
                </c:pt>
                <c:pt idx="482">
                  <c:v>54</c:v>
                </c:pt>
                <c:pt idx="483">
                  <c:v>56.4</c:v>
                </c:pt>
                <c:pt idx="484">
                  <c:v>55.8</c:v>
                </c:pt>
                <c:pt idx="485">
                  <c:v>55.6</c:v>
                </c:pt>
                <c:pt idx="486">
                  <c:v>56</c:v>
                </c:pt>
                <c:pt idx="487">
                  <c:v>55.8</c:v>
                </c:pt>
                <c:pt idx="488">
                  <c:v>53.6</c:v>
                </c:pt>
                <c:pt idx="489">
                  <c:v>54.1</c:v>
                </c:pt>
                <c:pt idx="490">
                  <c:v>54.5</c:v>
                </c:pt>
                <c:pt idx="491">
                  <c:v>55.9</c:v>
                </c:pt>
                <c:pt idx="492">
                  <c:v>53.5</c:v>
                </c:pt>
                <c:pt idx="493">
                  <c:v>55.2</c:v>
                </c:pt>
                <c:pt idx="494">
                  <c:v>55.4</c:v>
                </c:pt>
                <c:pt idx="495">
                  <c:v>55.6</c:v>
                </c:pt>
                <c:pt idx="496">
                  <c:v>56.4</c:v>
                </c:pt>
                <c:pt idx="497">
                  <c:v>53.5</c:v>
                </c:pt>
                <c:pt idx="498">
                  <c:v>53.3</c:v>
                </c:pt>
                <c:pt idx="499">
                  <c:v>55.1</c:v>
                </c:pt>
                <c:pt idx="500">
                  <c:v>55</c:v>
                </c:pt>
                <c:pt idx="501">
                  <c:v>54.9</c:v>
                </c:pt>
                <c:pt idx="502">
                  <c:v>53.8</c:v>
                </c:pt>
                <c:pt idx="503">
                  <c:v>54.7</c:v>
                </c:pt>
                <c:pt idx="504">
                  <c:v>54.9</c:v>
                </c:pt>
                <c:pt idx="505">
                  <c:v>55.6</c:v>
                </c:pt>
                <c:pt idx="506">
                  <c:v>53.7</c:v>
                </c:pt>
                <c:pt idx="507">
                  <c:v>55.8</c:v>
                </c:pt>
                <c:pt idx="508">
                  <c:v>54.1</c:v>
                </c:pt>
                <c:pt idx="509">
                  <c:v>53.8</c:v>
                </c:pt>
                <c:pt idx="510">
                  <c:v>53.6</c:v>
                </c:pt>
                <c:pt idx="511">
                  <c:v>53.8</c:v>
                </c:pt>
                <c:pt idx="512">
                  <c:v>53.7</c:v>
                </c:pt>
                <c:pt idx="513">
                  <c:v>53.4</c:v>
                </c:pt>
                <c:pt idx="514">
                  <c:v>52.4</c:v>
                </c:pt>
                <c:pt idx="515">
                  <c:v>52.8</c:v>
                </c:pt>
                <c:pt idx="516">
                  <c:v>52.9</c:v>
                </c:pt>
                <c:pt idx="517">
                  <c:v>52.7</c:v>
                </c:pt>
                <c:pt idx="518">
                  <c:v>53</c:v>
                </c:pt>
                <c:pt idx="519">
                  <c:v>50.8</c:v>
                </c:pt>
                <c:pt idx="520">
                  <c:v>51.9</c:v>
                </c:pt>
                <c:pt idx="521">
                  <c:v>53.9</c:v>
                </c:pt>
                <c:pt idx="522">
                  <c:v>51.2</c:v>
                </c:pt>
                <c:pt idx="523">
                  <c:v>50.3</c:v>
                </c:pt>
                <c:pt idx="524">
                  <c:v>55</c:v>
                </c:pt>
                <c:pt idx="525">
                  <c:v>51.7</c:v>
                </c:pt>
                <c:pt idx="526">
                  <c:v>50.4</c:v>
                </c:pt>
                <c:pt idx="527">
                  <c:v>50.6</c:v>
                </c:pt>
                <c:pt idx="528">
                  <c:v>50.9</c:v>
                </c:pt>
                <c:pt idx="529">
                  <c:v>51.2</c:v>
                </c:pt>
                <c:pt idx="530">
                  <c:v>49.6</c:v>
                </c:pt>
                <c:pt idx="531">
                  <c:v>50.8</c:v>
                </c:pt>
                <c:pt idx="532">
                  <c:v>50.7</c:v>
                </c:pt>
                <c:pt idx="533">
                  <c:v>50.8</c:v>
                </c:pt>
                <c:pt idx="534">
                  <c:v>51.3</c:v>
                </c:pt>
                <c:pt idx="535">
                  <c:v>49.1</c:v>
                </c:pt>
                <c:pt idx="536">
                  <c:v>50</c:v>
                </c:pt>
                <c:pt idx="537">
                  <c:v>49.5</c:v>
                </c:pt>
                <c:pt idx="538">
                  <c:v>49.2</c:v>
                </c:pt>
                <c:pt idx="539">
                  <c:v>48.9</c:v>
                </c:pt>
                <c:pt idx="540">
                  <c:v>49.8</c:v>
                </c:pt>
                <c:pt idx="541">
                  <c:v>48</c:v>
                </c:pt>
                <c:pt idx="542">
                  <c:v>50.5</c:v>
                </c:pt>
                <c:pt idx="543">
                  <c:v>51</c:v>
                </c:pt>
                <c:pt idx="544">
                  <c:v>51.2</c:v>
                </c:pt>
                <c:pt idx="545">
                  <c:v>51.5</c:v>
                </c:pt>
                <c:pt idx="546">
                  <c:v>51.9</c:v>
                </c:pt>
                <c:pt idx="547">
                  <c:v>50.2</c:v>
                </c:pt>
                <c:pt idx="548">
                  <c:v>50.2</c:v>
                </c:pt>
                <c:pt idx="549">
                  <c:v>51.5</c:v>
                </c:pt>
                <c:pt idx="550">
                  <c:v>51.1</c:v>
                </c:pt>
                <c:pt idx="551">
                  <c:v>48.9</c:v>
                </c:pt>
                <c:pt idx="552">
                  <c:v>50</c:v>
                </c:pt>
                <c:pt idx="553">
                  <c:v>49.7</c:v>
                </c:pt>
                <c:pt idx="554">
                  <c:v>47.8</c:v>
                </c:pt>
                <c:pt idx="555">
                  <c:v>50.4</c:v>
                </c:pt>
                <c:pt idx="556">
                  <c:v>49.4</c:v>
                </c:pt>
                <c:pt idx="557">
                  <c:v>50.8</c:v>
                </c:pt>
                <c:pt idx="558">
                  <c:v>49.5</c:v>
                </c:pt>
                <c:pt idx="559">
                  <c:v>48.8</c:v>
                </c:pt>
                <c:pt idx="560">
                  <c:v>48.8</c:v>
                </c:pt>
                <c:pt idx="561">
                  <c:v>49.6</c:v>
                </c:pt>
                <c:pt idx="562">
                  <c:v>47.6</c:v>
                </c:pt>
                <c:pt idx="563">
                  <c:v>49</c:v>
                </c:pt>
                <c:pt idx="564">
                  <c:v>47.1</c:v>
                </c:pt>
                <c:pt idx="565">
                  <c:v>49</c:v>
                </c:pt>
                <c:pt idx="566">
                  <c:v>47</c:v>
                </c:pt>
                <c:pt idx="567">
                  <c:v>50.3</c:v>
                </c:pt>
                <c:pt idx="568">
                  <c:v>48.8</c:v>
                </c:pt>
                <c:pt idx="569">
                  <c:v>49.3</c:v>
                </c:pt>
                <c:pt idx="570">
                  <c:v>48.8</c:v>
                </c:pt>
                <c:pt idx="571">
                  <c:v>48.9</c:v>
                </c:pt>
                <c:pt idx="572">
                  <c:v>47.8</c:v>
                </c:pt>
                <c:pt idx="573">
                  <c:v>49.1</c:v>
                </c:pt>
                <c:pt idx="574">
                  <c:v>48.9</c:v>
                </c:pt>
                <c:pt idx="575">
                  <c:v>49.1</c:v>
                </c:pt>
                <c:pt idx="576">
                  <c:v>48.8</c:v>
                </c:pt>
                <c:pt idx="577">
                  <c:v>46.7</c:v>
                </c:pt>
                <c:pt idx="578">
                  <c:v>46.9</c:v>
                </c:pt>
                <c:pt idx="579">
                  <c:v>48.7</c:v>
                </c:pt>
                <c:pt idx="580">
                  <c:v>47.1</c:v>
                </c:pt>
                <c:pt idx="581">
                  <c:v>47.2</c:v>
                </c:pt>
                <c:pt idx="582">
                  <c:v>48.9</c:v>
                </c:pt>
                <c:pt idx="583">
                  <c:v>48.7</c:v>
                </c:pt>
                <c:pt idx="584">
                  <c:v>47.9</c:v>
                </c:pt>
                <c:pt idx="585">
                  <c:v>46.9</c:v>
                </c:pt>
                <c:pt idx="586">
                  <c:v>47.5</c:v>
                </c:pt>
                <c:pt idx="587">
                  <c:v>48.8</c:v>
                </c:pt>
                <c:pt idx="588">
                  <c:v>50.4</c:v>
                </c:pt>
                <c:pt idx="589">
                  <c:v>48.2</c:v>
                </c:pt>
                <c:pt idx="590">
                  <c:v>49.2</c:v>
                </c:pt>
                <c:pt idx="591">
                  <c:v>50.6</c:v>
                </c:pt>
                <c:pt idx="592">
                  <c:v>48.4</c:v>
                </c:pt>
                <c:pt idx="593">
                  <c:v>48.2</c:v>
                </c:pt>
                <c:pt idx="594">
                  <c:v>48</c:v>
                </c:pt>
                <c:pt idx="595">
                  <c:v>47.6</c:v>
                </c:pt>
                <c:pt idx="596">
                  <c:v>47.2</c:v>
                </c:pt>
                <c:pt idx="597">
                  <c:v>47.3</c:v>
                </c:pt>
                <c:pt idx="598">
                  <c:v>45.7</c:v>
                </c:pt>
                <c:pt idx="599">
                  <c:v>46.9</c:v>
                </c:pt>
                <c:pt idx="600">
                  <c:v>47.1</c:v>
                </c:pt>
                <c:pt idx="601">
                  <c:v>46.3</c:v>
                </c:pt>
                <c:pt idx="602">
                  <c:v>42.9</c:v>
                </c:pt>
                <c:pt idx="603">
                  <c:v>42.1</c:v>
                </c:pt>
                <c:pt idx="604">
                  <c:v>42.7</c:v>
                </c:pt>
                <c:pt idx="605">
                  <c:v>42.5</c:v>
                </c:pt>
                <c:pt idx="606">
                  <c:v>41</c:v>
                </c:pt>
                <c:pt idx="607">
                  <c:v>42.6</c:v>
                </c:pt>
                <c:pt idx="608">
                  <c:v>42.1</c:v>
                </c:pt>
                <c:pt idx="609">
                  <c:v>43</c:v>
                </c:pt>
                <c:pt idx="610">
                  <c:v>42.5</c:v>
                </c:pt>
                <c:pt idx="611">
                  <c:v>42.4</c:v>
                </c:pt>
                <c:pt idx="612">
                  <c:v>42.1</c:v>
                </c:pt>
                <c:pt idx="613">
                  <c:v>42.9</c:v>
                </c:pt>
                <c:pt idx="614">
                  <c:v>41.3</c:v>
                </c:pt>
                <c:pt idx="615">
                  <c:v>42.3</c:v>
                </c:pt>
                <c:pt idx="616">
                  <c:v>43.3</c:v>
                </c:pt>
                <c:pt idx="617">
                  <c:v>43.3</c:v>
                </c:pt>
                <c:pt idx="618">
                  <c:v>43.1</c:v>
                </c:pt>
                <c:pt idx="619">
                  <c:v>41.4</c:v>
                </c:pt>
                <c:pt idx="620">
                  <c:v>42.9</c:v>
                </c:pt>
                <c:pt idx="621">
                  <c:v>47.1</c:v>
                </c:pt>
                <c:pt idx="622">
                  <c:v>43.3</c:v>
                </c:pt>
                <c:pt idx="623">
                  <c:v>43.8</c:v>
                </c:pt>
                <c:pt idx="624">
                  <c:v>43.3</c:v>
                </c:pt>
                <c:pt idx="625">
                  <c:v>43.4</c:v>
                </c:pt>
                <c:pt idx="626">
                  <c:v>43.4</c:v>
                </c:pt>
                <c:pt idx="627">
                  <c:v>42.3</c:v>
                </c:pt>
                <c:pt idx="628">
                  <c:v>43.8</c:v>
                </c:pt>
                <c:pt idx="629">
                  <c:v>44</c:v>
                </c:pt>
                <c:pt idx="630">
                  <c:v>46.9</c:v>
                </c:pt>
                <c:pt idx="631">
                  <c:v>41.9</c:v>
                </c:pt>
                <c:pt idx="632">
                  <c:v>43.4</c:v>
                </c:pt>
                <c:pt idx="633">
                  <c:v>43.9</c:v>
                </c:pt>
                <c:pt idx="634">
                  <c:v>41.8</c:v>
                </c:pt>
                <c:pt idx="635">
                  <c:v>43.6</c:v>
                </c:pt>
                <c:pt idx="636">
                  <c:v>43.1</c:v>
                </c:pt>
                <c:pt idx="637">
                  <c:v>41.2</c:v>
                </c:pt>
                <c:pt idx="638">
                  <c:v>44.5</c:v>
                </c:pt>
                <c:pt idx="639">
                  <c:v>42.9</c:v>
                </c:pt>
                <c:pt idx="640">
                  <c:v>41.9</c:v>
                </c:pt>
                <c:pt idx="641">
                  <c:v>43.2</c:v>
                </c:pt>
                <c:pt idx="642">
                  <c:v>43.2</c:v>
                </c:pt>
                <c:pt idx="643">
                  <c:v>43.8</c:v>
                </c:pt>
                <c:pt idx="644">
                  <c:v>42.3</c:v>
                </c:pt>
                <c:pt idx="645">
                  <c:v>43.9</c:v>
                </c:pt>
                <c:pt idx="646">
                  <c:v>42.7</c:v>
                </c:pt>
                <c:pt idx="647">
                  <c:v>41.8</c:v>
                </c:pt>
                <c:pt idx="648">
                  <c:v>42.2</c:v>
                </c:pt>
                <c:pt idx="649">
                  <c:v>43.7</c:v>
                </c:pt>
                <c:pt idx="650">
                  <c:v>43.2</c:v>
                </c:pt>
                <c:pt idx="651">
                  <c:v>41.3</c:v>
                </c:pt>
                <c:pt idx="652">
                  <c:v>43.8</c:v>
                </c:pt>
                <c:pt idx="653">
                  <c:v>42.6</c:v>
                </c:pt>
                <c:pt idx="654">
                  <c:v>44.4</c:v>
                </c:pt>
                <c:pt idx="655">
                  <c:v>43.4</c:v>
                </c:pt>
                <c:pt idx="656">
                  <c:v>43.4</c:v>
                </c:pt>
                <c:pt idx="657">
                  <c:v>40.6</c:v>
                </c:pt>
                <c:pt idx="658">
                  <c:v>42.8</c:v>
                </c:pt>
                <c:pt idx="659">
                  <c:v>43.2</c:v>
                </c:pt>
                <c:pt idx="660">
                  <c:v>42</c:v>
                </c:pt>
                <c:pt idx="661">
                  <c:v>39.5</c:v>
                </c:pt>
                <c:pt idx="662">
                  <c:v>40.200000000000003</c:v>
                </c:pt>
                <c:pt idx="663">
                  <c:v>40.1</c:v>
                </c:pt>
                <c:pt idx="664">
                  <c:v>40.5</c:v>
                </c:pt>
                <c:pt idx="665">
                  <c:v>41.1</c:v>
                </c:pt>
                <c:pt idx="666">
                  <c:v>40</c:v>
                </c:pt>
                <c:pt idx="667">
                  <c:v>40.200000000000003</c:v>
                </c:pt>
                <c:pt idx="668">
                  <c:v>39</c:v>
                </c:pt>
                <c:pt idx="669">
                  <c:v>40.700000000000003</c:v>
                </c:pt>
                <c:pt idx="670">
                  <c:v>39.5</c:v>
                </c:pt>
                <c:pt idx="671">
                  <c:v>39</c:v>
                </c:pt>
                <c:pt idx="672">
                  <c:v>39.6</c:v>
                </c:pt>
                <c:pt idx="673">
                  <c:v>39.700000000000003</c:v>
                </c:pt>
                <c:pt idx="674">
                  <c:v>39.700000000000003</c:v>
                </c:pt>
                <c:pt idx="675">
                  <c:v>39.6</c:v>
                </c:pt>
                <c:pt idx="676">
                  <c:v>39.799999999999997</c:v>
                </c:pt>
                <c:pt idx="677">
                  <c:v>38.6</c:v>
                </c:pt>
                <c:pt idx="678">
                  <c:v>39.799999999999997</c:v>
                </c:pt>
                <c:pt idx="679">
                  <c:v>40.299999999999997</c:v>
                </c:pt>
                <c:pt idx="680">
                  <c:v>39.799999999999997</c:v>
                </c:pt>
                <c:pt idx="681">
                  <c:v>38.4</c:v>
                </c:pt>
                <c:pt idx="682">
                  <c:v>40.1</c:v>
                </c:pt>
                <c:pt idx="683">
                  <c:v>40.5</c:v>
                </c:pt>
                <c:pt idx="684">
                  <c:v>39.9</c:v>
                </c:pt>
                <c:pt idx="685">
                  <c:v>39</c:v>
                </c:pt>
                <c:pt idx="686">
                  <c:v>40.6</c:v>
                </c:pt>
                <c:pt idx="687">
                  <c:v>39.299999999999997</c:v>
                </c:pt>
                <c:pt idx="688">
                  <c:v>39.6</c:v>
                </c:pt>
                <c:pt idx="689">
                  <c:v>39.700000000000003</c:v>
                </c:pt>
                <c:pt idx="690">
                  <c:v>39.1</c:v>
                </c:pt>
                <c:pt idx="691">
                  <c:v>38.299999999999997</c:v>
                </c:pt>
                <c:pt idx="692">
                  <c:v>40.799999999999997</c:v>
                </c:pt>
                <c:pt idx="693">
                  <c:v>40.4</c:v>
                </c:pt>
                <c:pt idx="694">
                  <c:v>38.299999999999997</c:v>
                </c:pt>
                <c:pt idx="695">
                  <c:v>40.4</c:v>
                </c:pt>
                <c:pt idx="696">
                  <c:v>41.1</c:v>
                </c:pt>
                <c:pt idx="697">
                  <c:v>38.799999999999997</c:v>
                </c:pt>
                <c:pt idx="698">
                  <c:v>39.700000000000003</c:v>
                </c:pt>
                <c:pt idx="699">
                  <c:v>39.299999999999997</c:v>
                </c:pt>
                <c:pt idx="700">
                  <c:v>39.200000000000003</c:v>
                </c:pt>
                <c:pt idx="701">
                  <c:v>39.9</c:v>
                </c:pt>
                <c:pt idx="702">
                  <c:v>39.6</c:v>
                </c:pt>
                <c:pt idx="703">
                  <c:v>40.700000000000003</c:v>
                </c:pt>
                <c:pt idx="704">
                  <c:v>39.200000000000003</c:v>
                </c:pt>
                <c:pt idx="705">
                  <c:v>38.4</c:v>
                </c:pt>
                <c:pt idx="706">
                  <c:v>38.799999999999997</c:v>
                </c:pt>
                <c:pt idx="707">
                  <c:v>38.700000000000003</c:v>
                </c:pt>
                <c:pt idx="708">
                  <c:v>39.5</c:v>
                </c:pt>
                <c:pt idx="709">
                  <c:v>38.4</c:v>
                </c:pt>
                <c:pt idx="710">
                  <c:v>38.5</c:v>
                </c:pt>
                <c:pt idx="711">
                  <c:v>38.200000000000003</c:v>
                </c:pt>
                <c:pt idx="712">
                  <c:v>38.9</c:v>
                </c:pt>
                <c:pt idx="713">
                  <c:v>38.200000000000003</c:v>
                </c:pt>
                <c:pt idx="714">
                  <c:v>37.6</c:v>
                </c:pt>
                <c:pt idx="715">
                  <c:v>37.200000000000003</c:v>
                </c:pt>
                <c:pt idx="716">
                  <c:v>34.799999999999997</c:v>
                </c:pt>
                <c:pt idx="717">
                  <c:v>37.6</c:v>
                </c:pt>
                <c:pt idx="718">
                  <c:v>36.200000000000003</c:v>
                </c:pt>
                <c:pt idx="719">
                  <c:v>36.200000000000003</c:v>
                </c:pt>
                <c:pt idx="720">
                  <c:v>36.6</c:v>
                </c:pt>
                <c:pt idx="721">
                  <c:v>36.1</c:v>
                </c:pt>
                <c:pt idx="722">
                  <c:v>36.799999999999997</c:v>
                </c:pt>
                <c:pt idx="723">
                  <c:v>36</c:v>
                </c:pt>
                <c:pt idx="724">
                  <c:v>35.5</c:v>
                </c:pt>
                <c:pt idx="725">
                  <c:v>35.9</c:v>
                </c:pt>
                <c:pt idx="726">
                  <c:v>35.5</c:v>
                </c:pt>
                <c:pt idx="727">
                  <c:v>35.1</c:v>
                </c:pt>
                <c:pt idx="728">
                  <c:v>35</c:v>
                </c:pt>
                <c:pt idx="729">
                  <c:v>33.700000000000003</c:v>
                </c:pt>
                <c:pt idx="730">
                  <c:v>33.9</c:v>
                </c:pt>
                <c:pt idx="731">
                  <c:v>33.200000000000003</c:v>
                </c:pt>
                <c:pt idx="732">
                  <c:v>34.700000000000003</c:v>
                </c:pt>
                <c:pt idx="733">
                  <c:v>34.4</c:v>
                </c:pt>
                <c:pt idx="734">
                  <c:v>32.799999999999997</c:v>
                </c:pt>
                <c:pt idx="735">
                  <c:v>33.299999999999997</c:v>
                </c:pt>
                <c:pt idx="736">
                  <c:v>33.5</c:v>
                </c:pt>
                <c:pt idx="737">
                  <c:v>35.299999999999997</c:v>
                </c:pt>
                <c:pt idx="738">
                  <c:v>34</c:v>
                </c:pt>
                <c:pt idx="739">
                  <c:v>35</c:v>
                </c:pt>
                <c:pt idx="740">
                  <c:v>33.700000000000003</c:v>
                </c:pt>
                <c:pt idx="741">
                  <c:v>33.9</c:v>
                </c:pt>
                <c:pt idx="742">
                  <c:v>34.799999999999997</c:v>
                </c:pt>
                <c:pt idx="743">
                  <c:v>34.4</c:v>
                </c:pt>
                <c:pt idx="744">
                  <c:v>35.5</c:v>
                </c:pt>
                <c:pt idx="745">
                  <c:v>34</c:v>
                </c:pt>
                <c:pt idx="746">
                  <c:v>35.1</c:v>
                </c:pt>
                <c:pt idx="747">
                  <c:v>35.299999999999997</c:v>
                </c:pt>
                <c:pt idx="748">
                  <c:v>35.4</c:v>
                </c:pt>
                <c:pt idx="749">
                  <c:v>35</c:v>
                </c:pt>
                <c:pt idx="750">
                  <c:v>35.1</c:v>
                </c:pt>
                <c:pt idx="751">
                  <c:v>35.299999999999997</c:v>
                </c:pt>
                <c:pt idx="752">
                  <c:v>35</c:v>
                </c:pt>
                <c:pt idx="753">
                  <c:v>35.299999999999997</c:v>
                </c:pt>
                <c:pt idx="754">
                  <c:v>35.1</c:v>
                </c:pt>
                <c:pt idx="755">
                  <c:v>35.299999999999997</c:v>
                </c:pt>
                <c:pt idx="756">
                  <c:v>35.5</c:v>
                </c:pt>
                <c:pt idx="757">
                  <c:v>35.299999999999997</c:v>
                </c:pt>
                <c:pt idx="758">
                  <c:v>34.9</c:v>
                </c:pt>
                <c:pt idx="759">
                  <c:v>35.200000000000003</c:v>
                </c:pt>
                <c:pt idx="760">
                  <c:v>34.5</c:v>
                </c:pt>
                <c:pt idx="761">
                  <c:v>33</c:v>
                </c:pt>
                <c:pt idx="762">
                  <c:v>33.9</c:v>
                </c:pt>
                <c:pt idx="763">
                  <c:v>34</c:v>
                </c:pt>
                <c:pt idx="764">
                  <c:v>34.200000000000003</c:v>
                </c:pt>
                <c:pt idx="765">
                  <c:v>34.5</c:v>
                </c:pt>
                <c:pt idx="766">
                  <c:v>33.700000000000003</c:v>
                </c:pt>
                <c:pt idx="767">
                  <c:v>33.6</c:v>
                </c:pt>
                <c:pt idx="768">
                  <c:v>32.200000000000003</c:v>
                </c:pt>
                <c:pt idx="769">
                  <c:v>32.799999999999997</c:v>
                </c:pt>
                <c:pt idx="770">
                  <c:v>32.5</c:v>
                </c:pt>
                <c:pt idx="771">
                  <c:v>32</c:v>
                </c:pt>
                <c:pt idx="772">
                  <c:v>32.200000000000003</c:v>
                </c:pt>
                <c:pt idx="773">
                  <c:v>32.200000000000003</c:v>
                </c:pt>
                <c:pt idx="774">
                  <c:v>31.8</c:v>
                </c:pt>
                <c:pt idx="775">
                  <c:v>31.2</c:v>
                </c:pt>
                <c:pt idx="776">
                  <c:v>30.7</c:v>
                </c:pt>
                <c:pt idx="777">
                  <c:v>32</c:v>
                </c:pt>
                <c:pt idx="778">
                  <c:v>31.4</c:v>
                </c:pt>
                <c:pt idx="779">
                  <c:v>30.2</c:v>
                </c:pt>
                <c:pt idx="780">
                  <c:v>29.9</c:v>
                </c:pt>
                <c:pt idx="781">
                  <c:v>30.7</c:v>
                </c:pt>
                <c:pt idx="782">
                  <c:v>29.7</c:v>
                </c:pt>
                <c:pt idx="783">
                  <c:v>30.8</c:v>
                </c:pt>
                <c:pt idx="784">
                  <c:v>29.7</c:v>
                </c:pt>
                <c:pt idx="785">
                  <c:v>30.8</c:v>
                </c:pt>
                <c:pt idx="786">
                  <c:v>31.1</c:v>
                </c:pt>
                <c:pt idx="787">
                  <c:v>29.8</c:v>
                </c:pt>
                <c:pt idx="788">
                  <c:v>29.9</c:v>
                </c:pt>
                <c:pt idx="789">
                  <c:v>31</c:v>
                </c:pt>
                <c:pt idx="790">
                  <c:v>30.9</c:v>
                </c:pt>
                <c:pt idx="791">
                  <c:v>30.9</c:v>
                </c:pt>
                <c:pt idx="792">
                  <c:v>29.8</c:v>
                </c:pt>
                <c:pt idx="793">
                  <c:v>32.299999999999997</c:v>
                </c:pt>
                <c:pt idx="794">
                  <c:v>30.9</c:v>
                </c:pt>
                <c:pt idx="795">
                  <c:v>30.3</c:v>
                </c:pt>
                <c:pt idx="796">
                  <c:v>30.5</c:v>
                </c:pt>
                <c:pt idx="797">
                  <c:v>32.6</c:v>
                </c:pt>
                <c:pt idx="798">
                  <c:v>30.1</c:v>
                </c:pt>
                <c:pt idx="799">
                  <c:v>30.8</c:v>
                </c:pt>
                <c:pt idx="800">
                  <c:v>29.9</c:v>
                </c:pt>
                <c:pt idx="801">
                  <c:v>30.4</c:v>
                </c:pt>
                <c:pt idx="802">
                  <c:v>31.1</c:v>
                </c:pt>
                <c:pt idx="803">
                  <c:v>30.3</c:v>
                </c:pt>
                <c:pt idx="804">
                  <c:v>30.9</c:v>
                </c:pt>
                <c:pt idx="805">
                  <c:v>30.1</c:v>
                </c:pt>
                <c:pt idx="806">
                  <c:v>30.7</c:v>
                </c:pt>
                <c:pt idx="807">
                  <c:v>30.7</c:v>
                </c:pt>
                <c:pt idx="808">
                  <c:v>29.8</c:v>
                </c:pt>
                <c:pt idx="809">
                  <c:v>32.9</c:v>
                </c:pt>
                <c:pt idx="810">
                  <c:v>30.5</c:v>
                </c:pt>
                <c:pt idx="811">
                  <c:v>30.8</c:v>
                </c:pt>
                <c:pt idx="812">
                  <c:v>29.6</c:v>
                </c:pt>
                <c:pt idx="813">
                  <c:v>30.6</c:v>
                </c:pt>
                <c:pt idx="814">
                  <c:v>29.8</c:v>
                </c:pt>
                <c:pt idx="815">
                  <c:v>29.7</c:v>
                </c:pt>
                <c:pt idx="816">
                  <c:v>30.1</c:v>
                </c:pt>
                <c:pt idx="817">
                  <c:v>30.3</c:v>
                </c:pt>
                <c:pt idx="818">
                  <c:v>30.2</c:v>
                </c:pt>
                <c:pt idx="819">
                  <c:v>29.3</c:v>
                </c:pt>
                <c:pt idx="820">
                  <c:v>29.8</c:v>
                </c:pt>
                <c:pt idx="821">
                  <c:v>29.7</c:v>
                </c:pt>
                <c:pt idx="822">
                  <c:v>29</c:v>
                </c:pt>
                <c:pt idx="823">
                  <c:v>29.1</c:v>
                </c:pt>
                <c:pt idx="824">
                  <c:v>29.3</c:v>
                </c:pt>
                <c:pt idx="825">
                  <c:v>28</c:v>
                </c:pt>
              </c:numCache>
            </c:numRef>
          </c:yVal>
          <c:smooth val="0"/>
          <c:extLst>
            <c:ext xmlns:c16="http://schemas.microsoft.com/office/drawing/2014/chart" uri="{C3380CC4-5D6E-409C-BE32-E72D297353CC}">
              <c16:uniqueId val="{00000000-C5C7-4236-BEF1-BC153DD5CFE6}"/>
            </c:ext>
          </c:extLst>
        </c:ser>
        <c:ser>
          <c:idx val="0"/>
          <c:order val="1"/>
          <c:spPr>
            <a:ln w="25400" cap="rnd">
              <a:noFill/>
              <a:round/>
            </a:ln>
            <a:effectLst/>
          </c:spPr>
          <c:marker>
            <c:symbol val="circle"/>
            <c:size val="5"/>
            <c:spPr>
              <a:solidFill>
                <a:schemeClr val="accent1"/>
              </a:solidFill>
              <a:ln w="9525">
                <a:solidFill>
                  <a:schemeClr val="accent1"/>
                </a:solidFill>
              </a:ln>
              <a:effectLst/>
            </c:spPr>
          </c:marker>
          <c:trendline>
            <c:spPr>
              <a:ln w="19050" cap="rnd">
                <a:solidFill>
                  <a:srgbClr val="FF0000"/>
                </a:solidFill>
                <a:prstDash val="sysDot"/>
              </a:ln>
              <a:effectLst/>
            </c:spPr>
            <c:trendlineType val="poly"/>
            <c:order val="6"/>
            <c:dispRSqr val="0"/>
            <c:dispEq val="0"/>
          </c:trendline>
          <c:xVal>
            <c:numRef>
              <c:f>'C2SOUT2'!$P$3:$P$1305</c:f>
              <c:numCache>
                <c:formatCode>0.00</c:formatCode>
                <c:ptCount val="1303"/>
                <c:pt idx="0">
                  <c:v>-6.25E-2</c:v>
                </c:pt>
                <c:pt idx="1">
                  <c:v>-5.2083333333333329E-2</c:v>
                </c:pt>
                <c:pt idx="2">
                  <c:v>-4.1666666666666664E-2</c:v>
                </c:pt>
                <c:pt idx="3">
                  <c:v>-3.125E-2</c:v>
                </c:pt>
                <c:pt idx="4">
                  <c:v>-2.0833333333333332E-2</c:v>
                </c:pt>
                <c:pt idx="5">
                  <c:v>-1.0416666666666666E-2</c:v>
                </c:pt>
                <c:pt idx="6">
                  <c:v>0</c:v>
                </c:pt>
                <c:pt idx="7">
                  <c:v>1.0416666666666666E-2</c:v>
                </c:pt>
                <c:pt idx="8">
                  <c:v>2.0833333333333332E-2</c:v>
                </c:pt>
                <c:pt idx="9">
                  <c:v>3.125E-2</c:v>
                </c:pt>
                <c:pt idx="10">
                  <c:v>4.1666666666666664E-2</c:v>
                </c:pt>
                <c:pt idx="11">
                  <c:v>5.2083333333333329E-2</c:v>
                </c:pt>
                <c:pt idx="12">
                  <c:v>6.25E-2</c:v>
                </c:pt>
                <c:pt idx="13">
                  <c:v>7.2916666666666657E-2</c:v>
                </c:pt>
                <c:pt idx="14">
                  <c:v>8.3333333333333329E-2</c:v>
                </c:pt>
                <c:pt idx="15">
                  <c:v>9.375E-2</c:v>
                </c:pt>
                <c:pt idx="16">
                  <c:v>0.10416666666666666</c:v>
                </c:pt>
                <c:pt idx="17">
                  <c:v>0.11458333333333333</c:v>
                </c:pt>
                <c:pt idx="18">
                  <c:v>0.125</c:v>
                </c:pt>
                <c:pt idx="19">
                  <c:v>0.13541666666666666</c:v>
                </c:pt>
                <c:pt idx="20">
                  <c:v>0.14583333333333331</c:v>
                </c:pt>
                <c:pt idx="21">
                  <c:v>0.15625</c:v>
                </c:pt>
                <c:pt idx="22">
                  <c:v>0.16666666666666666</c:v>
                </c:pt>
                <c:pt idx="23">
                  <c:v>0.17708333333333331</c:v>
                </c:pt>
                <c:pt idx="24">
                  <c:v>0.1875</c:v>
                </c:pt>
                <c:pt idx="25">
                  <c:v>0.19791666666666666</c:v>
                </c:pt>
                <c:pt idx="26">
                  <c:v>0.20833333333333331</c:v>
                </c:pt>
                <c:pt idx="27">
                  <c:v>0.21875</c:v>
                </c:pt>
                <c:pt idx="28">
                  <c:v>0.22916666666666666</c:v>
                </c:pt>
                <c:pt idx="29">
                  <c:v>0.23958333333333331</c:v>
                </c:pt>
                <c:pt idx="30">
                  <c:v>0.25</c:v>
                </c:pt>
                <c:pt idx="31">
                  <c:v>0.26041666666666663</c:v>
                </c:pt>
                <c:pt idx="32">
                  <c:v>0.27083333333333331</c:v>
                </c:pt>
                <c:pt idx="33">
                  <c:v>0.28125</c:v>
                </c:pt>
                <c:pt idx="34">
                  <c:v>0.29166666666666663</c:v>
                </c:pt>
                <c:pt idx="35">
                  <c:v>0.30208333333333331</c:v>
                </c:pt>
                <c:pt idx="36">
                  <c:v>0.3125</c:v>
                </c:pt>
                <c:pt idx="37">
                  <c:v>0.32291666666666663</c:v>
                </c:pt>
                <c:pt idx="38">
                  <c:v>0.33333333333333331</c:v>
                </c:pt>
                <c:pt idx="39">
                  <c:v>0.34375</c:v>
                </c:pt>
                <c:pt idx="40">
                  <c:v>0.35416666666666663</c:v>
                </c:pt>
                <c:pt idx="41">
                  <c:v>0.36458333333333331</c:v>
                </c:pt>
                <c:pt idx="42">
                  <c:v>0.375</c:v>
                </c:pt>
                <c:pt idx="43">
                  <c:v>0.38541666666666663</c:v>
                </c:pt>
                <c:pt idx="44">
                  <c:v>0.39583333333333331</c:v>
                </c:pt>
                <c:pt idx="45">
                  <c:v>0.40625</c:v>
                </c:pt>
                <c:pt idx="46">
                  <c:v>0.41666666666666663</c:v>
                </c:pt>
                <c:pt idx="47">
                  <c:v>0.42708333333333331</c:v>
                </c:pt>
                <c:pt idx="48">
                  <c:v>0.4375</c:v>
                </c:pt>
                <c:pt idx="49">
                  <c:v>0.44791666666666663</c:v>
                </c:pt>
                <c:pt idx="50">
                  <c:v>0.45833333333333331</c:v>
                </c:pt>
                <c:pt idx="51">
                  <c:v>0.46875</c:v>
                </c:pt>
                <c:pt idx="52">
                  <c:v>0.47916666666666663</c:v>
                </c:pt>
                <c:pt idx="53">
                  <c:v>0.48958333333333331</c:v>
                </c:pt>
                <c:pt idx="54">
                  <c:v>0.5</c:v>
                </c:pt>
                <c:pt idx="55">
                  <c:v>0.51041666666666663</c:v>
                </c:pt>
                <c:pt idx="56">
                  <c:v>0.52083333333333326</c:v>
                </c:pt>
                <c:pt idx="57">
                  <c:v>0.53125</c:v>
                </c:pt>
                <c:pt idx="58">
                  <c:v>0.54166666666666663</c:v>
                </c:pt>
                <c:pt idx="59">
                  <c:v>0.55208333333333326</c:v>
                </c:pt>
                <c:pt idx="60">
                  <c:v>0.5625</c:v>
                </c:pt>
                <c:pt idx="61">
                  <c:v>0.57291666666666663</c:v>
                </c:pt>
                <c:pt idx="62">
                  <c:v>0.58333333333333326</c:v>
                </c:pt>
                <c:pt idx="63">
                  <c:v>0.59375</c:v>
                </c:pt>
                <c:pt idx="64">
                  <c:v>0.60416666666666663</c:v>
                </c:pt>
                <c:pt idx="65">
                  <c:v>0.61458333333333326</c:v>
                </c:pt>
                <c:pt idx="66">
                  <c:v>0.625</c:v>
                </c:pt>
                <c:pt idx="67">
                  <c:v>0.63541666666666663</c:v>
                </c:pt>
                <c:pt idx="68">
                  <c:v>0.64583333333333326</c:v>
                </c:pt>
                <c:pt idx="69">
                  <c:v>0.65625</c:v>
                </c:pt>
                <c:pt idx="70">
                  <c:v>0.66666666666666663</c:v>
                </c:pt>
                <c:pt idx="71">
                  <c:v>0.67708333333333326</c:v>
                </c:pt>
                <c:pt idx="72">
                  <c:v>0.6875</c:v>
                </c:pt>
                <c:pt idx="73">
                  <c:v>0.69791666666666663</c:v>
                </c:pt>
                <c:pt idx="74">
                  <c:v>0.70833333333333326</c:v>
                </c:pt>
                <c:pt idx="75">
                  <c:v>0.71875</c:v>
                </c:pt>
                <c:pt idx="76">
                  <c:v>0.72916666666666663</c:v>
                </c:pt>
                <c:pt idx="77">
                  <c:v>0.73958333333333326</c:v>
                </c:pt>
                <c:pt idx="78">
                  <c:v>0.75</c:v>
                </c:pt>
                <c:pt idx="79">
                  <c:v>0.76041666666666663</c:v>
                </c:pt>
                <c:pt idx="80">
                  <c:v>0.77083333333333326</c:v>
                </c:pt>
                <c:pt idx="81">
                  <c:v>0.78125</c:v>
                </c:pt>
                <c:pt idx="82">
                  <c:v>0.79166666666666663</c:v>
                </c:pt>
                <c:pt idx="83">
                  <c:v>0.80208333333333326</c:v>
                </c:pt>
                <c:pt idx="84">
                  <c:v>0.8125</c:v>
                </c:pt>
                <c:pt idx="85">
                  <c:v>0.82291666666666663</c:v>
                </c:pt>
                <c:pt idx="86">
                  <c:v>0.83333333333333326</c:v>
                </c:pt>
                <c:pt idx="87">
                  <c:v>0.84375</c:v>
                </c:pt>
                <c:pt idx="88">
                  <c:v>0.85416666666666663</c:v>
                </c:pt>
                <c:pt idx="89">
                  <c:v>0.86458333333333326</c:v>
                </c:pt>
                <c:pt idx="90">
                  <c:v>0.875</c:v>
                </c:pt>
                <c:pt idx="91">
                  <c:v>0.88541666666666663</c:v>
                </c:pt>
                <c:pt idx="92">
                  <c:v>0.89583333333333326</c:v>
                </c:pt>
                <c:pt idx="93">
                  <c:v>0.90625</c:v>
                </c:pt>
                <c:pt idx="94">
                  <c:v>0.91666666666666663</c:v>
                </c:pt>
                <c:pt idx="95">
                  <c:v>0.92708333333333326</c:v>
                </c:pt>
                <c:pt idx="96">
                  <c:v>0.9375</c:v>
                </c:pt>
                <c:pt idx="97">
                  <c:v>0.94791666666666663</c:v>
                </c:pt>
                <c:pt idx="98">
                  <c:v>0.95833333333333326</c:v>
                </c:pt>
                <c:pt idx="99">
                  <c:v>0.96875</c:v>
                </c:pt>
                <c:pt idx="100">
                  <c:v>0.97916666666666663</c:v>
                </c:pt>
                <c:pt idx="101">
                  <c:v>0.98958333333333326</c:v>
                </c:pt>
                <c:pt idx="102">
                  <c:v>1</c:v>
                </c:pt>
                <c:pt idx="103">
                  <c:v>1.0104166666666665</c:v>
                </c:pt>
                <c:pt idx="104">
                  <c:v>1.0208333333333333</c:v>
                </c:pt>
                <c:pt idx="105">
                  <c:v>1.03125</c:v>
                </c:pt>
                <c:pt idx="106">
                  <c:v>1.0416666666666665</c:v>
                </c:pt>
                <c:pt idx="107">
                  <c:v>1.0520833333333333</c:v>
                </c:pt>
                <c:pt idx="108">
                  <c:v>1.0625</c:v>
                </c:pt>
                <c:pt idx="109">
                  <c:v>1.0729166666666665</c:v>
                </c:pt>
                <c:pt idx="110">
                  <c:v>1.0833333333333333</c:v>
                </c:pt>
                <c:pt idx="111">
                  <c:v>1.09375</c:v>
                </c:pt>
                <c:pt idx="112">
                  <c:v>1.1041666666666665</c:v>
                </c:pt>
                <c:pt idx="113">
                  <c:v>1.1145833333333333</c:v>
                </c:pt>
                <c:pt idx="114">
                  <c:v>1.125</c:v>
                </c:pt>
                <c:pt idx="115">
                  <c:v>1.1354166666666665</c:v>
                </c:pt>
                <c:pt idx="116">
                  <c:v>1.1458333333333333</c:v>
                </c:pt>
                <c:pt idx="117">
                  <c:v>1.15625</c:v>
                </c:pt>
                <c:pt idx="118">
                  <c:v>1.1666666666666665</c:v>
                </c:pt>
                <c:pt idx="119">
                  <c:v>1.1770833333333333</c:v>
                </c:pt>
                <c:pt idx="120">
                  <c:v>1.1875</c:v>
                </c:pt>
                <c:pt idx="121">
                  <c:v>1.1979166666666665</c:v>
                </c:pt>
                <c:pt idx="122">
                  <c:v>1.2083333333333333</c:v>
                </c:pt>
                <c:pt idx="123">
                  <c:v>1.21875</c:v>
                </c:pt>
                <c:pt idx="124">
                  <c:v>1.2291666666666665</c:v>
                </c:pt>
                <c:pt idx="125">
                  <c:v>1.2395833333333333</c:v>
                </c:pt>
                <c:pt idx="126">
                  <c:v>1.25</c:v>
                </c:pt>
                <c:pt idx="127">
                  <c:v>1.2604166666666665</c:v>
                </c:pt>
                <c:pt idx="128">
                  <c:v>1.2708333333333333</c:v>
                </c:pt>
                <c:pt idx="129">
                  <c:v>1.28125</c:v>
                </c:pt>
                <c:pt idx="130">
                  <c:v>1.2916666666666665</c:v>
                </c:pt>
                <c:pt idx="131">
                  <c:v>1.3020833333333333</c:v>
                </c:pt>
                <c:pt idx="132">
                  <c:v>1.3125</c:v>
                </c:pt>
                <c:pt idx="133">
                  <c:v>1.3229166666666665</c:v>
                </c:pt>
                <c:pt idx="134">
                  <c:v>1.3333333333333333</c:v>
                </c:pt>
                <c:pt idx="135">
                  <c:v>1.34375</c:v>
                </c:pt>
                <c:pt idx="136">
                  <c:v>1.3541666666666665</c:v>
                </c:pt>
                <c:pt idx="137">
                  <c:v>1.3645833333333333</c:v>
                </c:pt>
                <c:pt idx="138">
                  <c:v>1.375</c:v>
                </c:pt>
                <c:pt idx="139">
                  <c:v>1.3854166666666665</c:v>
                </c:pt>
                <c:pt idx="140">
                  <c:v>1.3958333333333333</c:v>
                </c:pt>
                <c:pt idx="141">
                  <c:v>1.40625</c:v>
                </c:pt>
                <c:pt idx="142">
                  <c:v>1.4166666666666665</c:v>
                </c:pt>
                <c:pt idx="143">
                  <c:v>1.4270833333333333</c:v>
                </c:pt>
                <c:pt idx="144">
                  <c:v>1.4375</c:v>
                </c:pt>
                <c:pt idx="145">
                  <c:v>1.4479166666666665</c:v>
                </c:pt>
                <c:pt idx="146">
                  <c:v>1.4583333333333333</c:v>
                </c:pt>
                <c:pt idx="147">
                  <c:v>1.46875</c:v>
                </c:pt>
                <c:pt idx="148">
                  <c:v>1.4791666666666665</c:v>
                </c:pt>
                <c:pt idx="149">
                  <c:v>1.4895833333333333</c:v>
                </c:pt>
                <c:pt idx="150">
                  <c:v>1.5</c:v>
                </c:pt>
                <c:pt idx="151">
                  <c:v>1.5104166666666665</c:v>
                </c:pt>
                <c:pt idx="152">
                  <c:v>1.5208333333333333</c:v>
                </c:pt>
                <c:pt idx="153">
                  <c:v>1.53125</c:v>
                </c:pt>
                <c:pt idx="154">
                  <c:v>1.5416666666666665</c:v>
                </c:pt>
                <c:pt idx="155">
                  <c:v>1.5520833333333333</c:v>
                </c:pt>
                <c:pt idx="156">
                  <c:v>1.5625</c:v>
                </c:pt>
                <c:pt idx="157">
                  <c:v>1.5729166666666665</c:v>
                </c:pt>
                <c:pt idx="158">
                  <c:v>1.5833333333333333</c:v>
                </c:pt>
                <c:pt idx="159">
                  <c:v>1.59375</c:v>
                </c:pt>
                <c:pt idx="160">
                  <c:v>1.6041666666666665</c:v>
                </c:pt>
                <c:pt idx="161">
                  <c:v>1.6145833333333333</c:v>
                </c:pt>
                <c:pt idx="162">
                  <c:v>1.625</c:v>
                </c:pt>
                <c:pt idx="163">
                  <c:v>1.6354166666666665</c:v>
                </c:pt>
                <c:pt idx="164">
                  <c:v>1.6458333333333333</c:v>
                </c:pt>
                <c:pt idx="165">
                  <c:v>1.65625</c:v>
                </c:pt>
                <c:pt idx="166">
                  <c:v>1.6666666666666665</c:v>
                </c:pt>
                <c:pt idx="167">
                  <c:v>1.6770833333333333</c:v>
                </c:pt>
                <c:pt idx="168">
                  <c:v>1.6875</c:v>
                </c:pt>
                <c:pt idx="169">
                  <c:v>1.6979166666666665</c:v>
                </c:pt>
                <c:pt idx="170">
                  <c:v>1.7083333333333333</c:v>
                </c:pt>
                <c:pt idx="171">
                  <c:v>1.71875</c:v>
                </c:pt>
                <c:pt idx="172">
                  <c:v>1.7291666666666665</c:v>
                </c:pt>
                <c:pt idx="173">
                  <c:v>1.7395833333333333</c:v>
                </c:pt>
                <c:pt idx="174">
                  <c:v>1.75</c:v>
                </c:pt>
                <c:pt idx="175">
                  <c:v>1.7604166666666665</c:v>
                </c:pt>
                <c:pt idx="176">
                  <c:v>1.7708333333333333</c:v>
                </c:pt>
                <c:pt idx="177">
                  <c:v>1.78125</c:v>
                </c:pt>
                <c:pt idx="178">
                  <c:v>1.7916666666666665</c:v>
                </c:pt>
                <c:pt idx="179">
                  <c:v>1.8020833333333333</c:v>
                </c:pt>
                <c:pt idx="180">
                  <c:v>1.8125</c:v>
                </c:pt>
                <c:pt idx="181">
                  <c:v>1.8229166666666665</c:v>
                </c:pt>
                <c:pt idx="182">
                  <c:v>1.8333333333333333</c:v>
                </c:pt>
                <c:pt idx="183">
                  <c:v>1.84375</c:v>
                </c:pt>
                <c:pt idx="184">
                  <c:v>1.8541666666666665</c:v>
                </c:pt>
                <c:pt idx="185">
                  <c:v>1.8645833333333333</c:v>
                </c:pt>
                <c:pt idx="186">
                  <c:v>1.875</c:v>
                </c:pt>
                <c:pt idx="187">
                  <c:v>1.8854166666666665</c:v>
                </c:pt>
                <c:pt idx="188">
                  <c:v>1.8958333333333333</c:v>
                </c:pt>
                <c:pt idx="189">
                  <c:v>1.90625</c:v>
                </c:pt>
                <c:pt idx="190">
                  <c:v>1.9166666666666665</c:v>
                </c:pt>
                <c:pt idx="191">
                  <c:v>1.9375</c:v>
                </c:pt>
                <c:pt idx="192">
                  <c:v>1.9479166666666665</c:v>
                </c:pt>
                <c:pt idx="193">
                  <c:v>1.9895833333333333</c:v>
                </c:pt>
                <c:pt idx="194">
                  <c:v>2</c:v>
                </c:pt>
                <c:pt idx="195">
                  <c:v>2.0104166666666665</c:v>
                </c:pt>
                <c:pt idx="196">
                  <c:v>2.020833333333333</c:v>
                </c:pt>
                <c:pt idx="197">
                  <c:v>2.03125</c:v>
                </c:pt>
                <c:pt idx="198">
                  <c:v>2.0416666666666665</c:v>
                </c:pt>
                <c:pt idx="199">
                  <c:v>2.052083333333333</c:v>
                </c:pt>
                <c:pt idx="200">
                  <c:v>2.0625</c:v>
                </c:pt>
                <c:pt idx="201">
                  <c:v>2.0729166666666665</c:v>
                </c:pt>
                <c:pt idx="202">
                  <c:v>2.083333333333333</c:v>
                </c:pt>
                <c:pt idx="203">
                  <c:v>2.09375</c:v>
                </c:pt>
                <c:pt idx="204">
                  <c:v>2.1041666666666665</c:v>
                </c:pt>
                <c:pt idx="205">
                  <c:v>2.114583333333333</c:v>
                </c:pt>
                <c:pt idx="206">
                  <c:v>2.125</c:v>
                </c:pt>
                <c:pt idx="207">
                  <c:v>2.1354166666666665</c:v>
                </c:pt>
                <c:pt idx="208">
                  <c:v>2.145833333333333</c:v>
                </c:pt>
                <c:pt idx="209">
                  <c:v>2.15625</c:v>
                </c:pt>
                <c:pt idx="210">
                  <c:v>2.1666666666666665</c:v>
                </c:pt>
                <c:pt idx="211">
                  <c:v>2.177083333333333</c:v>
                </c:pt>
                <c:pt idx="212">
                  <c:v>2.1875</c:v>
                </c:pt>
                <c:pt idx="213">
                  <c:v>2.1979166666666665</c:v>
                </c:pt>
                <c:pt idx="214">
                  <c:v>2.208333333333333</c:v>
                </c:pt>
                <c:pt idx="215">
                  <c:v>2.21875</c:v>
                </c:pt>
                <c:pt idx="216">
                  <c:v>2.2291666666666665</c:v>
                </c:pt>
                <c:pt idx="217">
                  <c:v>2.239583333333333</c:v>
                </c:pt>
                <c:pt idx="218">
                  <c:v>2.25</c:v>
                </c:pt>
                <c:pt idx="219">
                  <c:v>2.2604166666666665</c:v>
                </c:pt>
                <c:pt idx="220">
                  <c:v>2.270833333333333</c:v>
                </c:pt>
                <c:pt idx="221">
                  <c:v>2.28125</c:v>
                </c:pt>
                <c:pt idx="222">
                  <c:v>2.2916666666666665</c:v>
                </c:pt>
                <c:pt idx="223">
                  <c:v>2.302083333333333</c:v>
                </c:pt>
                <c:pt idx="224">
                  <c:v>2.3125</c:v>
                </c:pt>
                <c:pt idx="225">
                  <c:v>2.3229166666666665</c:v>
                </c:pt>
                <c:pt idx="226">
                  <c:v>2.333333333333333</c:v>
                </c:pt>
                <c:pt idx="227">
                  <c:v>2.34375</c:v>
                </c:pt>
                <c:pt idx="228">
                  <c:v>2.3541666666666665</c:v>
                </c:pt>
                <c:pt idx="229">
                  <c:v>2.364583333333333</c:v>
                </c:pt>
                <c:pt idx="230">
                  <c:v>2.375</c:v>
                </c:pt>
                <c:pt idx="231">
                  <c:v>2.3854166666666665</c:v>
                </c:pt>
                <c:pt idx="232">
                  <c:v>2.395833333333333</c:v>
                </c:pt>
                <c:pt idx="233">
                  <c:v>2.40625</c:v>
                </c:pt>
                <c:pt idx="234">
                  <c:v>2.4166666666666665</c:v>
                </c:pt>
                <c:pt idx="235">
                  <c:v>2.427083333333333</c:v>
                </c:pt>
                <c:pt idx="236">
                  <c:v>2.4375</c:v>
                </c:pt>
                <c:pt idx="237">
                  <c:v>2.4479166666666665</c:v>
                </c:pt>
                <c:pt idx="238">
                  <c:v>2.458333333333333</c:v>
                </c:pt>
                <c:pt idx="239">
                  <c:v>2.46875</c:v>
                </c:pt>
                <c:pt idx="240">
                  <c:v>2.4791666666666665</c:v>
                </c:pt>
                <c:pt idx="241">
                  <c:v>2.489583333333333</c:v>
                </c:pt>
                <c:pt idx="242">
                  <c:v>2.5</c:v>
                </c:pt>
                <c:pt idx="243">
                  <c:v>2.5104166666666665</c:v>
                </c:pt>
                <c:pt idx="244">
                  <c:v>2.520833333333333</c:v>
                </c:pt>
                <c:pt idx="245">
                  <c:v>2.53125</c:v>
                </c:pt>
                <c:pt idx="246">
                  <c:v>2.5416666666666665</c:v>
                </c:pt>
                <c:pt idx="247">
                  <c:v>2.552083333333333</c:v>
                </c:pt>
                <c:pt idx="248">
                  <c:v>2.5625</c:v>
                </c:pt>
                <c:pt idx="249">
                  <c:v>2.5729166666666665</c:v>
                </c:pt>
                <c:pt idx="250">
                  <c:v>2.583333333333333</c:v>
                </c:pt>
                <c:pt idx="251">
                  <c:v>2.59375</c:v>
                </c:pt>
                <c:pt idx="252">
                  <c:v>2.6041666666666665</c:v>
                </c:pt>
                <c:pt idx="253">
                  <c:v>2.614583333333333</c:v>
                </c:pt>
                <c:pt idx="254">
                  <c:v>2.625</c:v>
                </c:pt>
                <c:pt idx="255">
                  <c:v>2.9479166666666665</c:v>
                </c:pt>
                <c:pt idx="256">
                  <c:v>2.958333333333333</c:v>
                </c:pt>
                <c:pt idx="257">
                  <c:v>2.96875</c:v>
                </c:pt>
                <c:pt idx="258">
                  <c:v>2.9791666666666665</c:v>
                </c:pt>
                <c:pt idx="259">
                  <c:v>2.989583333333333</c:v>
                </c:pt>
                <c:pt idx="260">
                  <c:v>3</c:v>
                </c:pt>
                <c:pt idx="261">
                  <c:v>3.0104166666666665</c:v>
                </c:pt>
                <c:pt idx="262">
                  <c:v>3.020833333333333</c:v>
                </c:pt>
                <c:pt idx="263">
                  <c:v>3.03125</c:v>
                </c:pt>
                <c:pt idx="264">
                  <c:v>3.0416666666666665</c:v>
                </c:pt>
                <c:pt idx="265">
                  <c:v>3.052083333333333</c:v>
                </c:pt>
                <c:pt idx="266">
                  <c:v>3.0625</c:v>
                </c:pt>
                <c:pt idx="267">
                  <c:v>3.0729166666666665</c:v>
                </c:pt>
                <c:pt idx="268">
                  <c:v>3.083333333333333</c:v>
                </c:pt>
                <c:pt idx="269">
                  <c:v>3.09375</c:v>
                </c:pt>
                <c:pt idx="270">
                  <c:v>3.1041666666666665</c:v>
                </c:pt>
                <c:pt idx="271">
                  <c:v>3.114583333333333</c:v>
                </c:pt>
                <c:pt idx="272">
                  <c:v>3.125</c:v>
                </c:pt>
                <c:pt idx="273">
                  <c:v>3.1354166666666665</c:v>
                </c:pt>
                <c:pt idx="274">
                  <c:v>3.145833333333333</c:v>
                </c:pt>
                <c:pt idx="275">
                  <c:v>3.15625</c:v>
                </c:pt>
                <c:pt idx="276">
                  <c:v>3.1666666666666665</c:v>
                </c:pt>
                <c:pt idx="277">
                  <c:v>3.177083333333333</c:v>
                </c:pt>
                <c:pt idx="278">
                  <c:v>3.1875</c:v>
                </c:pt>
                <c:pt idx="279">
                  <c:v>3.1979166666666665</c:v>
                </c:pt>
                <c:pt idx="280">
                  <c:v>3.208333333333333</c:v>
                </c:pt>
                <c:pt idx="281">
                  <c:v>3.21875</c:v>
                </c:pt>
                <c:pt idx="282">
                  <c:v>3.2291666666666665</c:v>
                </c:pt>
                <c:pt idx="283">
                  <c:v>3.239583333333333</c:v>
                </c:pt>
                <c:pt idx="284">
                  <c:v>3.25</c:v>
                </c:pt>
                <c:pt idx="285">
                  <c:v>3.2604166666666665</c:v>
                </c:pt>
                <c:pt idx="286">
                  <c:v>3.270833333333333</c:v>
                </c:pt>
                <c:pt idx="287">
                  <c:v>3.28125</c:v>
                </c:pt>
                <c:pt idx="288">
                  <c:v>3.2916666666666665</c:v>
                </c:pt>
                <c:pt idx="289">
                  <c:v>3.302083333333333</c:v>
                </c:pt>
                <c:pt idx="290">
                  <c:v>3.3125</c:v>
                </c:pt>
                <c:pt idx="291">
                  <c:v>3.3229166666666665</c:v>
                </c:pt>
                <c:pt idx="292">
                  <c:v>3.333333333333333</c:v>
                </c:pt>
                <c:pt idx="293">
                  <c:v>3.34375</c:v>
                </c:pt>
                <c:pt idx="294">
                  <c:v>3.3541666666666665</c:v>
                </c:pt>
                <c:pt idx="295">
                  <c:v>3.364583333333333</c:v>
                </c:pt>
                <c:pt idx="296">
                  <c:v>3.375</c:v>
                </c:pt>
                <c:pt idx="297">
                  <c:v>3.3854166666666665</c:v>
                </c:pt>
                <c:pt idx="298">
                  <c:v>3.395833333333333</c:v>
                </c:pt>
                <c:pt idx="299">
                  <c:v>3.40625</c:v>
                </c:pt>
                <c:pt idx="300">
                  <c:v>3.4166666666666665</c:v>
                </c:pt>
                <c:pt idx="301">
                  <c:v>3.427083333333333</c:v>
                </c:pt>
                <c:pt idx="302">
                  <c:v>3.4375</c:v>
                </c:pt>
                <c:pt idx="303">
                  <c:v>3.4479166666666665</c:v>
                </c:pt>
                <c:pt idx="304">
                  <c:v>3.458333333333333</c:v>
                </c:pt>
                <c:pt idx="305">
                  <c:v>3.46875</c:v>
                </c:pt>
                <c:pt idx="306">
                  <c:v>3.4791666666666665</c:v>
                </c:pt>
                <c:pt idx="307">
                  <c:v>3.489583333333333</c:v>
                </c:pt>
                <c:pt idx="308">
                  <c:v>3.5</c:v>
                </c:pt>
                <c:pt idx="309">
                  <c:v>3.5104166666666665</c:v>
                </c:pt>
                <c:pt idx="310">
                  <c:v>3.520833333333333</c:v>
                </c:pt>
                <c:pt idx="311">
                  <c:v>3.53125</c:v>
                </c:pt>
                <c:pt idx="312">
                  <c:v>3.5416666666666665</c:v>
                </c:pt>
                <c:pt idx="313">
                  <c:v>3.552083333333333</c:v>
                </c:pt>
                <c:pt idx="314">
                  <c:v>3.5625</c:v>
                </c:pt>
                <c:pt idx="315">
                  <c:v>3.5729166666666665</c:v>
                </c:pt>
                <c:pt idx="316">
                  <c:v>3.583333333333333</c:v>
                </c:pt>
                <c:pt idx="317">
                  <c:v>3.59375</c:v>
                </c:pt>
                <c:pt idx="318">
                  <c:v>3.6041666666666665</c:v>
                </c:pt>
                <c:pt idx="319">
                  <c:v>3.614583333333333</c:v>
                </c:pt>
                <c:pt idx="320">
                  <c:v>3.625</c:v>
                </c:pt>
                <c:pt idx="321">
                  <c:v>3.6354166666666665</c:v>
                </c:pt>
                <c:pt idx="322">
                  <c:v>3.645833333333333</c:v>
                </c:pt>
                <c:pt idx="323">
                  <c:v>3.65625</c:v>
                </c:pt>
                <c:pt idx="324">
                  <c:v>3.6666666666666665</c:v>
                </c:pt>
                <c:pt idx="325">
                  <c:v>3.677083333333333</c:v>
                </c:pt>
                <c:pt idx="326">
                  <c:v>3.6875</c:v>
                </c:pt>
                <c:pt idx="327">
                  <c:v>3.6979166666666665</c:v>
                </c:pt>
                <c:pt idx="328">
                  <c:v>3.708333333333333</c:v>
                </c:pt>
                <c:pt idx="329">
                  <c:v>3.71875</c:v>
                </c:pt>
                <c:pt idx="330">
                  <c:v>3.7291666666666665</c:v>
                </c:pt>
                <c:pt idx="331">
                  <c:v>3.739583333333333</c:v>
                </c:pt>
                <c:pt idx="332">
                  <c:v>3.75</c:v>
                </c:pt>
                <c:pt idx="333">
                  <c:v>3.7604166666666665</c:v>
                </c:pt>
                <c:pt idx="334">
                  <c:v>3.770833333333333</c:v>
                </c:pt>
                <c:pt idx="335">
                  <c:v>3.78125</c:v>
                </c:pt>
                <c:pt idx="336">
                  <c:v>3.7916666666666665</c:v>
                </c:pt>
                <c:pt idx="337">
                  <c:v>3.802083333333333</c:v>
                </c:pt>
                <c:pt idx="338">
                  <c:v>3.8125</c:v>
                </c:pt>
                <c:pt idx="339">
                  <c:v>3.8229166666666665</c:v>
                </c:pt>
                <c:pt idx="340">
                  <c:v>3.833333333333333</c:v>
                </c:pt>
                <c:pt idx="341">
                  <c:v>3.84375</c:v>
                </c:pt>
                <c:pt idx="342">
                  <c:v>3.8541666666666665</c:v>
                </c:pt>
                <c:pt idx="343">
                  <c:v>3.864583333333333</c:v>
                </c:pt>
                <c:pt idx="344">
                  <c:v>3.875</c:v>
                </c:pt>
                <c:pt idx="345">
                  <c:v>3.8854166666666665</c:v>
                </c:pt>
                <c:pt idx="346">
                  <c:v>3.895833333333333</c:v>
                </c:pt>
                <c:pt idx="347">
                  <c:v>3.90625</c:v>
                </c:pt>
                <c:pt idx="348">
                  <c:v>3.9166666666666665</c:v>
                </c:pt>
                <c:pt idx="349">
                  <c:v>3.927083333333333</c:v>
                </c:pt>
                <c:pt idx="350">
                  <c:v>3.9375</c:v>
                </c:pt>
                <c:pt idx="351">
                  <c:v>3.9479166666666665</c:v>
                </c:pt>
                <c:pt idx="352">
                  <c:v>3.958333333333333</c:v>
                </c:pt>
                <c:pt idx="353">
                  <c:v>3.96875</c:v>
                </c:pt>
                <c:pt idx="354">
                  <c:v>3.9791666666666665</c:v>
                </c:pt>
                <c:pt idx="355">
                  <c:v>3.989583333333333</c:v>
                </c:pt>
                <c:pt idx="356">
                  <c:v>4</c:v>
                </c:pt>
                <c:pt idx="357">
                  <c:v>4.0104166666666661</c:v>
                </c:pt>
                <c:pt idx="358">
                  <c:v>4.020833333333333</c:v>
                </c:pt>
                <c:pt idx="359">
                  <c:v>4.03125</c:v>
                </c:pt>
                <c:pt idx="360">
                  <c:v>4.0416666666666661</c:v>
                </c:pt>
                <c:pt idx="361">
                  <c:v>4.052083333333333</c:v>
                </c:pt>
                <c:pt idx="362">
                  <c:v>4.0625</c:v>
                </c:pt>
                <c:pt idx="363">
                  <c:v>4.0729166666666661</c:v>
                </c:pt>
                <c:pt idx="364">
                  <c:v>4.083333333333333</c:v>
                </c:pt>
                <c:pt idx="365">
                  <c:v>4.09375</c:v>
                </c:pt>
                <c:pt idx="366">
                  <c:v>4.1041666666666661</c:v>
                </c:pt>
                <c:pt idx="367">
                  <c:v>4.114583333333333</c:v>
                </c:pt>
                <c:pt idx="368">
                  <c:v>4.125</c:v>
                </c:pt>
                <c:pt idx="369">
                  <c:v>4.1354166666666661</c:v>
                </c:pt>
                <c:pt idx="370">
                  <c:v>4.145833333333333</c:v>
                </c:pt>
                <c:pt idx="371">
                  <c:v>4.15625</c:v>
                </c:pt>
                <c:pt idx="372">
                  <c:v>4.1666666666666661</c:v>
                </c:pt>
                <c:pt idx="373">
                  <c:v>4.177083333333333</c:v>
                </c:pt>
                <c:pt idx="374">
                  <c:v>4.1875</c:v>
                </c:pt>
                <c:pt idx="375">
                  <c:v>4.1979166666666661</c:v>
                </c:pt>
                <c:pt idx="376">
                  <c:v>4.208333333333333</c:v>
                </c:pt>
                <c:pt idx="377">
                  <c:v>4.21875</c:v>
                </c:pt>
                <c:pt idx="378">
                  <c:v>4.2291666666666661</c:v>
                </c:pt>
                <c:pt idx="379">
                  <c:v>4.239583333333333</c:v>
                </c:pt>
                <c:pt idx="380">
                  <c:v>4.25</c:v>
                </c:pt>
                <c:pt idx="381">
                  <c:v>4.2604166666666661</c:v>
                </c:pt>
                <c:pt idx="382">
                  <c:v>4.270833333333333</c:v>
                </c:pt>
                <c:pt idx="383">
                  <c:v>4.28125</c:v>
                </c:pt>
                <c:pt idx="384">
                  <c:v>4.2916666666666661</c:v>
                </c:pt>
                <c:pt idx="385">
                  <c:v>4.302083333333333</c:v>
                </c:pt>
                <c:pt idx="386">
                  <c:v>4.3125</c:v>
                </c:pt>
                <c:pt idx="387">
                  <c:v>4.3229166666666661</c:v>
                </c:pt>
                <c:pt idx="388">
                  <c:v>4.333333333333333</c:v>
                </c:pt>
                <c:pt idx="389">
                  <c:v>4.34375</c:v>
                </c:pt>
                <c:pt idx="390">
                  <c:v>4.3541666666666661</c:v>
                </c:pt>
                <c:pt idx="391">
                  <c:v>4.364583333333333</c:v>
                </c:pt>
                <c:pt idx="392">
                  <c:v>4.375</c:v>
                </c:pt>
                <c:pt idx="393">
                  <c:v>4.3854166666666661</c:v>
                </c:pt>
                <c:pt idx="394">
                  <c:v>4.395833333333333</c:v>
                </c:pt>
                <c:pt idx="395">
                  <c:v>4.40625</c:v>
                </c:pt>
                <c:pt idx="396">
                  <c:v>4.4166666666666661</c:v>
                </c:pt>
                <c:pt idx="397">
                  <c:v>4.427083333333333</c:v>
                </c:pt>
                <c:pt idx="398">
                  <c:v>4.4375</c:v>
                </c:pt>
                <c:pt idx="399">
                  <c:v>4.4479166666666661</c:v>
                </c:pt>
                <c:pt idx="400">
                  <c:v>4.458333333333333</c:v>
                </c:pt>
                <c:pt idx="401">
                  <c:v>4.46875</c:v>
                </c:pt>
                <c:pt idx="402">
                  <c:v>4.489583333333333</c:v>
                </c:pt>
                <c:pt idx="403">
                  <c:v>4.5</c:v>
                </c:pt>
                <c:pt idx="404">
                  <c:v>4.5104166666666661</c:v>
                </c:pt>
                <c:pt idx="405">
                  <c:v>4.520833333333333</c:v>
                </c:pt>
                <c:pt idx="406">
                  <c:v>4.53125</c:v>
                </c:pt>
                <c:pt idx="407">
                  <c:v>4.5416666666666661</c:v>
                </c:pt>
                <c:pt idx="408">
                  <c:v>4.552083333333333</c:v>
                </c:pt>
                <c:pt idx="409">
                  <c:v>4.5625</c:v>
                </c:pt>
                <c:pt idx="410">
                  <c:v>4.5729166666666661</c:v>
                </c:pt>
                <c:pt idx="411">
                  <c:v>4.583333333333333</c:v>
                </c:pt>
                <c:pt idx="412">
                  <c:v>4.59375</c:v>
                </c:pt>
                <c:pt idx="413">
                  <c:v>4.6041666666666661</c:v>
                </c:pt>
                <c:pt idx="414">
                  <c:v>4.614583333333333</c:v>
                </c:pt>
                <c:pt idx="415">
                  <c:v>4.625</c:v>
                </c:pt>
                <c:pt idx="416">
                  <c:v>4.6354166666666661</c:v>
                </c:pt>
                <c:pt idx="417">
                  <c:v>4.645833333333333</c:v>
                </c:pt>
                <c:pt idx="418">
                  <c:v>4.65625</c:v>
                </c:pt>
                <c:pt idx="419">
                  <c:v>4.6666666666666661</c:v>
                </c:pt>
                <c:pt idx="420">
                  <c:v>4.677083333333333</c:v>
                </c:pt>
                <c:pt idx="421">
                  <c:v>4.6875</c:v>
                </c:pt>
                <c:pt idx="422">
                  <c:v>4.6979166666666661</c:v>
                </c:pt>
                <c:pt idx="423">
                  <c:v>4.708333333333333</c:v>
                </c:pt>
                <c:pt idx="424">
                  <c:v>4.71875</c:v>
                </c:pt>
                <c:pt idx="425">
                  <c:v>4.7291666666666661</c:v>
                </c:pt>
                <c:pt idx="426">
                  <c:v>4.739583333333333</c:v>
                </c:pt>
                <c:pt idx="427">
                  <c:v>4.75</c:v>
                </c:pt>
                <c:pt idx="428">
                  <c:v>4.7604166666666661</c:v>
                </c:pt>
                <c:pt idx="429">
                  <c:v>4.770833333333333</c:v>
                </c:pt>
                <c:pt idx="430">
                  <c:v>4.78125</c:v>
                </c:pt>
                <c:pt idx="431">
                  <c:v>4.7916666666666661</c:v>
                </c:pt>
                <c:pt idx="432">
                  <c:v>4.802083333333333</c:v>
                </c:pt>
                <c:pt idx="433">
                  <c:v>4.8125</c:v>
                </c:pt>
                <c:pt idx="434">
                  <c:v>4.8229166666666661</c:v>
                </c:pt>
                <c:pt idx="435">
                  <c:v>4.833333333333333</c:v>
                </c:pt>
                <c:pt idx="436">
                  <c:v>4.84375</c:v>
                </c:pt>
                <c:pt idx="437">
                  <c:v>4.8541666666666661</c:v>
                </c:pt>
                <c:pt idx="438">
                  <c:v>4.864583333333333</c:v>
                </c:pt>
                <c:pt idx="439">
                  <c:v>4.875</c:v>
                </c:pt>
                <c:pt idx="440">
                  <c:v>4.8854166666666661</c:v>
                </c:pt>
                <c:pt idx="441">
                  <c:v>4.895833333333333</c:v>
                </c:pt>
                <c:pt idx="442">
                  <c:v>4.90625</c:v>
                </c:pt>
                <c:pt idx="443">
                  <c:v>4.9166666666666661</c:v>
                </c:pt>
                <c:pt idx="444">
                  <c:v>4.927083333333333</c:v>
                </c:pt>
                <c:pt idx="445">
                  <c:v>4.9375</c:v>
                </c:pt>
                <c:pt idx="446">
                  <c:v>4.9479166666666661</c:v>
                </c:pt>
                <c:pt idx="447">
                  <c:v>4.958333333333333</c:v>
                </c:pt>
                <c:pt idx="448">
                  <c:v>4.96875</c:v>
                </c:pt>
                <c:pt idx="449">
                  <c:v>4.9791666666666661</c:v>
                </c:pt>
                <c:pt idx="450">
                  <c:v>4.989583333333333</c:v>
                </c:pt>
                <c:pt idx="451">
                  <c:v>5</c:v>
                </c:pt>
                <c:pt idx="452">
                  <c:v>5.0104166666666661</c:v>
                </c:pt>
                <c:pt idx="453">
                  <c:v>5.020833333333333</c:v>
                </c:pt>
                <c:pt idx="454">
                  <c:v>5.03125</c:v>
                </c:pt>
                <c:pt idx="455">
                  <c:v>5.0416666666666661</c:v>
                </c:pt>
                <c:pt idx="456">
                  <c:v>5.052083333333333</c:v>
                </c:pt>
                <c:pt idx="457">
                  <c:v>5.0625</c:v>
                </c:pt>
                <c:pt idx="458">
                  <c:v>5.0729166666666661</c:v>
                </c:pt>
                <c:pt idx="459">
                  <c:v>5.083333333333333</c:v>
                </c:pt>
                <c:pt idx="460">
                  <c:v>5.09375</c:v>
                </c:pt>
                <c:pt idx="461">
                  <c:v>5.1041666666666661</c:v>
                </c:pt>
                <c:pt idx="462">
                  <c:v>5.114583333333333</c:v>
                </c:pt>
                <c:pt idx="463">
                  <c:v>5.125</c:v>
                </c:pt>
                <c:pt idx="464">
                  <c:v>5.1354166666666661</c:v>
                </c:pt>
                <c:pt idx="465">
                  <c:v>5.145833333333333</c:v>
                </c:pt>
                <c:pt idx="466">
                  <c:v>5.15625</c:v>
                </c:pt>
                <c:pt idx="467">
                  <c:v>5.1666666666666661</c:v>
                </c:pt>
                <c:pt idx="468">
                  <c:v>5.177083333333333</c:v>
                </c:pt>
                <c:pt idx="469">
                  <c:v>5.1875</c:v>
                </c:pt>
                <c:pt idx="470">
                  <c:v>5.1979166666666661</c:v>
                </c:pt>
                <c:pt idx="471">
                  <c:v>5.208333333333333</c:v>
                </c:pt>
                <c:pt idx="472">
                  <c:v>5.21875</c:v>
                </c:pt>
                <c:pt idx="473">
                  <c:v>5.2291666666666661</c:v>
                </c:pt>
                <c:pt idx="474">
                  <c:v>5.239583333333333</c:v>
                </c:pt>
                <c:pt idx="475">
                  <c:v>5.25</c:v>
                </c:pt>
                <c:pt idx="476">
                  <c:v>5.2604166666666661</c:v>
                </c:pt>
                <c:pt idx="477">
                  <c:v>5.270833333333333</c:v>
                </c:pt>
                <c:pt idx="478">
                  <c:v>5.28125</c:v>
                </c:pt>
                <c:pt idx="479">
                  <c:v>5.2916666666666661</c:v>
                </c:pt>
                <c:pt idx="480">
                  <c:v>5.302083333333333</c:v>
                </c:pt>
                <c:pt idx="481">
                  <c:v>5.3125</c:v>
                </c:pt>
                <c:pt idx="482">
                  <c:v>5.3229166666666661</c:v>
                </c:pt>
                <c:pt idx="483">
                  <c:v>5.333333333333333</c:v>
                </c:pt>
                <c:pt idx="484">
                  <c:v>5.34375</c:v>
                </c:pt>
                <c:pt idx="485">
                  <c:v>5.3541666666666661</c:v>
                </c:pt>
                <c:pt idx="486">
                  <c:v>5.364583333333333</c:v>
                </c:pt>
                <c:pt idx="487">
                  <c:v>5.375</c:v>
                </c:pt>
                <c:pt idx="488">
                  <c:v>5.3854166666666661</c:v>
                </c:pt>
                <c:pt idx="489">
                  <c:v>5.395833333333333</c:v>
                </c:pt>
                <c:pt idx="490">
                  <c:v>5.40625</c:v>
                </c:pt>
                <c:pt idx="491">
                  <c:v>5.4166666666666661</c:v>
                </c:pt>
                <c:pt idx="492">
                  <c:v>5.427083333333333</c:v>
                </c:pt>
                <c:pt idx="493">
                  <c:v>5.4375</c:v>
                </c:pt>
                <c:pt idx="494">
                  <c:v>5.4479166666666661</c:v>
                </c:pt>
                <c:pt idx="495">
                  <c:v>5.458333333333333</c:v>
                </c:pt>
                <c:pt idx="496">
                  <c:v>5.46875</c:v>
                </c:pt>
                <c:pt idx="497">
                  <c:v>5.4791666666666661</c:v>
                </c:pt>
                <c:pt idx="498">
                  <c:v>5.489583333333333</c:v>
                </c:pt>
                <c:pt idx="499">
                  <c:v>5.5</c:v>
                </c:pt>
                <c:pt idx="500">
                  <c:v>5.5104166666666661</c:v>
                </c:pt>
                <c:pt idx="501">
                  <c:v>5.520833333333333</c:v>
                </c:pt>
                <c:pt idx="502">
                  <c:v>5.53125</c:v>
                </c:pt>
                <c:pt idx="503">
                  <c:v>5.5416666666666661</c:v>
                </c:pt>
                <c:pt idx="504">
                  <c:v>5.552083333333333</c:v>
                </c:pt>
                <c:pt idx="505">
                  <c:v>5.5625</c:v>
                </c:pt>
                <c:pt idx="506">
                  <c:v>5.5729166666666661</c:v>
                </c:pt>
                <c:pt idx="507">
                  <c:v>5.583333333333333</c:v>
                </c:pt>
                <c:pt idx="508">
                  <c:v>5.59375</c:v>
                </c:pt>
                <c:pt idx="509">
                  <c:v>5.6041666666666661</c:v>
                </c:pt>
                <c:pt idx="510">
                  <c:v>5.614583333333333</c:v>
                </c:pt>
                <c:pt idx="511">
                  <c:v>5.625</c:v>
                </c:pt>
                <c:pt idx="512">
                  <c:v>5.6354166666666661</c:v>
                </c:pt>
                <c:pt idx="513">
                  <c:v>5.645833333333333</c:v>
                </c:pt>
                <c:pt idx="514">
                  <c:v>5.65625</c:v>
                </c:pt>
                <c:pt idx="515">
                  <c:v>5.6666666666666661</c:v>
                </c:pt>
                <c:pt idx="516">
                  <c:v>5.677083333333333</c:v>
                </c:pt>
                <c:pt idx="517">
                  <c:v>5.6875</c:v>
                </c:pt>
                <c:pt idx="518">
                  <c:v>5.6979166666666661</c:v>
                </c:pt>
                <c:pt idx="519">
                  <c:v>5.708333333333333</c:v>
                </c:pt>
                <c:pt idx="520">
                  <c:v>5.71875</c:v>
                </c:pt>
                <c:pt idx="521">
                  <c:v>5.7291666666666661</c:v>
                </c:pt>
                <c:pt idx="522">
                  <c:v>5.739583333333333</c:v>
                </c:pt>
                <c:pt idx="523">
                  <c:v>5.75</c:v>
                </c:pt>
                <c:pt idx="524">
                  <c:v>5.7604166666666661</c:v>
                </c:pt>
                <c:pt idx="525">
                  <c:v>5.770833333333333</c:v>
                </c:pt>
                <c:pt idx="526">
                  <c:v>5.78125</c:v>
                </c:pt>
                <c:pt idx="527">
                  <c:v>5.7916666666666661</c:v>
                </c:pt>
                <c:pt idx="528">
                  <c:v>5.802083333333333</c:v>
                </c:pt>
                <c:pt idx="529">
                  <c:v>5.8125</c:v>
                </c:pt>
                <c:pt idx="530">
                  <c:v>5.8229166666666661</c:v>
                </c:pt>
                <c:pt idx="531">
                  <c:v>5.833333333333333</c:v>
                </c:pt>
                <c:pt idx="532">
                  <c:v>5.84375</c:v>
                </c:pt>
                <c:pt idx="533">
                  <c:v>5.8541666666666661</c:v>
                </c:pt>
                <c:pt idx="534">
                  <c:v>5.864583333333333</c:v>
                </c:pt>
                <c:pt idx="535">
                  <c:v>5.875</c:v>
                </c:pt>
                <c:pt idx="536">
                  <c:v>5.8854166666666661</c:v>
                </c:pt>
                <c:pt idx="537">
                  <c:v>5.895833333333333</c:v>
                </c:pt>
                <c:pt idx="538">
                  <c:v>5.90625</c:v>
                </c:pt>
                <c:pt idx="539">
                  <c:v>5.9166666666666661</c:v>
                </c:pt>
                <c:pt idx="540">
                  <c:v>5.927083333333333</c:v>
                </c:pt>
                <c:pt idx="541">
                  <c:v>5.9375</c:v>
                </c:pt>
                <c:pt idx="542">
                  <c:v>5.9479166666666661</c:v>
                </c:pt>
                <c:pt idx="543">
                  <c:v>5.958333333333333</c:v>
                </c:pt>
                <c:pt idx="544">
                  <c:v>5.96875</c:v>
                </c:pt>
                <c:pt idx="545">
                  <c:v>5.9791666666666661</c:v>
                </c:pt>
                <c:pt idx="546">
                  <c:v>5.989583333333333</c:v>
                </c:pt>
                <c:pt idx="547">
                  <c:v>6</c:v>
                </c:pt>
                <c:pt idx="548">
                  <c:v>6.0104166666666661</c:v>
                </c:pt>
                <c:pt idx="549">
                  <c:v>6.020833333333333</c:v>
                </c:pt>
                <c:pt idx="550">
                  <c:v>6.03125</c:v>
                </c:pt>
                <c:pt idx="551">
                  <c:v>6.0416666666666661</c:v>
                </c:pt>
                <c:pt idx="552">
                  <c:v>6.052083333333333</c:v>
                </c:pt>
                <c:pt idx="553">
                  <c:v>6.0625</c:v>
                </c:pt>
                <c:pt idx="554">
                  <c:v>6.0729166666666661</c:v>
                </c:pt>
                <c:pt idx="555">
                  <c:v>6.083333333333333</c:v>
                </c:pt>
                <c:pt idx="556">
                  <c:v>6.09375</c:v>
                </c:pt>
                <c:pt idx="557">
                  <c:v>6.1041666666666661</c:v>
                </c:pt>
                <c:pt idx="558">
                  <c:v>6.114583333333333</c:v>
                </c:pt>
                <c:pt idx="559">
                  <c:v>6.125</c:v>
                </c:pt>
                <c:pt idx="560">
                  <c:v>6.1354166666666661</c:v>
                </c:pt>
                <c:pt idx="561">
                  <c:v>6.145833333333333</c:v>
                </c:pt>
                <c:pt idx="562">
                  <c:v>6.15625</c:v>
                </c:pt>
                <c:pt idx="563">
                  <c:v>6.1666666666666661</c:v>
                </c:pt>
                <c:pt idx="564">
                  <c:v>6.177083333333333</c:v>
                </c:pt>
                <c:pt idx="565">
                  <c:v>6.1875</c:v>
                </c:pt>
                <c:pt idx="566">
                  <c:v>6.1979166666666661</c:v>
                </c:pt>
                <c:pt idx="567">
                  <c:v>6.208333333333333</c:v>
                </c:pt>
                <c:pt idx="568">
                  <c:v>6.21875</c:v>
                </c:pt>
                <c:pt idx="569">
                  <c:v>6.2291666666666661</c:v>
                </c:pt>
                <c:pt idx="570">
                  <c:v>6.239583333333333</c:v>
                </c:pt>
                <c:pt idx="571">
                  <c:v>6.25</c:v>
                </c:pt>
                <c:pt idx="572">
                  <c:v>6.2604166666666661</c:v>
                </c:pt>
                <c:pt idx="573">
                  <c:v>6.270833333333333</c:v>
                </c:pt>
                <c:pt idx="574">
                  <c:v>6.28125</c:v>
                </c:pt>
                <c:pt idx="575">
                  <c:v>6.2916666666666661</c:v>
                </c:pt>
                <c:pt idx="576">
                  <c:v>6.302083333333333</c:v>
                </c:pt>
                <c:pt idx="577">
                  <c:v>6.3125</c:v>
                </c:pt>
                <c:pt idx="578">
                  <c:v>6.3229166666666661</c:v>
                </c:pt>
                <c:pt idx="579">
                  <c:v>6.333333333333333</c:v>
                </c:pt>
                <c:pt idx="580">
                  <c:v>6.34375</c:v>
                </c:pt>
                <c:pt idx="581">
                  <c:v>6.3541666666666661</c:v>
                </c:pt>
                <c:pt idx="582">
                  <c:v>6.364583333333333</c:v>
                </c:pt>
                <c:pt idx="583">
                  <c:v>6.375</c:v>
                </c:pt>
                <c:pt idx="584">
                  <c:v>6.3854166666666661</c:v>
                </c:pt>
                <c:pt idx="585">
                  <c:v>6.395833333333333</c:v>
                </c:pt>
                <c:pt idx="586">
                  <c:v>6.40625</c:v>
                </c:pt>
                <c:pt idx="587">
                  <c:v>6.4166666666666661</c:v>
                </c:pt>
                <c:pt idx="588">
                  <c:v>6.427083333333333</c:v>
                </c:pt>
                <c:pt idx="589">
                  <c:v>6.4375</c:v>
                </c:pt>
                <c:pt idx="590">
                  <c:v>6.4479166666666661</c:v>
                </c:pt>
                <c:pt idx="591">
                  <c:v>6.458333333333333</c:v>
                </c:pt>
                <c:pt idx="592">
                  <c:v>6.46875</c:v>
                </c:pt>
                <c:pt idx="593">
                  <c:v>6.4791666666666661</c:v>
                </c:pt>
                <c:pt idx="594">
                  <c:v>6.489583333333333</c:v>
                </c:pt>
                <c:pt idx="595">
                  <c:v>6.5</c:v>
                </c:pt>
                <c:pt idx="596">
                  <c:v>6.5104166666666661</c:v>
                </c:pt>
                <c:pt idx="597">
                  <c:v>6.520833333333333</c:v>
                </c:pt>
                <c:pt idx="598">
                  <c:v>6.53125</c:v>
                </c:pt>
                <c:pt idx="599">
                  <c:v>6.5416666666666661</c:v>
                </c:pt>
                <c:pt idx="600">
                  <c:v>6.552083333333333</c:v>
                </c:pt>
                <c:pt idx="601">
                  <c:v>6.5625</c:v>
                </c:pt>
                <c:pt idx="602">
                  <c:v>6.5729166666666661</c:v>
                </c:pt>
                <c:pt idx="603">
                  <c:v>6.583333333333333</c:v>
                </c:pt>
                <c:pt idx="604">
                  <c:v>6.59375</c:v>
                </c:pt>
                <c:pt idx="605">
                  <c:v>6.6041666666666661</c:v>
                </c:pt>
                <c:pt idx="606">
                  <c:v>6.614583333333333</c:v>
                </c:pt>
                <c:pt idx="607">
                  <c:v>6.625</c:v>
                </c:pt>
                <c:pt idx="608">
                  <c:v>6.6354166666666661</c:v>
                </c:pt>
                <c:pt idx="609">
                  <c:v>6.645833333333333</c:v>
                </c:pt>
                <c:pt idx="610">
                  <c:v>6.65625</c:v>
                </c:pt>
                <c:pt idx="611">
                  <c:v>6.6666666666666661</c:v>
                </c:pt>
                <c:pt idx="612">
                  <c:v>6.677083333333333</c:v>
                </c:pt>
                <c:pt idx="613">
                  <c:v>6.6875</c:v>
                </c:pt>
                <c:pt idx="614">
                  <c:v>6.6979166666666661</c:v>
                </c:pt>
                <c:pt idx="615">
                  <c:v>6.708333333333333</c:v>
                </c:pt>
                <c:pt idx="616">
                  <c:v>6.71875</c:v>
                </c:pt>
                <c:pt idx="617">
                  <c:v>6.7291666666666661</c:v>
                </c:pt>
                <c:pt idx="618">
                  <c:v>6.739583333333333</c:v>
                </c:pt>
                <c:pt idx="619">
                  <c:v>6.75</c:v>
                </c:pt>
                <c:pt idx="620">
                  <c:v>6.7604166666666661</c:v>
                </c:pt>
                <c:pt idx="621">
                  <c:v>6.770833333333333</c:v>
                </c:pt>
                <c:pt idx="622">
                  <c:v>6.78125</c:v>
                </c:pt>
                <c:pt idx="623">
                  <c:v>6.7916666666666661</c:v>
                </c:pt>
                <c:pt idx="624">
                  <c:v>6.802083333333333</c:v>
                </c:pt>
                <c:pt idx="625">
                  <c:v>6.8125</c:v>
                </c:pt>
                <c:pt idx="626">
                  <c:v>6.8229166666666661</c:v>
                </c:pt>
                <c:pt idx="627">
                  <c:v>6.833333333333333</c:v>
                </c:pt>
                <c:pt idx="628">
                  <c:v>6.84375</c:v>
                </c:pt>
                <c:pt idx="629">
                  <c:v>6.8541666666666661</c:v>
                </c:pt>
                <c:pt idx="630">
                  <c:v>6.864583333333333</c:v>
                </c:pt>
                <c:pt idx="631">
                  <c:v>6.875</c:v>
                </c:pt>
                <c:pt idx="632">
                  <c:v>6.8854166666666661</c:v>
                </c:pt>
                <c:pt idx="633">
                  <c:v>6.895833333333333</c:v>
                </c:pt>
                <c:pt idx="634">
                  <c:v>6.90625</c:v>
                </c:pt>
                <c:pt idx="635">
                  <c:v>6.9166666666666661</c:v>
                </c:pt>
                <c:pt idx="636">
                  <c:v>6.927083333333333</c:v>
                </c:pt>
                <c:pt idx="637">
                  <c:v>6.9375</c:v>
                </c:pt>
                <c:pt idx="638">
                  <c:v>6.9479166666666661</c:v>
                </c:pt>
                <c:pt idx="639">
                  <c:v>6.958333333333333</c:v>
                </c:pt>
                <c:pt idx="640">
                  <c:v>6.96875</c:v>
                </c:pt>
                <c:pt idx="641">
                  <c:v>6.9791666666666661</c:v>
                </c:pt>
                <c:pt idx="642">
                  <c:v>6.989583333333333</c:v>
                </c:pt>
                <c:pt idx="643">
                  <c:v>7</c:v>
                </c:pt>
                <c:pt idx="644">
                  <c:v>7.0104166666666661</c:v>
                </c:pt>
                <c:pt idx="645">
                  <c:v>7.020833333333333</c:v>
                </c:pt>
                <c:pt idx="646">
                  <c:v>7.03125</c:v>
                </c:pt>
                <c:pt idx="647">
                  <c:v>7.0416666666666661</c:v>
                </c:pt>
                <c:pt idx="648">
                  <c:v>7.052083333333333</c:v>
                </c:pt>
                <c:pt idx="649">
                  <c:v>7.0625</c:v>
                </c:pt>
                <c:pt idx="650">
                  <c:v>7.0729166666666661</c:v>
                </c:pt>
                <c:pt idx="651">
                  <c:v>7.083333333333333</c:v>
                </c:pt>
                <c:pt idx="652">
                  <c:v>7.09375</c:v>
                </c:pt>
                <c:pt idx="653">
                  <c:v>7.1041666666666661</c:v>
                </c:pt>
                <c:pt idx="654">
                  <c:v>7.114583333333333</c:v>
                </c:pt>
                <c:pt idx="655">
                  <c:v>7.125</c:v>
                </c:pt>
                <c:pt idx="656">
                  <c:v>7.1354166666666661</c:v>
                </c:pt>
                <c:pt idx="657">
                  <c:v>7.145833333333333</c:v>
                </c:pt>
                <c:pt idx="658">
                  <c:v>7.15625</c:v>
                </c:pt>
                <c:pt idx="659">
                  <c:v>7.1666666666666661</c:v>
                </c:pt>
                <c:pt idx="660">
                  <c:v>7.177083333333333</c:v>
                </c:pt>
                <c:pt idx="661">
                  <c:v>7.1875</c:v>
                </c:pt>
                <c:pt idx="662">
                  <c:v>7.1979166666666661</c:v>
                </c:pt>
                <c:pt idx="663">
                  <c:v>7.208333333333333</c:v>
                </c:pt>
                <c:pt idx="664">
                  <c:v>7.21875</c:v>
                </c:pt>
                <c:pt idx="665">
                  <c:v>7.2291666666666661</c:v>
                </c:pt>
                <c:pt idx="666">
                  <c:v>7.239583333333333</c:v>
                </c:pt>
                <c:pt idx="667">
                  <c:v>7.25</c:v>
                </c:pt>
                <c:pt idx="668">
                  <c:v>7.2604166666666661</c:v>
                </c:pt>
                <c:pt idx="669">
                  <c:v>7.270833333333333</c:v>
                </c:pt>
                <c:pt idx="670">
                  <c:v>7.28125</c:v>
                </c:pt>
                <c:pt idx="671">
                  <c:v>7.2916666666666661</c:v>
                </c:pt>
                <c:pt idx="672">
                  <c:v>7.302083333333333</c:v>
                </c:pt>
                <c:pt idx="673">
                  <c:v>7.3125</c:v>
                </c:pt>
                <c:pt idx="674">
                  <c:v>7.3229166666666661</c:v>
                </c:pt>
                <c:pt idx="675">
                  <c:v>7.333333333333333</c:v>
                </c:pt>
                <c:pt idx="676">
                  <c:v>7.34375</c:v>
                </c:pt>
                <c:pt idx="677">
                  <c:v>7.3541666666666661</c:v>
                </c:pt>
                <c:pt idx="678">
                  <c:v>7.364583333333333</c:v>
                </c:pt>
                <c:pt idx="679">
                  <c:v>7.375</c:v>
                </c:pt>
                <c:pt idx="680">
                  <c:v>7.3854166666666661</c:v>
                </c:pt>
                <c:pt idx="681">
                  <c:v>7.395833333333333</c:v>
                </c:pt>
                <c:pt idx="682">
                  <c:v>7.40625</c:v>
                </c:pt>
                <c:pt idx="683">
                  <c:v>7.4166666666666661</c:v>
                </c:pt>
                <c:pt idx="684">
                  <c:v>7.427083333333333</c:v>
                </c:pt>
                <c:pt idx="685">
                  <c:v>7.4375</c:v>
                </c:pt>
                <c:pt idx="686">
                  <c:v>7.4479166666666661</c:v>
                </c:pt>
                <c:pt idx="687">
                  <c:v>7.458333333333333</c:v>
                </c:pt>
                <c:pt idx="688">
                  <c:v>7.46875</c:v>
                </c:pt>
                <c:pt idx="689">
                  <c:v>7.4791666666666661</c:v>
                </c:pt>
                <c:pt idx="690">
                  <c:v>7.489583333333333</c:v>
                </c:pt>
                <c:pt idx="691">
                  <c:v>7.5</c:v>
                </c:pt>
                <c:pt idx="692">
                  <c:v>7.5104166666666661</c:v>
                </c:pt>
                <c:pt idx="693">
                  <c:v>7.520833333333333</c:v>
                </c:pt>
                <c:pt idx="694">
                  <c:v>7.53125</c:v>
                </c:pt>
                <c:pt idx="695">
                  <c:v>7.5416666666666661</c:v>
                </c:pt>
                <c:pt idx="696">
                  <c:v>7.552083333333333</c:v>
                </c:pt>
                <c:pt idx="697">
                  <c:v>7.5625</c:v>
                </c:pt>
                <c:pt idx="698">
                  <c:v>7.5729166666666661</c:v>
                </c:pt>
                <c:pt idx="699">
                  <c:v>7.583333333333333</c:v>
                </c:pt>
                <c:pt idx="700">
                  <c:v>7.59375</c:v>
                </c:pt>
                <c:pt idx="701">
                  <c:v>7.6041666666666661</c:v>
                </c:pt>
                <c:pt idx="702">
                  <c:v>7.614583333333333</c:v>
                </c:pt>
                <c:pt idx="703">
                  <c:v>7.625</c:v>
                </c:pt>
                <c:pt idx="704">
                  <c:v>7.6354166666666661</c:v>
                </c:pt>
                <c:pt idx="705">
                  <c:v>7.645833333333333</c:v>
                </c:pt>
                <c:pt idx="706">
                  <c:v>7.65625</c:v>
                </c:pt>
                <c:pt idx="707">
                  <c:v>7.6666666666666661</c:v>
                </c:pt>
                <c:pt idx="708">
                  <c:v>7.677083333333333</c:v>
                </c:pt>
                <c:pt idx="709">
                  <c:v>7.6875</c:v>
                </c:pt>
                <c:pt idx="710">
                  <c:v>7.6979166666666661</c:v>
                </c:pt>
                <c:pt idx="711">
                  <c:v>7.708333333333333</c:v>
                </c:pt>
                <c:pt idx="712">
                  <c:v>7.71875</c:v>
                </c:pt>
                <c:pt idx="713">
                  <c:v>7.7291666666666661</c:v>
                </c:pt>
                <c:pt idx="714">
                  <c:v>7.739583333333333</c:v>
                </c:pt>
                <c:pt idx="715">
                  <c:v>7.75</c:v>
                </c:pt>
                <c:pt idx="716">
                  <c:v>7.7604166666666661</c:v>
                </c:pt>
                <c:pt idx="717">
                  <c:v>7.770833333333333</c:v>
                </c:pt>
                <c:pt idx="718">
                  <c:v>7.78125</c:v>
                </c:pt>
                <c:pt idx="719">
                  <c:v>7.7916666666666661</c:v>
                </c:pt>
                <c:pt idx="720">
                  <c:v>7.802083333333333</c:v>
                </c:pt>
                <c:pt idx="721">
                  <c:v>7.8125</c:v>
                </c:pt>
                <c:pt idx="722">
                  <c:v>7.8229166666666661</c:v>
                </c:pt>
                <c:pt idx="723">
                  <c:v>7.833333333333333</c:v>
                </c:pt>
                <c:pt idx="724">
                  <c:v>7.84375</c:v>
                </c:pt>
                <c:pt idx="725">
                  <c:v>7.8541666666666661</c:v>
                </c:pt>
                <c:pt idx="726">
                  <c:v>7.864583333333333</c:v>
                </c:pt>
                <c:pt idx="727">
                  <c:v>7.875</c:v>
                </c:pt>
                <c:pt idx="728">
                  <c:v>7.8854166666666661</c:v>
                </c:pt>
                <c:pt idx="729">
                  <c:v>7.895833333333333</c:v>
                </c:pt>
                <c:pt idx="730">
                  <c:v>7.90625</c:v>
                </c:pt>
                <c:pt idx="731">
                  <c:v>7.9166666666666661</c:v>
                </c:pt>
                <c:pt idx="732">
                  <c:v>7.927083333333333</c:v>
                </c:pt>
                <c:pt idx="733">
                  <c:v>7.9375</c:v>
                </c:pt>
                <c:pt idx="734">
                  <c:v>7.9479166666666661</c:v>
                </c:pt>
                <c:pt idx="735">
                  <c:v>7.958333333333333</c:v>
                </c:pt>
                <c:pt idx="736">
                  <c:v>7.96875</c:v>
                </c:pt>
                <c:pt idx="737">
                  <c:v>7.9791666666666661</c:v>
                </c:pt>
                <c:pt idx="738">
                  <c:v>7.989583333333333</c:v>
                </c:pt>
                <c:pt idx="739">
                  <c:v>8</c:v>
                </c:pt>
                <c:pt idx="740">
                  <c:v>8.0104166666666661</c:v>
                </c:pt>
                <c:pt idx="741">
                  <c:v>8.0208333333333321</c:v>
                </c:pt>
                <c:pt idx="742">
                  <c:v>8.03125</c:v>
                </c:pt>
                <c:pt idx="743">
                  <c:v>8.0416666666666661</c:v>
                </c:pt>
                <c:pt idx="744">
                  <c:v>8.0520833333333321</c:v>
                </c:pt>
                <c:pt idx="745">
                  <c:v>8.0625</c:v>
                </c:pt>
                <c:pt idx="746">
                  <c:v>8.0729166666666661</c:v>
                </c:pt>
                <c:pt idx="747">
                  <c:v>8.0833333333333321</c:v>
                </c:pt>
                <c:pt idx="748">
                  <c:v>8.09375</c:v>
                </c:pt>
                <c:pt idx="749">
                  <c:v>8.1041666666666661</c:v>
                </c:pt>
                <c:pt idx="750">
                  <c:v>8.1145833333333321</c:v>
                </c:pt>
                <c:pt idx="751">
                  <c:v>8.125</c:v>
                </c:pt>
                <c:pt idx="752">
                  <c:v>8.1354166666666661</c:v>
                </c:pt>
                <c:pt idx="753">
                  <c:v>8.1458333333333321</c:v>
                </c:pt>
                <c:pt idx="754">
                  <c:v>8.15625</c:v>
                </c:pt>
                <c:pt idx="755">
                  <c:v>8.1666666666666661</c:v>
                </c:pt>
                <c:pt idx="756">
                  <c:v>8.1770833333333321</c:v>
                </c:pt>
                <c:pt idx="757">
                  <c:v>8.1875</c:v>
                </c:pt>
                <c:pt idx="758">
                  <c:v>8.1979166666666661</c:v>
                </c:pt>
                <c:pt idx="759">
                  <c:v>8.2083333333333321</c:v>
                </c:pt>
                <c:pt idx="760">
                  <c:v>8.21875</c:v>
                </c:pt>
                <c:pt idx="761">
                  <c:v>8.2291666666666661</c:v>
                </c:pt>
                <c:pt idx="762">
                  <c:v>8.2395833333333321</c:v>
                </c:pt>
                <c:pt idx="763">
                  <c:v>8.25</c:v>
                </c:pt>
                <c:pt idx="764">
                  <c:v>8.2604166666666661</c:v>
                </c:pt>
                <c:pt idx="765">
                  <c:v>8.2708333333333321</c:v>
                </c:pt>
                <c:pt idx="766">
                  <c:v>8.28125</c:v>
                </c:pt>
                <c:pt idx="767">
                  <c:v>8.2916666666666661</c:v>
                </c:pt>
                <c:pt idx="768">
                  <c:v>8.3020833333333321</c:v>
                </c:pt>
                <c:pt idx="769">
                  <c:v>8.3125</c:v>
                </c:pt>
                <c:pt idx="770">
                  <c:v>8.3229166666666661</c:v>
                </c:pt>
                <c:pt idx="771">
                  <c:v>8.3333333333333321</c:v>
                </c:pt>
                <c:pt idx="772">
                  <c:v>8.34375</c:v>
                </c:pt>
                <c:pt idx="773">
                  <c:v>8.3541666666666661</c:v>
                </c:pt>
                <c:pt idx="774">
                  <c:v>8.3645833333333321</c:v>
                </c:pt>
                <c:pt idx="775">
                  <c:v>8.375</c:v>
                </c:pt>
                <c:pt idx="776">
                  <c:v>8.3854166666666661</c:v>
                </c:pt>
                <c:pt idx="777">
                  <c:v>8.3958333333333321</c:v>
                </c:pt>
                <c:pt idx="778">
                  <c:v>8.40625</c:v>
                </c:pt>
                <c:pt idx="779">
                  <c:v>8.4166666666666661</c:v>
                </c:pt>
                <c:pt idx="780">
                  <c:v>8.4270833333333321</c:v>
                </c:pt>
                <c:pt idx="781">
                  <c:v>8.4375</c:v>
                </c:pt>
                <c:pt idx="782">
                  <c:v>8.4479166666666661</c:v>
                </c:pt>
                <c:pt idx="783">
                  <c:v>8.4583333333333321</c:v>
                </c:pt>
                <c:pt idx="784">
                  <c:v>8.46875</c:v>
                </c:pt>
                <c:pt idx="785">
                  <c:v>8.4791666666666661</c:v>
                </c:pt>
                <c:pt idx="786">
                  <c:v>8.4895833333333321</c:v>
                </c:pt>
                <c:pt idx="787">
                  <c:v>8.5</c:v>
                </c:pt>
                <c:pt idx="788">
                  <c:v>8.5104166666666661</c:v>
                </c:pt>
                <c:pt idx="789">
                  <c:v>8.5208333333333321</c:v>
                </c:pt>
                <c:pt idx="790">
                  <c:v>8.53125</c:v>
                </c:pt>
                <c:pt idx="791">
                  <c:v>8.5416666666666661</c:v>
                </c:pt>
                <c:pt idx="792">
                  <c:v>8.5520833333333321</c:v>
                </c:pt>
                <c:pt idx="793">
                  <c:v>8.5625</c:v>
                </c:pt>
                <c:pt idx="794">
                  <c:v>8.5729166666666661</c:v>
                </c:pt>
                <c:pt idx="795">
                  <c:v>8.5833333333333321</c:v>
                </c:pt>
                <c:pt idx="796">
                  <c:v>8.59375</c:v>
                </c:pt>
                <c:pt idx="797">
                  <c:v>8.6041666666666661</c:v>
                </c:pt>
                <c:pt idx="798">
                  <c:v>8.6145833333333321</c:v>
                </c:pt>
                <c:pt idx="799">
                  <c:v>8.625</c:v>
                </c:pt>
                <c:pt idx="800">
                  <c:v>8.6354166666666661</c:v>
                </c:pt>
                <c:pt idx="801">
                  <c:v>8.6458333333333321</c:v>
                </c:pt>
                <c:pt idx="802">
                  <c:v>8.65625</c:v>
                </c:pt>
                <c:pt idx="803">
                  <c:v>8.6666666666666661</c:v>
                </c:pt>
                <c:pt idx="804">
                  <c:v>8.6770833333333321</c:v>
                </c:pt>
                <c:pt idx="805">
                  <c:v>8.6875</c:v>
                </c:pt>
                <c:pt idx="806">
                  <c:v>8.6979166666666661</c:v>
                </c:pt>
                <c:pt idx="807">
                  <c:v>8.7083333333333321</c:v>
                </c:pt>
                <c:pt idx="808">
                  <c:v>8.71875</c:v>
                </c:pt>
                <c:pt idx="809">
                  <c:v>8.7291666666666661</c:v>
                </c:pt>
                <c:pt idx="810">
                  <c:v>8.7395833333333321</c:v>
                </c:pt>
                <c:pt idx="811">
                  <c:v>8.75</c:v>
                </c:pt>
                <c:pt idx="812">
                  <c:v>8.7604166666666661</c:v>
                </c:pt>
                <c:pt idx="813">
                  <c:v>8.7708333333333321</c:v>
                </c:pt>
                <c:pt idx="814">
                  <c:v>8.78125</c:v>
                </c:pt>
                <c:pt idx="815">
                  <c:v>8.7916666666666661</c:v>
                </c:pt>
                <c:pt idx="816">
                  <c:v>8.8020833333333321</c:v>
                </c:pt>
                <c:pt idx="817">
                  <c:v>8.8125</c:v>
                </c:pt>
                <c:pt idx="818">
                  <c:v>8.8229166666666661</c:v>
                </c:pt>
                <c:pt idx="819">
                  <c:v>8.8333333333333321</c:v>
                </c:pt>
                <c:pt idx="820">
                  <c:v>8.84375</c:v>
                </c:pt>
                <c:pt idx="821">
                  <c:v>8.8541666666666661</c:v>
                </c:pt>
                <c:pt idx="822">
                  <c:v>8.8645833333333321</c:v>
                </c:pt>
                <c:pt idx="823">
                  <c:v>8.875</c:v>
                </c:pt>
                <c:pt idx="824">
                  <c:v>8.8854166666666661</c:v>
                </c:pt>
                <c:pt idx="825">
                  <c:v>8.8958333333333321</c:v>
                </c:pt>
                <c:pt idx="826">
                  <c:v>8.90625</c:v>
                </c:pt>
                <c:pt idx="827">
                  <c:v>8.9166666666666661</c:v>
                </c:pt>
                <c:pt idx="828">
                  <c:v>8.9270833333333321</c:v>
                </c:pt>
                <c:pt idx="829">
                  <c:v>8.9375</c:v>
                </c:pt>
                <c:pt idx="830">
                  <c:v>8.9479166666666661</c:v>
                </c:pt>
                <c:pt idx="831">
                  <c:v>8.9583333333333321</c:v>
                </c:pt>
                <c:pt idx="832">
                  <c:v>8.96875</c:v>
                </c:pt>
                <c:pt idx="833">
                  <c:v>8.9791666666666661</c:v>
                </c:pt>
                <c:pt idx="834">
                  <c:v>8.9895833333333321</c:v>
                </c:pt>
                <c:pt idx="835">
                  <c:v>9</c:v>
                </c:pt>
                <c:pt idx="836">
                  <c:v>9.0104166666666661</c:v>
                </c:pt>
                <c:pt idx="837">
                  <c:v>9.0208333333333321</c:v>
                </c:pt>
                <c:pt idx="838">
                  <c:v>9.03125</c:v>
                </c:pt>
                <c:pt idx="839">
                  <c:v>9.0416666666666661</c:v>
                </c:pt>
                <c:pt idx="840">
                  <c:v>9.0520833333333321</c:v>
                </c:pt>
                <c:pt idx="841">
                  <c:v>9.0625</c:v>
                </c:pt>
                <c:pt idx="842">
                  <c:v>9.0729166666666661</c:v>
                </c:pt>
                <c:pt idx="843">
                  <c:v>9.0833333333333321</c:v>
                </c:pt>
                <c:pt idx="844">
                  <c:v>9.09375</c:v>
                </c:pt>
                <c:pt idx="845">
                  <c:v>9.1041666666666661</c:v>
                </c:pt>
                <c:pt idx="846">
                  <c:v>9.1145833333333321</c:v>
                </c:pt>
                <c:pt idx="847">
                  <c:v>9.125</c:v>
                </c:pt>
                <c:pt idx="848">
                  <c:v>9.1354166666666661</c:v>
                </c:pt>
                <c:pt idx="849">
                  <c:v>9.1458333333333321</c:v>
                </c:pt>
                <c:pt idx="850">
                  <c:v>9.15625</c:v>
                </c:pt>
                <c:pt idx="851">
                  <c:v>9.1666666666666661</c:v>
                </c:pt>
                <c:pt idx="852">
                  <c:v>9.1770833333333321</c:v>
                </c:pt>
                <c:pt idx="853">
                  <c:v>9.1875</c:v>
                </c:pt>
                <c:pt idx="854">
                  <c:v>9.1979166666666661</c:v>
                </c:pt>
                <c:pt idx="855">
                  <c:v>9.2083333333333321</c:v>
                </c:pt>
                <c:pt idx="856">
                  <c:v>9.21875</c:v>
                </c:pt>
                <c:pt idx="857">
                  <c:v>9.2291666666666661</c:v>
                </c:pt>
                <c:pt idx="858">
                  <c:v>9.2395833333333321</c:v>
                </c:pt>
                <c:pt idx="859">
                  <c:v>9.25</c:v>
                </c:pt>
                <c:pt idx="860">
                  <c:v>9.2604166666666661</c:v>
                </c:pt>
                <c:pt idx="861">
                  <c:v>9.2708333333333321</c:v>
                </c:pt>
                <c:pt idx="862">
                  <c:v>9.28125</c:v>
                </c:pt>
                <c:pt idx="863">
                  <c:v>9.2916666666666661</c:v>
                </c:pt>
                <c:pt idx="864">
                  <c:v>9.3020833333333321</c:v>
                </c:pt>
                <c:pt idx="865">
                  <c:v>9.3125</c:v>
                </c:pt>
                <c:pt idx="866">
                  <c:v>9.3229166666666661</c:v>
                </c:pt>
                <c:pt idx="867">
                  <c:v>9.3333333333333321</c:v>
                </c:pt>
                <c:pt idx="868">
                  <c:v>9.34375</c:v>
                </c:pt>
                <c:pt idx="869">
                  <c:v>9.3541666666666661</c:v>
                </c:pt>
                <c:pt idx="870">
                  <c:v>9.3645833333333321</c:v>
                </c:pt>
                <c:pt idx="871">
                  <c:v>9.375</c:v>
                </c:pt>
                <c:pt idx="872">
                  <c:v>9.3854166666666661</c:v>
                </c:pt>
                <c:pt idx="873">
                  <c:v>9.3958333333333321</c:v>
                </c:pt>
                <c:pt idx="874">
                  <c:v>9.40625</c:v>
                </c:pt>
                <c:pt idx="875">
                  <c:v>9.4166666666666661</c:v>
                </c:pt>
                <c:pt idx="876">
                  <c:v>9.4270833333333321</c:v>
                </c:pt>
                <c:pt idx="877">
                  <c:v>9.4375</c:v>
                </c:pt>
                <c:pt idx="878">
                  <c:v>9.4479166666666661</c:v>
                </c:pt>
                <c:pt idx="879">
                  <c:v>9.4583333333333321</c:v>
                </c:pt>
                <c:pt idx="880">
                  <c:v>9.46875</c:v>
                </c:pt>
                <c:pt idx="881">
                  <c:v>9.4791666666666661</c:v>
                </c:pt>
                <c:pt idx="882">
                  <c:v>9.4895833333333321</c:v>
                </c:pt>
                <c:pt idx="883">
                  <c:v>9.5</c:v>
                </c:pt>
                <c:pt idx="884">
                  <c:v>9.5104166666666661</c:v>
                </c:pt>
                <c:pt idx="885">
                  <c:v>9.5208333333333321</c:v>
                </c:pt>
                <c:pt idx="886">
                  <c:v>9.53125</c:v>
                </c:pt>
                <c:pt idx="887">
                  <c:v>9.5416666666666661</c:v>
                </c:pt>
                <c:pt idx="888">
                  <c:v>9.5520833333333321</c:v>
                </c:pt>
                <c:pt idx="889">
                  <c:v>9.5625</c:v>
                </c:pt>
                <c:pt idx="890">
                  <c:v>9.5729166666666661</c:v>
                </c:pt>
                <c:pt idx="891">
                  <c:v>9.5833333333333321</c:v>
                </c:pt>
                <c:pt idx="892">
                  <c:v>9.59375</c:v>
                </c:pt>
                <c:pt idx="893">
                  <c:v>9.6041666666666661</c:v>
                </c:pt>
                <c:pt idx="894">
                  <c:v>9.6145833333333321</c:v>
                </c:pt>
                <c:pt idx="895">
                  <c:v>9.625</c:v>
                </c:pt>
                <c:pt idx="896">
                  <c:v>9.6354166666666661</c:v>
                </c:pt>
                <c:pt idx="897">
                  <c:v>9.6458333333333321</c:v>
                </c:pt>
                <c:pt idx="898">
                  <c:v>9.65625</c:v>
                </c:pt>
                <c:pt idx="899">
                  <c:v>9.6666666666666661</c:v>
                </c:pt>
                <c:pt idx="900">
                  <c:v>9.6770833333333321</c:v>
                </c:pt>
                <c:pt idx="901">
                  <c:v>9.6875</c:v>
                </c:pt>
                <c:pt idx="902">
                  <c:v>9.6979166666666661</c:v>
                </c:pt>
                <c:pt idx="903">
                  <c:v>9.7083333333333321</c:v>
                </c:pt>
                <c:pt idx="904">
                  <c:v>9.71875</c:v>
                </c:pt>
                <c:pt idx="905">
                  <c:v>9.7291666666666661</c:v>
                </c:pt>
                <c:pt idx="906">
                  <c:v>9.7395833333333321</c:v>
                </c:pt>
                <c:pt idx="907">
                  <c:v>9.75</c:v>
                </c:pt>
                <c:pt idx="908">
                  <c:v>9.7604166666666661</c:v>
                </c:pt>
                <c:pt idx="909">
                  <c:v>9.7708333333333321</c:v>
                </c:pt>
                <c:pt idx="910">
                  <c:v>9.78125</c:v>
                </c:pt>
                <c:pt idx="911">
                  <c:v>9.7916666666666661</c:v>
                </c:pt>
                <c:pt idx="912">
                  <c:v>9.8020833333333321</c:v>
                </c:pt>
                <c:pt idx="913">
                  <c:v>9.8125</c:v>
                </c:pt>
                <c:pt idx="914">
                  <c:v>9.8229166666666661</c:v>
                </c:pt>
                <c:pt idx="915">
                  <c:v>9.8333333333333321</c:v>
                </c:pt>
                <c:pt idx="916">
                  <c:v>9.84375</c:v>
                </c:pt>
                <c:pt idx="917">
                  <c:v>9.8541666666666661</c:v>
                </c:pt>
                <c:pt idx="918">
                  <c:v>9.8645833333333321</c:v>
                </c:pt>
                <c:pt idx="919">
                  <c:v>9.875</c:v>
                </c:pt>
                <c:pt idx="920">
                  <c:v>9.8854166666666661</c:v>
                </c:pt>
                <c:pt idx="921">
                  <c:v>9.8958333333333321</c:v>
                </c:pt>
                <c:pt idx="922">
                  <c:v>9.90625</c:v>
                </c:pt>
                <c:pt idx="923">
                  <c:v>9.9166666666666661</c:v>
                </c:pt>
                <c:pt idx="924">
                  <c:v>9.9270833333333321</c:v>
                </c:pt>
                <c:pt idx="925">
                  <c:v>9.9375</c:v>
                </c:pt>
                <c:pt idx="926">
                  <c:v>9.9479166666666661</c:v>
                </c:pt>
                <c:pt idx="927">
                  <c:v>9.9583333333333321</c:v>
                </c:pt>
                <c:pt idx="928">
                  <c:v>9.96875</c:v>
                </c:pt>
                <c:pt idx="929">
                  <c:v>9.9791666666666661</c:v>
                </c:pt>
                <c:pt idx="930">
                  <c:v>9.9895833333333321</c:v>
                </c:pt>
                <c:pt idx="931">
                  <c:v>10</c:v>
                </c:pt>
                <c:pt idx="932">
                  <c:v>10.010416666666666</c:v>
                </c:pt>
                <c:pt idx="933">
                  <c:v>10.020833333333332</c:v>
                </c:pt>
                <c:pt idx="934">
                  <c:v>10.03125</c:v>
                </c:pt>
                <c:pt idx="935">
                  <c:v>10.041666666666666</c:v>
                </c:pt>
                <c:pt idx="936">
                  <c:v>10.052083333333332</c:v>
                </c:pt>
                <c:pt idx="937">
                  <c:v>10.0625</c:v>
                </c:pt>
                <c:pt idx="938">
                  <c:v>10.072916666666666</c:v>
                </c:pt>
                <c:pt idx="939">
                  <c:v>10.083333333333332</c:v>
                </c:pt>
                <c:pt idx="940">
                  <c:v>10.09375</c:v>
                </c:pt>
                <c:pt idx="941">
                  <c:v>10.104166666666666</c:v>
                </c:pt>
                <c:pt idx="942">
                  <c:v>10.114583333333332</c:v>
                </c:pt>
                <c:pt idx="943">
                  <c:v>10.125</c:v>
                </c:pt>
                <c:pt idx="944">
                  <c:v>10.135416666666666</c:v>
                </c:pt>
                <c:pt idx="945">
                  <c:v>10.145833333333332</c:v>
                </c:pt>
                <c:pt idx="946">
                  <c:v>10.15625</c:v>
                </c:pt>
                <c:pt idx="947">
                  <c:v>10.166666666666666</c:v>
                </c:pt>
                <c:pt idx="948">
                  <c:v>10.177083333333332</c:v>
                </c:pt>
                <c:pt idx="949">
                  <c:v>10.1875</c:v>
                </c:pt>
                <c:pt idx="950">
                  <c:v>10.197916666666666</c:v>
                </c:pt>
                <c:pt idx="951">
                  <c:v>10.208333333333332</c:v>
                </c:pt>
                <c:pt idx="952">
                  <c:v>10.21875</c:v>
                </c:pt>
                <c:pt idx="953">
                  <c:v>10.229166666666666</c:v>
                </c:pt>
                <c:pt idx="954">
                  <c:v>10.239583333333332</c:v>
                </c:pt>
                <c:pt idx="955">
                  <c:v>10.25</c:v>
                </c:pt>
                <c:pt idx="956">
                  <c:v>10.260416666666666</c:v>
                </c:pt>
                <c:pt idx="957">
                  <c:v>10.270833333333332</c:v>
                </c:pt>
                <c:pt idx="958">
                  <c:v>10.28125</c:v>
                </c:pt>
                <c:pt idx="959">
                  <c:v>10.291666666666666</c:v>
                </c:pt>
                <c:pt idx="960">
                  <c:v>10.302083333333332</c:v>
                </c:pt>
                <c:pt idx="961">
                  <c:v>10.3125</c:v>
                </c:pt>
                <c:pt idx="962">
                  <c:v>10.322916666666666</c:v>
                </c:pt>
                <c:pt idx="963">
                  <c:v>10.333333333333332</c:v>
                </c:pt>
                <c:pt idx="964">
                  <c:v>10.34375</c:v>
                </c:pt>
                <c:pt idx="965">
                  <c:v>10.354166666666666</c:v>
                </c:pt>
                <c:pt idx="966">
                  <c:v>10.364583333333332</c:v>
                </c:pt>
                <c:pt idx="967">
                  <c:v>10.375</c:v>
                </c:pt>
                <c:pt idx="968">
                  <c:v>10.385416666666666</c:v>
                </c:pt>
                <c:pt idx="969">
                  <c:v>10.395833333333332</c:v>
                </c:pt>
                <c:pt idx="970">
                  <c:v>10.40625</c:v>
                </c:pt>
                <c:pt idx="971">
                  <c:v>10.416666666666666</c:v>
                </c:pt>
                <c:pt idx="972">
                  <c:v>10.427083333333332</c:v>
                </c:pt>
                <c:pt idx="973">
                  <c:v>10.4375</c:v>
                </c:pt>
                <c:pt idx="974">
                  <c:v>10.447916666666666</c:v>
                </c:pt>
                <c:pt idx="975">
                  <c:v>10.458333333333332</c:v>
                </c:pt>
                <c:pt idx="976">
                  <c:v>10.46875</c:v>
                </c:pt>
                <c:pt idx="977">
                  <c:v>10.479166666666666</c:v>
                </c:pt>
                <c:pt idx="978">
                  <c:v>10.489583333333332</c:v>
                </c:pt>
                <c:pt idx="979">
                  <c:v>10.5</c:v>
                </c:pt>
                <c:pt idx="980">
                  <c:v>10.510416666666666</c:v>
                </c:pt>
                <c:pt idx="981">
                  <c:v>10.520833333333332</c:v>
                </c:pt>
                <c:pt idx="982">
                  <c:v>10.53125</c:v>
                </c:pt>
                <c:pt idx="983">
                  <c:v>10.541666666666666</c:v>
                </c:pt>
                <c:pt idx="984">
                  <c:v>10.552083333333332</c:v>
                </c:pt>
                <c:pt idx="985">
                  <c:v>10.5625</c:v>
                </c:pt>
                <c:pt idx="986">
                  <c:v>10.572916666666666</c:v>
                </c:pt>
                <c:pt idx="987">
                  <c:v>10.583333333333332</c:v>
                </c:pt>
                <c:pt idx="988">
                  <c:v>10.59375</c:v>
                </c:pt>
                <c:pt idx="989">
                  <c:v>10.604166666666666</c:v>
                </c:pt>
                <c:pt idx="990">
                  <c:v>10.614583333333332</c:v>
                </c:pt>
                <c:pt idx="991">
                  <c:v>10.625</c:v>
                </c:pt>
                <c:pt idx="992">
                  <c:v>10.635416666666666</c:v>
                </c:pt>
                <c:pt idx="993">
                  <c:v>10.645833333333332</c:v>
                </c:pt>
                <c:pt idx="994">
                  <c:v>10.65625</c:v>
                </c:pt>
                <c:pt idx="995">
                  <c:v>10.666666666666666</c:v>
                </c:pt>
                <c:pt idx="996">
                  <c:v>10.677083333333332</c:v>
                </c:pt>
                <c:pt idx="997">
                  <c:v>10.6875</c:v>
                </c:pt>
                <c:pt idx="998">
                  <c:v>10.697916666666666</c:v>
                </c:pt>
                <c:pt idx="999">
                  <c:v>10.708333333333332</c:v>
                </c:pt>
                <c:pt idx="1000">
                  <c:v>10.71875</c:v>
                </c:pt>
                <c:pt idx="1001">
                  <c:v>10.729166666666666</c:v>
                </c:pt>
                <c:pt idx="1002">
                  <c:v>10.739583333333332</c:v>
                </c:pt>
                <c:pt idx="1003">
                  <c:v>10.75</c:v>
                </c:pt>
                <c:pt idx="1004">
                  <c:v>10.760416666666666</c:v>
                </c:pt>
                <c:pt idx="1005">
                  <c:v>10.770833333333332</c:v>
                </c:pt>
                <c:pt idx="1006">
                  <c:v>10.78125</c:v>
                </c:pt>
                <c:pt idx="1007">
                  <c:v>10.791666666666666</c:v>
                </c:pt>
                <c:pt idx="1008">
                  <c:v>10.802083333333332</c:v>
                </c:pt>
                <c:pt idx="1009">
                  <c:v>10.8125</c:v>
                </c:pt>
                <c:pt idx="1010">
                  <c:v>10.822916666666666</c:v>
                </c:pt>
                <c:pt idx="1011">
                  <c:v>10.833333333333332</c:v>
                </c:pt>
                <c:pt idx="1012">
                  <c:v>10.84375</c:v>
                </c:pt>
                <c:pt idx="1013">
                  <c:v>10.854166666666666</c:v>
                </c:pt>
                <c:pt idx="1014">
                  <c:v>10.864583333333332</c:v>
                </c:pt>
                <c:pt idx="1015">
                  <c:v>10.875</c:v>
                </c:pt>
                <c:pt idx="1016">
                  <c:v>10.885416666666666</c:v>
                </c:pt>
                <c:pt idx="1017">
                  <c:v>10.895833333333332</c:v>
                </c:pt>
                <c:pt idx="1018">
                  <c:v>10.90625</c:v>
                </c:pt>
                <c:pt idx="1019">
                  <c:v>10.916666666666666</c:v>
                </c:pt>
                <c:pt idx="1020">
                  <c:v>10.927083333333332</c:v>
                </c:pt>
                <c:pt idx="1021">
                  <c:v>10.9375</c:v>
                </c:pt>
                <c:pt idx="1022">
                  <c:v>10.947916666666666</c:v>
                </c:pt>
                <c:pt idx="1023">
                  <c:v>10.958333333333332</c:v>
                </c:pt>
                <c:pt idx="1024">
                  <c:v>10.96875</c:v>
                </c:pt>
                <c:pt idx="1025">
                  <c:v>10.979166666666666</c:v>
                </c:pt>
                <c:pt idx="1026">
                  <c:v>10.989583333333332</c:v>
                </c:pt>
                <c:pt idx="1027">
                  <c:v>11</c:v>
                </c:pt>
                <c:pt idx="1028">
                  <c:v>11.010416666666666</c:v>
                </c:pt>
                <c:pt idx="1029">
                  <c:v>11.020833333333332</c:v>
                </c:pt>
                <c:pt idx="1030">
                  <c:v>11.03125</c:v>
                </c:pt>
                <c:pt idx="1031">
                  <c:v>11.041666666666666</c:v>
                </c:pt>
                <c:pt idx="1032">
                  <c:v>11.052083333333332</c:v>
                </c:pt>
                <c:pt idx="1033">
                  <c:v>11.0625</c:v>
                </c:pt>
                <c:pt idx="1034">
                  <c:v>11.072916666666666</c:v>
                </c:pt>
                <c:pt idx="1035">
                  <c:v>11.083333333333332</c:v>
                </c:pt>
                <c:pt idx="1036">
                  <c:v>11.09375</c:v>
                </c:pt>
                <c:pt idx="1037">
                  <c:v>11.104166666666666</c:v>
                </c:pt>
                <c:pt idx="1038">
                  <c:v>11.114583333333332</c:v>
                </c:pt>
                <c:pt idx="1039">
                  <c:v>11.125</c:v>
                </c:pt>
                <c:pt idx="1040">
                  <c:v>11.135416666666666</c:v>
                </c:pt>
                <c:pt idx="1041">
                  <c:v>11.145833333333332</c:v>
                </c:pt>
                <c:pt idx="1042">
                  <c:v>11.15625</c:v>
                </c:pt>
                <c:pt idx="1043">
                  <c:v>11.166666666666666</c:v>
                </c:pt>
                <c:pt idx="1044">
                  <c:v>11.177083333333332</c:v>
                </c:pt>
                <c:pt idx="1045">
                  <c:v>11.1875</c:v>
                </c:pt>
                <c:pt idx="1046">
                  <c:v>11.197916666666666</c:v>
                </c:pt>
                <c:pt idx="1047">
                  <c:v>11.208333333333332</c:v>
                </c:pt>
                <c:pt idx="1048">
                  <c:v>11.21875</c:v>
                </c:pt>
                <c:pt idx="1049">
                  <c:v>11.229166666666666</c:v>
                </c:pt>
                <c:pt idx="1050">
                  <c:v>11.239583333333332</c:v>
                </c:pt>
                <c:pt idx="1051">
                  <c:v>11.25</c:v>
                </c:pt>
                <c:pt idx="1052">
                  <c:v>11.260416666666666</c:v>
                </c:pt>
                <c:pt idx="1053">
                  <c:v>11.270833333333332</c:v>
                </c:pt>
                <c:pt idx="1054">
                  <c:v>11.28125</c:v>
                </c:pt>
                <c:pt idx="1055">
                  <c:v>11.291666666666666</c:v>
                </c:pt>
                <c:pt idx="1056">
                  <c:v>11.302083333333332</c:v>
                </c:pt>
                <c:pt idx="1057">
                  <c:v>11.3125</c:v>
                </c:pt>
                <c:pt idx="1058">
                  <c:v>11.322916666666666</c:v>
                </c:pt>
                <c:pt idx="1059">
                  <c:v>11.333333333333332</c:v>
                </c:pt>
                <c:pt idx="1060">
                  <c:v>11.34375</c:v>
                </c:pt>
                <c:pt idx="1061">
                  <c:v>11.354166666666666</c:v>
                </c:pt>
                <c:pt idx="1062">
                  <c:v>11.364583333333332</c:v>
                </c:pt>
                <c:pt idx="1063">
                  <c:v>11.375</c:v>
                </c:pt>
                <c:pt idx="1064">
                  <c:v>11.385416666666666</c:v>
                </c:pt>
                <c:pt idx="1065">
                  <c:v>11.395833333333332</c:v>
                </c:pt>
                <c:pt idx="1066">
                  <c:v>11.40625</c:v>
                </c:pt>
                <c:pt idx="1067">
                  <c:v>11.416666666666666</c:v>
                </c:pt>
                <c:pt idx="1068">
                  <c:v>11.427083333333332</c:v>
                </c:pt>
                <c:pt idx="1069">
                  <c:v>11.4375</c:v>
                </c:pt>
                <c:pt idx="1070">
                  <c:v>11.447916666666666</c:v>
                </c:pt>
                <c:pt idx="1071">
                  <c:v>11.458333333333332</c:v>
                </c:pt>
                <c:pt idx="1072">
                  <c:v>11.46875</c:v>
                </c:pt>
                <c:pt idx="1073">
                  <c:v>11.479166666666666</c:v>
                </c:pt>
                <c:pt idx="1074">
                  <c:v>11.489583333333332</c:v>
                </c:pt>
                <c:pt idx="1075">
                  <c:v>11.5</c:v>
                </c:pt>
                <c:pt idx="1076">
                  <c:v>11.510416666666666</c:v>
                </c:pt>
                <c:pt idx="1077">
                  <c:v>11.520833333333332</c:v>
                </c:pt>
                <c:pt idx="1078">
                  <c:v>11.53125</c:v>
                </c:pt>
                <c:pt idx="1079">
                  <c:v>11.541666666666666</c:v>
                </c:pt>
                <c:pt idx="1080">
                  <c:v>11.552083333333332</c:v>
                </c:pt>
                <c:pt idx="1081">
                  <c:v>11.5625</c:v>
                </c:pt>
                <c:pt idx="1082">
                  <c:v>11.572916666666666</c:v>
                </c:pt>
                <c:pt idx="1083">
                  <c:v>11.583333333333332</c:v>
                </c:pt>
                <c:pt idx="1084">
                  <c:v>11.59375</c:v>
                </c:pt>
                <c:pt idx="1085">
                  <c:v>11.604166666666666</c:v>
                </c:pt>
                <c:pt idx="1086">
                  <c:v>11.614583333333332</c:v>
                </c:pt>
                <c:pt idx="1087">
                  <c:v>11.625</c:v>
                </c:pt>
                <c:pt idx="1088">
                  <c:v>11.635416666666666</c:v>
                </c:pt>
                <c:pt idx="1089">
                  <c:v>11.645833333333332</c:v>
                </c:pt>
                <c:pt idx="1090">
                  <c:v>11.65625</c:v>
                </c:pt>
                <c:pt idx="1091">
                  <c:v>11.666666666666666</c:v>
                </c:pt>
                <c:pt idx="1092">
                  <c:v>11.677083333333332</c:v>
                </c:pt>
                <c:pt idx="1093">
                  <c:v>11.6875</c:v>
                </c:pt>
                <c:pt idx="1094">
                  <c:v>11.697916666666666</c:v>
                </c:pt>
                <c:pt idx="1095">
                  <c:v>11.708333333333332</c:v>
                </c:pt>
                <c:pt idx="1096">
                  <c:v>11.71875</c:v>
                </c:pt>
                <c:pt idx="1097">
                  <c:v>11.729166666666666</c:v>
                </c:pt>
                <c:pt idx="1098">
                  <c:v>11.739583333333332</c:v>
                </c:pt>
                <c:pt idx="1099">
                  <c:v>11.75</c:v>
                </c:pt>
                <c:pt idx="1100">
                  <c:v>11.760416666666666</c:v>
                </c:pt>
                <c:pt idx="1101">
                  <c:v>11.770833333333332</c:v>
                </c:pt>
                <c:pt idx="1102">
                  <c:v>11.78125</c:v>
                </c:pt>
                <c:pt idx="1103">
                  <c:v>11.791666666666666</c:v>
                </c:pt>
                <c:pt idx="1104">
                  <c:v>11.802083333333332</c:v>
                </c:pt>
                <c:pt idx="1105">
                  <c:v>11.8125</c:v>
                </c:pt>
                <c:pt idx="1106">
                  <c:v>11.822916666666666</c:v>
                </c:pt>
                <c:pt idx="1107">
                  <c:v>11.833333333333332</c:v>
                </c:pt>
                <c:pt idx="1108">
                  <c:v>11.84375</c:v>
                </c:pt>
                <c:pt idx="1109">
                  <c:v>11.854166666666666</c:v>
                </c:pt>
                <c:pt idx="1110">
                  <c:v>11.864583333333332</c:v>
                </c:pt>
                <c:pt idx="1111">
                  <c:v>11.875</c:v>
                </c:pt>
                <c:pt idx="1112">
                  <c:v>11.885416666666666</c:v>
                </c:pt>
                <c:pt idx="1113">
                  <c:v>11.895833333333332</c:v>
                </c:pt>
                <c:pt idx="1114">
                  <c:v>11.90625</c:v>
                </c:pt>
                <c:pt idx="1115">
                  <c:v>11.916666666666666</c:v>
                </c:pt>
                <c:pt idx="1116">
                  <c:v>11.927083333333332</c:v>
                </c:pt>
                <c:pt idx="1117">
                  <c:v>11.9375</c:v>
                </c:pt>
                <c:pt idx="1118">
                  <c:v>11.947916666666666</c:v>
                </c:pt>
                <c:pt idx="1119">
                  <c:v>11.958333333333332</c:v>
                </c:pt>
                <c:pt idx="1120">
                  <c:v>11.96875</c:v>
                </c:pt>
                <c:pt idx="1121">
                  <c:v>11.979166666666666</c:v>
                </c:pt>
                <c:pt idx="1122">
                  <c:v>11.989583333333332</c:v>
                </c:pt>
                <c:pt idx="1123">
                  <c:v>12</c:v>
                </c:pt>
                <c:pt idx="1124">
                  <c:v>12.010416666666666</c:v>
                </c:pt>
                <c:pt idx="1125">
                  <c:v>12.020833333333332</c:v>
                </c:pt>
                <c:pt idx="1126">
                  <c:v>12.03125</c:v>
                </c:pt>
                <c:pt idx="1127">
                  <c:v>12.041666666666666</c:v>
                </c:pt>
                <c:pt idx="1128">
                  <c:v>12.052083333333332</c:v>
                </c:pt>
                <c:pt idx="1129">
                  <c:v>12.0625</c:v>
                </c:pt>
                <c:pt idx="1130">
                  <c:v>12.072916666666666</c:v>
                </c:pt>
                <c:pt idx="1131">
                  <c:v>12.083333333333332</c:v>
                </c:pt>
                <c:pt idx="1132">
                  <c:v>12.09375</c:v>
                </c:pt>
                <c:pt idx="1133">
                  <c:v>12.104166666666666</c:v>
                </c:pt>
                <c:pt idx="1134">
                  <c:v>12.114583333333332</c:v>
                </c:pt>
                <c:pt idx="1135">
                  <c:v>12.125</c:v>
                </c:pt>
                <c:pt idx="1136">
                  <c:v>12.135416666666666</c:v>
                </c:pt>
                <c:pt idx="1137">
                  <c:v>12.145833333333332</c:v>
                </c:pt>
                <c:pt idx="1138">
                  <c:v>12.15625</c:v>
                </c:pt>
                <c:pt idx="1139">
                  <c:v>12.166666666666666</c:v>
                </c:pt>
                <c:pt idx="1140">
                  <c:v>12.177083333333332</c:v>
                </c:pt>
                <c:pt idx="1141">
                  <c:v>12.1875</c:v>
                </c:pt>
                <c:pt idx="1142">
                  <c:v>12.197916666666666</c:v>
                </c:pt>
                <c:pt idx="1143">
                  <c:v>12.208333333333332</c:v>
                </c:pt>
                <c:pt idx="1144">
                  <c:v>12.21875</c:v>
                </c:pt>
                <c:pt idx="1145">
                  <c:v>12.229166666666666</c:v>
                </c:pt>
                <c:pt idx="1146">
                  <c:v>12.239583333333332</c:v>
                </c:pt>
                <c:pt idx="1147">
                  <c:v>12.25</c:v>
                </c:pt>
                <c:pt idx="1148">
                  <c:v>12.260416666666666</c:v>
                </c:pt>
                <c:pt idx="1149">
                  <c:v>12.270833333333332</c:v>
                </c:pt>
                <c:pt idx="1150">
                  <c:v>12.28125</c:v>
                </c:pt>
                <c:pt idx="1151">
                  <c:v>12.291666666666666</c:v>
                </c:pt>
                <c:pt idx="1152">
                  <c:v>12.302083333333332</c:v>
                </c:pt>
                <c:pt idx="1153">
                  <c:v>12.3125</c:v>
                </c:pt>
                <c:pt idx="1154">
                  <c:v>12.322916666666666</c:v>
                </c:pt>
                <c:pt idx="1155">
                  <c:v>12.333333333333332</c:v>
                </c:pt>
                <c:pt idx="1156">
                  <c:v>12.34375</c:v>
                </c:pt>
                <c:pt idx="1157">
                  <c:v>12.354166666666666</c:v>
                </c:pt>
                <c:pt idx="1158">
                  <c:v>12.364583333333332</c:v>
                </c:pt>
                <c:pt idx="1159">
                  <c:v>12.375</c:v>
                </c:pt>
                <c:pt idx="1160">
                  <c:v>12.385416666666666</c:v>
                </c:pt>
                <c:pt idx="1161">
                  <c:v>12.395833333333332</c:v>
                </c:pt>
                <c:pt idx="1162">
                  <c:v>12.40625</c:v>
                </c:pt>
                <c:pt idx="1163">
                  <c:v>12.416666666666666</c:v>
                </c:pt>
                <c:pt idx="1164">
                  <c:v>12.427083333333332</c:v>
                </c:pt>
                <c:pt idx="1165">
                  <c:v>12.4375</c:v>
                </c:pt>
                <c:pt idx="1166">
                  <c:v>12.447916666666666</c:v>
                </c:pt>
                <c:pt idx="1167">
                  <c:v>12.458333333333332</c:v>
                </c:pt>
                <c:pt idx="1168">
                  <c:v>12.46875</c:v>
                </c:pt>
                <c:pt idx="1169">
                  <c:v>12.479166666666666</c:v>
                </c:pt>
                <c:pt idx="1170">
                  <c:v>12.489583333333332</c:v>
                </c:pt>
                <c:pt idx="1171">
                  <c:v>12.5</c:v>
                </c:pt>
                <c:pt idx="1172">
                  <c:v>12.510416666666666</c:v>
                </c:pt>
                <c:pt idx="1173">
                  <c:v>12.520833333333332</c:v>
                </c:pt>
                <c:pt idx="1174">
                  <c:v>12.53125</c:v>
                </c:pt>
                <c:pt idx="1175">
                  <c:v>12.541666666666666</c:v>
                </c:pt>
                <c:pt idx="1176">
                  <c:v>12.552083333333332</c:v>
                </c:pt>
                <c:pt idx="1177">
                  <c:v>12.5625</c:v>
                </c:pt>
                <c:pt idx="1178">
                  <c:v>12.572916666666666</c:v>
                </c:pt>
                <c:pt idx="1179">
                  <c:v>12.583333333333332</c:v>
                </c:pt>
                <c:pt idx="1180">
                  <c:v>12.59375</c:v>
                </c:pt>
                <c:pt idx="1181">
                  <c:v>12.604166666666666</c:v>
                </c:pt>
                <c:pt idx="1182">
                  <c:v>12.614583333333332</c:v>
                </c:pt>
                <c:pt idx="1183">
                  <c:v>12.625</c:v>
                </c:pt>
                <c:pt idx="1184">
                  <c:v>12.635416666666666</c:v>
                </c:pt>
                <c:pt idx="1185">
                  <c:v>12.645833333333332</c:v>
                </c:pt>
                <c:pt idx="1186">
                  <c:v>12.65625</c:v>
                </c:pt>
                <c:pt idx="1187">
                  <c:v>12.666666666666666</c:v>
                </c:pt>
                <c:pt idx="1188">
                  <c:v>12.677083333333332</c:v>
                </c:pt>
                <c:pt idx="1189">
                  <c:v>12.6875</c:v>
                </c:pt>
                <c:pt idx="1190">
                  <c:v>12.697916666666666</c:v>
                </c:pt>
                <c:pt idx="1191">
                  <c:v>12.708333333333332</c:v>
                </c:pt>
                <c:pt idx="1192">
                  <c:v>12.71875</c:v>
                </c:pt>
                <c:pt idx="1193">
                  <c:v>12.729166666666666</c:v>
                </c:pt>
                <c:pt idx="1194">
                  <c:v>12.739583333333332</c:v>
                </c:pt>
                <c:pt idx="1195">
                  <c:v>12.75</c:v>
                </c:pt>
                <c:pt idx="1196">
                  <c:v>12.760416666666666</c:v>
                </c:pt>
                <c:pt idx="1197">
                  <c:v>12.770833333333332</c:v>
                </c:pt>
                <c:pt idx="1198">
                  <c:v>12.78125</c:v>
                </c:pt>
                <c:pt idx="1199">
                  <c:v>12.791666666666666</c:v>
                </c:pt>
                <c:pt idx="1200">
                  <c:v>12.802083333333332</c:v>
                </c:pt>
                <c:pt idx="1201">
                  <c:v>12.8125</c:v>
                </c:pt>
                <c:pt idx="1202">
                  <c:v>12.822916666666666</c:v>
                </c:pt>
                <c:pt idx="1203">
                  <c:v>12.833333333333332</c:v>
                </c:pt>
                <c:pt idx="1204">
                  <c:v>12.84375</c:v>
                </c:pt>
                <c:pt idx="1205">
                  <c:v>12.854166666666666</c:v>
                </c:pt>
                <c:pt idx="1206">
                  <c:v>12.864583333333332</c:v>
                </c:pt>
                <c:pt idx="1207">
                  <c:v>12.875</c:v>
                </c:pt>
                <c:pt idx="1208">
                  <c:v>12.885416666666666</c:v>
                </c:pt>
                <c:pt idx="1209">
                  <c:v>12.895833333333332</c:v>
                </c:pt>
                <c:pt idx="1210">
                  <c:v>12.90625</c:v>
                </c:pt>
                <c:pt idx="1211">
                  <c:v>12.916666666666666</c:v>
                </c:pt>
                <c:pt idx="1212">
                  <c:v>12.927083333333332</c:v>
                </c:pt>
                <c:pt idx="1213">
                  <c:v>12.9375</c:v>
                </c:pt>
                <c:pt idx="1214">
                  <c:v>12.947916666666666</c:v>
                </c:pt>
                <c:pt idx="1215">
                  <c:v>12.958333333333332</c:v>
                </c:pt>
                <c:pt idx="1216">
                  <c:v>12.96875</c:v>
                </c:pt>
                <c:pt idx="1217">
                  <c:v>12.979166666666666</c:v>
                </c:pt>
                <c:pt idx="1218">
                  <c:v>12.989583333333332</c:v>
                </c:pt>
                <c:pt idx="1219">
                  <c:v>13</c:v>
                </c:pt>
                <c:pt idx="1220">
                  <c:v>13.010416666666666</c:v>
                </c:pt>
                <c:pt idx="1221">
                  <c:v>13.020833333333332</c:v>
                </c:pt>
                <c:pt idx="1222">
                  <c:v>13.03125</c:v>
                </c:pt>
                <c:pt idx="1223">
                  <c:v>13.041666666666666</c:v>
                </c:pt>
                <c:pt idx="1224">
                  <c:v>13.052083333333332</c:v>
                </c:pt>
                <c:pt idx="1225">
                  <c:v>13.0625</c:v>
                </c:pt>
                <c:pt idx="1226">
                  <c:v>13.072916666666666</c:v>
                </c:pt>
                <c:pt idx="1227">
                  <c:v>13.083333333333332</c:v>
                </c:pt>
                <c:pt idx="1228">
                  <c:v>13.09375</c:v>
                </c:pt>
                <c:pt idx="1229">
                  <c:v>13.104166666666666</c:v>
                </c:pt>
                <c:pt idx="1230">
                  <c:v>13.114583333333332</c:v>
                </c:pt>
                <c:pt idx="1231">
                  <c:v>13.125</c:v>
                </c:pt>
                <c:pt idx="1232">
                  <c:v>13.135416666666666</c:v>
                </c:pt>
                <c:pt idx="1233">
                  <c:v>13.145833333333332</c:v>
                </c:pt>
                <c:pt idx="1234">
                  <c:v>13.15625</c:v>
                </c:pt>
                <c:pt idx="1235">
                  <c:v>13.166666666666666</c:v>
                </c:pt>
                <c:pt idx="1236">
                  <c:v>13.177083333333332</c:v>
                </c:pt>
                <c:pt idx="1237">
                  <c:v>13.1875</c:v>
                </c:pt>
                <c:pt idx="1238">
                  <c:v>13.197916666666666</c:v>
                </c:pt>
                <c:pt idx="1239">
                  <c:v>13.208333333333332</c:v>
                </c:pt>
                <c:pt idx="1240">
                  <c:v>13.21875</c:v>
                </c:pt>
                <c:pt idx="1241">
                  <c:v>13.229166666666666</c:v>
                </c:pt>
                <c:pt idx="1242">
                  <c:v>13.239583333333332</c:v>
                </c:pt>
                <c:pt idx="1243">
                  <c:v>13.25</c:v>
                </c:pt>
                <c:pt idx="1244">
                  <c:v>13.260416666666666</c:v>
                </c:pt>
                <c:pt idx="1245">
                  <c:v>13.270833333333332</c:v>
                </c:pt>
                <c:pt idx="1246">
                  <c:v>13.28125</c:v>
                </c:pt>
                <c:pt idx="1247">
                  <c:v>13.291666666666666</c:v>
                </c:pt>
                <c:pt idx="1248">
                  <c:v>13.302083333333332</c:v>
                </c:pt>
                <c:pt idx="1249">
                  <c:v>13.3125</c:v>
                </c:pt>
                <c:pt idx="1250">
                  <c:v>13.322916666666666</c:v>
                </c:pt>
                <c:pt idx="1251">
                  <c:v>13.333333333333332</c:v>
                </c:pt>
                <c:pt idx="1252">
                  <c:v>13.34375</c:v>
                </c:pt>
                <c:pt idx="1253">
                  <c:v>13.354166666666666</c:v>
                </c:pt>
                <c:pt idx="1254">
                  <c:v>13.364583333333332</c:v>
                </c:pt>
                <c:pt idx="1255">
                  <c:v>13.375</c:v>
                </c:pt>
                <c:pt idx="1256">
                  <c:v>13.385416666666666</c:v>
                </c:pt>
                <c:pt idx="1257">
                  <c:v>13.395833333333332</c:v>
                </c:pt>
                <c:pt idx="1258">
                  <c:v>13.40625</c:v>
                </c:pt>
                <c:pt idx="1259">
                  <c:v>13.416666666666666</c:v>
                </c:pt>
                <c:pt idx="1260">
                  <c:v>13.427083333333332</c:v>
                </c:pt>
                <c:pt idx="1261">
                  <c:v>13.4375</c:v>
                </c:pt>
                <c:pt idx="1262">
                  <c:v>13.447916666666666</c:v>
                </c:pt>
                <c:pt idx="1263">
                  <c:v>13.458333333333332</c:v>
                </c:pt>
                <c:pt idx="1264">
                  <c:v>13.46875</c:v>
                </c:pt>
                <c:pt idx="1265">
                  <c:v>13.479166666666666</c:v>
                </c:pt>
                <c:pt idx="1266">
                  <c:v>13.489583333333332</c:v>
                </c:pt>
                <c:pt idx="1267">
                  <c:v>13.5</c:v>
                </c:pt>
                <c:pt idx="1268">
                  <c:v>13.510416666666666</c:v>
                </c:pt>
                <c:pt idx="1269">
                  <c:v>13.520833333333332</c:v>
                </c:pt>
                <c:pt idx="1270">
                  <c:v>13.53125</c:v>
                </c:pt>
                <c:pt idx="1271">
                  <c:v>13.541666666666666</c:v>
                </c:pt>
                <c:pt idx="1272">
                  <c:v>13.552083333333332</c:v>
                </c:pt>
                <c:pt idx="1273">
                  <c:v>13.5625</c:v>
                </c:pt>
                <c:pt idx="1274">
                  <c:v>13.572916666666666</c:v>
                </c:pt>
                <c:pt idx="1275">
                  <c:v>13.583333333333332</c:v>
                </c:pt>
                <c:pt idx="1276">
                  <c:v>13.59375</c:v>
                </c:pt>
                <c:pt idx="1277">
                  <c:v>13.604166666666666</c:v>
                </c:pt>
                <c:pt idx="1278">
                  <c:v>13.614583333333332</c:v>
                </c:pt>
                <c:pt idx="1279">
                  <c:v>13.625</c:v>
                </c:pt>
                <c:pt idx="1280">
                  <c:v>13.635416666666666</c:v>
                </c:pt>
                <c:pt idx="1281">
                  <c:v>13.645833333333332</c:v>
                </c:pt>
                <c:pt idx="1282">
                  <c:v>13.65625</c:v>
                </c:pt>
                <c:pt idx="1283">
                  <c:v>13.666666666666666</c:v>
                </c:pt>
                <c:pt idx="1284">
                  <c:v>13.677083333333332</c:v>
                </c:pt>
                <c:pt idx="1285">
                  <c:v>13.6875</c:v>
                </c:pt>
                <c:pt idx="1286">
                  <c:v>13.697916666666666</c:v>
                </c:pt>
                <c:pt idx="1287">
                  <c:v>13.708333333333332</c:v>
                </c:pt>
                <c:pt idx="1288">
                  <c:v>13.71875</c:v>
                </c:pt>
                <c:pt idx="1289">
                  <c:v>13.729166666666666</c:v>
                </c:pt>
                <c:pt idx="1290">
                  <c:v>13.739583333333332</c:v>
                </c:pt>
                <c:pt idx="1291">
                  <c:v>13.75</c:v>
                </c:pt>
                <c:pt idx="1292">
                  <c:v>13.760416666666666</c:v>
                </c:pt>
                <c:pt idx="1293">
                  <c:v>13.770833333333332</c:v>
                </c:pt>
                <c:pt idx="1294">
                  <c:v>13.78125</c:v>
                </c:pt>
                <c:pt idx="1295">
                  <c:v>13.791666666666666</c:v>
                </c:pt>
                <c:pt idx="1296">
                  <c:v>13.802083333333332</c:v>
                </c:pt>
                <c:pt idx="1297">
                  <c:v>13.8125</c:v>
                </c:pt>
                <c:pt idx="1298">
                  <c:v>13.822916666666666</c:v>
                </c:pt>
                <c:pt idx="1299">
                  <c:v>13.833333333333332</c:v>
                </c:pt>
                <c:pt idx="1300">
                  <c:v>13.84375</c:v>
                </c:pt>
                <c:pt idx="1301">
                  <c:v>13.854166666666666</c:v>
                </c:pt>
                <c:pt idx="1302">
                  <c:v>13.864583333333332</c:v>
                </c:pt>
              </c:numCache>
            </c:numRef>
          </c:xVal>
          <c:yVal>
            <c:numRef>
              <c:f>'C2SOUT2'!$Q$3:$Q$1305</c:f>
              <c:numCache>
                <c:formatCode>General</c:formatCode>
                <c:ptCount val="1303"/>
                <c:pt idx="0">
                  <c:v>-1.6</c:v>
                </c:pt>
                <c:pt idx="1">
                  <c:v>-1.6</c:v>
                </c:pt>
                <c:pt idx="2">
                  <c:v>-1.7</c:v>
                </c:pt>
                <c:pt idx="3">
                  <c:v>-1.6</c:v>
                </c:pt>
                <c:pt idx="4">
                  <c:v>-1.6</c:v>
                </c:pt>
                <c:pt idx="5">
                  <c:v>-1.6</c:v>
                </c:pt>
                <c:pt idx="6">
                  <c:v>-1.5</c:v>
                </c:pt>
                <c:pt idx="7">
                  <c:v>-1.6</c:v>
                </c:pt>
                <c:pt idx="8">
                  <c:v>-1.8</c:v>
                </c:pt>
                <c:pt idx="9">
                  <c:v>-1.8</c:v>
                </c:pt>
                <c:pt idx="10">
                  <c:v>-1.8</c:v>
                </c:pt>
                <c:pt idx="11">
                  <c:v>-1.7</c:v>
                </c:pt>
                <c:pt idx="12">
                  <c:v>-1.6</c:v>
                </c:pt>
                <c:pt idx="13">
                  <c:v>-1.5</c:v>
                </c:pt>
                <c:pt idx="14">
                  <c:v>-1.6</c:v>
                </c:pt>
                <c:pt idx="15">
                  <c:v>-1.7</c:v>
                </c:pt>
                <c:pt idx="16">
                  <c:v>-1.7</c:v>
                </c:pt>
                <c:pt idx="17">
                  <c:v>-1.7</c:v>
                </c:pt>
                <c:pt idx="18">
                  <c:v>-1.6</c:v>
                </c:pt>
                <c:pt idx="19">
                  <c:v>-1.5</c:v>
                </c:pt>
                <c:pt idx="20">
                  <c:v>-1.5</c:v>
                </c:pt>
                <c:pt idx="21">
                  <c:v>-1.7</c:v>
                </c:pt>
                <c:pt idx="22">
                  <c:v>-1.6</c:v>
                </c:pt>
                <c:pt idx="23">
                  <c:v>-1.6</c:v>
                </c:pt>
                <c:pt idx="24">
                  <c:v>-1.6</c:v>
                </c:pt>
                <c:pt idx="25">
                  <c:v>-1.7</c:v>
                </c:pt>
                <c:pt idx="26">
                  <c:v>-1.7</c:v>
                </c:pt>
                <c:pt idx="27">
                  <c:v>-1.8</c:v>
                </c:pt>
                <c:pt idx="28">
                  <c:v>-1</c:v>
                </c:pt>
                <c:pt idx="29">
                  <c:v>-1.7</c:v>
                </c:pt>
                <c:pt idx="30">
                  <c:v>-1.6</c:v>
                </c:pt>
                <c:pt idx="31">
                  <c:v>-1.7</c:v>
                </c:pt>
                <c:pt idx="32">
                  <c:v>-1.5</c:v>
                </c:pt>
                <c:pt idx="33">
                  <c:v>-1.8</c:v>
                </c:pt>
                <c:pt idx="34">
                  <c:v>-1</c:v>
                </c:pt>
                <c:pt idx="35">
                  <c:v>-1.5</c:v>
                </c:pt>
                <c:pt idx="36">
                  <c:v>-1.6</c:v>
                </c:pt>
                <c:pt idx="37">
                  <c:v>-1.6</c:v>
                </c:pt>
                <c:pt idx="38">
                  <c:v>-1.7</c:v>
                </c:pt>
                <c:pt idx="39">
                  <c:v>-1.6</c:v>
                </c:pt>
                <c:pt idx="40">
                  <c:v>-1.7</c:v>
                </c:pt>
                <c:pt idx="41">
                  <c:v>-1.7</c:v>
                </c:pt>
                <c:pt idx="42">
                  <c:v>-1.6</c:v>
                </c:pt>
                <c:pt idx="43">
                  <c:v>-1.6</c:v>
                </c:pt>
                <c:pt idx="44">
                  <c:v>-1.8</c:v>
                </c:pt>
                <c:pt idx="45">
                  <c:v>-1.5</c:v>
                </c:pt>
                <c:pt idx="46">
                  <c:v>-1.8</c:v>
                </c:pt>
                <c:pt idx="47">
                  <c:v>-1.6</c:v>
                </c:pt>
                <c:pt idx="48">
                  <c:v>-1.6</c:v>
                </c:pt>
                <c:pt idx="49">
                  <c:v>-1.6</c:v>
                </c:pt>
                <c:pt idx="50">
                  <c:v>-1.7</c:v>
                </c:pt>
                <c:pt idx="51">
                  <c:v>-1.7</c:v>
                </c:pt>
                <c:pt idx="52">
                  <c:v>-1.6</c:v>
                </c:pt>
                <c:pt idx="53">
                  <c:v>-1.8</c:v>
                </c:pt>
                <c:pt idx="54">
                  <c:v>-1.5</c:v>
                </c:pt>
                <c:pt idx="55">
                  <c:v>-1.7</c:v>
                </c:pt>
                <c:pt idx="56">
                  <c:v>-1.2</c:v>
                </c:pt>
                <c:pt idx="57">
                  <c:v>-1.7</c:v>
                </c:pt>
                <c:pt idx="58">
                  <c:v>-1.9</c:v>
                </c:pt>
                <c:pt idx="59">
                  <c:v>-1.8</c:v>
                </c:pt>
                <c:pt idx="60">
                  <c:v>-1.7</c:v>
                </c:pt>
                <c:pt idx="61">
                  <c:v>-1.8</c:v>
                </c:pt>
                <c:pt idx="62">
                  <c:v>-1.9</c:v>
                </c:pt>
                <c:pt idx="63">
                  <c:v>-2</c:v>
                </c:pt>
                <c:pt idx="64">
                  <c:v>-1.7</c:v>
                </c:pt>
                <c:pt idx="65">
                  <c:v>-1.8</c:v>
                </c:pt>
                <c:pt idx="66">
                  <c:v>-1.7</c:v>
                </c:pt>
                <c:pt idx="67">
                  <c:v>-1.7</c:v>
                </c:pt>
                <c:pt idx="68">
                  <c:v>-1.9</c:v>
                </c:pt>
                <c:pt idx="69">
                  <c:v>-1.6</c:v>
                </c:pt>
                <c:pt idx="70">
                  <c:v>-1.7</c:v>
                </c:pt>
                <c:pt idx="71">
                  <c:v>-1.7</c:v>
                </c:pt>
                <c:pt idx="72">
                  <c:v>-2</c:v>
                </c:pt>
                <c:pt idx="73">
                  <c:v>-1.5</c:v>
                </c:pt>
                <c:pt idx="74">
                  <c:v>-1.3</c:v>
                </c:pt>
                <c:pt idx="75">
                  <c:v>-1.1000000000000001</c:v>
                </c:pt>
                <c:pt idx="76">
                  <c:v>-0.4</c:v>
                </c:pt>
                <c:pt idx="77">
                  <c:v>0.4</c:v>
                </c:pt>
                <c:pt idx="78">
                  <c:v>0.2</c:v>
                </c:pt>
                <c:pt idx="79">
                  <c:v>-0.1</c:v>
                </c:pt>
                <c:pt idx="80">
                  <c:v>0.3</c:v>
                </c:pt>
                <c:pt idx="81">
                  <c:v>1.1000000000000001</c:v>
                </c:pt>
                <c:pt idx="82">
                  <c:v>2</c:v>
                </c:pt>
                <c:pt idx="83">
                  <c:v>3.5</c:v>
                </c:pt>
                <c:pt idx="84">
                  <c:v>2.4</c:v>
                </c:pt>
                <c:pt idx="85">
                  <c:v>2.6</c:v>
                </c:pt>
                <c:pt idx="86">
                  <c:v>5.0999999999999996</c:v>
                </c:pt>
                <c:pt idx="87">
                  <c:v>4.3</c:v>
                </c:pt>
                <c:pt idx="88">
                  <c:v>6.4</c:v>
                </c:pt>
                <c:pt idx="89">
                  <c:v>7.5</c:v>
                </c:pt>
                <c:pt idx="90">
                  <c:v>6.7</c:v>
                </c:pt>
                <c:pt idx="91">
                  <c:v>5.7</c:v>
                </c:pt>
                <c:pt idx="92">
                  <c:v>5.6</c:v>
                </c:pt>
                <c:pt idx="93">
                  <c:v>5.6</c:v>
                </c:pt>
                <c:pt idx="94">
                  <c:v>5.7</c:v>
                </c:pt>
                <c:pt idx="95">
                  <c:v>5.0999999999999996</c:v>
                </c:pt>
                <c:pt idx="96">
                  <c:v>5.3</c:v>
                </c:pt>
                <c:pt idx="97">
                  <c:v>6</c:v>
                </c:pt>
                <c:pt idx="98">
                  <c:v>5.3</c:v>
                </c:pt>
                <c:pt idx="99">
                  <c:v>5.2</c:v>
                </c:pt>
                <c:pt idx="100">
                  <c:v>5.8</c:v>
                </c:pt>
                <c:pt idx="101">
                  <c:v>4.7</c:v>
                </c:pt>
                <c:pt idx="102">
                  <c:v>4.8</c:v>
                </c:pt>
                <c:pt idx="103">
                  <c:v>6</c:v>
                </c:pt>
                <c:pt idx="104">
                  <c:v>5.9</c:v>
                </c:pt>
                <c:pt idx="105">
                  <c:v>5.8</c:v>
                </c:pt>
                <c:pt idx="106">
                  <c:v>5.5</c:v>
                </c:pt>
                <c:pt idx="107">
                  <c:v>6.2</c:v>
                </c:pt>
                <c:pt idx="108">
                  <c:v>6.3</c:v>
                </c:pt>
                <c:pt idx="109">
                  <c:v>6.9</c:v>
                </c:pt>
                <c:pt idx="110">
                  <c:v>6.8</c:v>
                </c:pt>
                <c:pt idx="111">
                  <c:v>7.6</c:v>
                </c:pt>
                <c:pt idx="112">
                  <c:v>8.6999999999999993</c:v>
                </c:pt>
                <c:pt idx="113">
                  <c:v>9.3000000000000007</c:v>
                </c:pt>
                <c:pt idx="114">
                  <c:v>8.9</c:v>
                </c:pt>
                <c:pt idx="115">
                  <c:v>9.1999999999999993</c:v>
                </c:pt>
                <c:pt idx="116">
                  <c:v>9.3000000000000007</c:v>
                </c:pt>
                <c:pt idx="117">
                  <c:v>9.6999999999999993</c:v>
                </c:pt>
                <c:pt idx="118">
                  <c:v>9.8000000000000007</c:v>
                </c:pt>
                <c:pt idx="119">
                  <c:v>9.5</c:v>
                </c:pt>
                <c:pt idx="120">
                  <c:v>9.5</c:v>
                </c:pt>
                <c:pt idx="121">
                  <c:v>9.5</c:v>
                </c:pt>
                <c:pt idx="122">
                  <c:v>9.1999999999999993</c:v>
                </c:pt>
                <c:pt idx="123">
                  <c:v>8.9</c:v>
                </c:pt>
                <c:pt idx="124">
                  <c:v>8.6</c:v>
                </c:pt>
                <c:pt idx="125">
                  <c:v>8.9</c:v>
                </c:pt>
                <c:pt idx="126">
                  <c:v>11.6</c:v>
                </c:pt>
                <c:pt idx="127">
                  <c:v>11.3</c:v>
                </c:pt>
                <c:pt idx="128">
                  <c:v>12</c:v>
                </c:pt>
                <c:pt idx="129">
                  <c:v>10.1</c:v>
                </c:pt>
                <c:pt idx="130">
                  <c:v>8.4</c:v>
                </c:pt>
                <c:pt idx="131">
                  <c:v>10.1</c:v>
                </c:pt>
                <c:pt idx="132">
                  <c:v>10.199999999999999</c:v>
                </c:pt>
                <c:pt idx="133">
                  <c:v>11</c:v>
                </c:pt>
                <c:pt idx="134">
                  <c:v>10.9</c:v>
                </c:pt>
                <c:pt idx="135">
                  <c:v>10.6</c:v>
                </c:pt>
                <c:pt idx="136">
                  <c:v>10.6</c:v>
                </c:pt>
                <c:pt idx="137">
                  <c:v>10.5</c:v>
                </c:pt>
                <c:pt idx="138">
                  <c:v>10.7</c:v>
                </c:pt>
                <c:pt idx="139">
                  <c:v>11</c:v>
                </c:pt>
                <c:pt idx="140">
                  <c:v>11.2</c:v>
                </c:pt>
                <c:pt idx="141">
                  <c:v>11.3</c:v>
                </c:pt>
                <c:pt idx="142">
                  <c:v>11.5</c:v>
                </c:pt>
                <c:pt idx="143">
                  <c:v>12.7</c:v>
                </c:pt>
                <c:pt idx="144">
                  <c:v>12.6</c:v>
                </c:pt>
                <c:pt idx="145">
                  <c:v>13.1</c:v>
                </c:pt>
                <c:pt idx="146">
                  <c:v>13.8</c:v>
                </c:pt>
                <c:pt idx="147">
                  <c:v>15.2</c:v>
                </c:pt>
                <c:pt idx="148">
                  <c:v>14.8</c:v>
                </c:pt>
                <c:pt idx="149">
                  <c:v>16.100000000000001</c:v>
                </c:pt>
                <c:pt idx="150">
                  <c:v>15.5</c:v>
                </c:pt>
                <c:pt idx="151">
                  <c:v>15.6</c:v>
                </c:pt>
                <c:pt idx="152">
                  <c:v>15.6</c:v>
                </c:pt>
                <c:pt idx="153">
                  <c:v>16.899999999999999</c:v>
                </c:pt>
                <c:pt idx="154">
                  <c:v>15.9</c:v>
                </c:pt>
                <c:pt idx="155">
                  <c:v>16.5</c:v>
                </c:pt>
                <c:pt idx="156">
                  <c:v>16.5</c:v>
                </c:pt>
                <c:pt idx="157">
                  <c:v>16.399999999999999</c:v>
                </c:pt>
                <c:pt idx="158">
                  <c:v>17.2</c:v>
                </c:pt>
                <c:pt idx="159">
                  <c:v>17.100000000000001</c:v>
                </c:pt>
                <c:pt idx="160">
                  <c:v>17.2</c:v>
                </c:pt>
                <c:pt idx="161">
                  <c:v>17.399999999999999</c:v>
                </c:pt>
                <c:pt idx="162">
                  <c:v>17.899999999999999</c:v>
                </c:pt>
                <c:pt idx="163">
                  <c:v>18</c:v>
                </c:pt>
                <c:pt idx="164">
                  <c:v>18.5</c:v>
                </c:pt>
                <c:pt idx="165">
                  <c:v>19.8</c:v>
                </c:pt>
                <c:pt idx="166">
                  <c:v>21.7</c:v>
                </c:pt>
                <c:pt idx="167">
                  <c:v>23.2</c:v>
                </c:pt>
                <c:pt idx="168">
                  <c:v>24.3</c:v>
                </c:pt>
                <c:pt idx="169">
                  <c:v>26.4</c:v>
                </c:pt>
                <c:pt idx="170">
                  <c:v>27.2</c:v>
                </c:pt>
                <c:pt idx="171">
                  <c:v>27.6</c:v>
                </c:pt>
                <c:pt idx="172">
                  <c:v>27.9</c:v>
                </c:pt>
                <c:pt idx="173">
                  <c:v>27.8</c:v>
                </c:pt>
                <c:pt idx="174">
                  <c:v>28.7</c:v>
                </c:pt>
                <c:pt idx="175">
                  <c:v>28.5</c:v>
                </c:pt>
                <c:pt idx="176">
                  <c:v>29.4</c:v>
                </c:pt>
                <c:pt idx="177">
                  <c:v>30.3</c:v>
                </c:pt>
                <c:pt idx="178">
                  <c:v>31.9</c:v>
                </c:pt>
                <c:pt idx="179">
                  <c:v>30.9</c:v>
                </c:pt>
                <c:pt idx="180">
                  <c:v>32.700000000000003</c:v>
                </c:pt>
                <c:pt idx="181">
                  <c:v>32.299999999999997</c:v>
                </c:pt>
                <c:pt idx="182">
                  <c:v>30.9</c:v>
                </c:pt>
                <c:pt idx="183">
                  <c:v>31.4</c:v>
                </c:pt>
                <c:pt idx="184">
                  <c:v>30.8</c:v>
                </c:pt>
                <c:pt idx="185">
                  <c:v>31.1</c:v>
                </c:pt>
                <c:pt idx="186">
                  <c:v>30.9</c:v>
                </c:pt>
                <c:pt idx="187">
                  <c:v>31.2</c:v>
                </c:pt>
                <c:pt idx="188">
                  <c:v>31.3</c:v>
                </c:pt>
                <c:pt idx="189">
                  <c:v>31.3</c:v>
                </c:pt>
                <c:pt idx="190">
                  <c:v>31</c:v>
                </c:pt>
                <c:pt idx="191">
                  <c:v>31.4</c:v>
                </c:pt>
                <c:pt idx="192">
                  <c:v>31</c:v>
                </c:pt>
                <c:pt idx="193">
                  <c:v>31.7</c:v>
                </c:pt>
                <c:pt idx="194">
                  <c:v>31.7</c:v>
                </c:pt>
                <c:pt idx="195">
                  <c:v>31.3</c:v>
                </c:pt>
                <c:pt idx="196">
                  <c:v>31</c:v>
                </c:pt>
                <c:pt idx="197">
                  <c:v>31.7</c:v>
                </c:pt>
                <c:pt idx="198">
                  <c:v>31.3</c:v>
                </c:pt>
                <c:pt idx="199">
                  <c:v>31.3</c:v>
                </c:pt>
                <c:pt idx="200">
                  <c:v>31.2</c:v>
                </c:pt>
                <c:pt idx="201">
                  <c:v>31.7</c:v>
                </c:pt>
                <c:pt idx="202">
                  <c:v>33.299999999999997</c:v>
                </c:pt>
                <c:pt idx="203">
                  <c:v>32.4</c:v>
                </c:pt>
                <c:pt idx="204">
                  <c:v>32.4</c:v>
                </c:pt>
                <c:pt idx="205">
                  <c:v>32.299999999999997</c:v>
                </c:pt>
                <c:pt idx="206">
                  <c:v>32.299999999999997</c:v>
                </c:pt>
                <c:pt idx="207">
                  <c:v>32.6</c:v>
                </c:pt>
                <c:pt idx="208">
                  <c:v>32.700000000000003</c:v>
                </c:pt>
                <c:pt idx="209">
                  <c:v>32.6</c:v>
                </c:pt>
                <c:pt idx="210">
                  <c:v>32.6</c:v>
                </c:pt>
                <c:pt idx="211">
                  <c:v>32.6</c:v>
                </c:pt>
                <c:pt idx="212">
                  <c:v>32.4</c:v>
                </c:pt>
                <c:pt idx="213">
                  <c:v>32.4</c:v>
                </c:pt>
                <c:pt idx="214">
                  <c:v>33.1</c:v>
                </c:pt>
                <c:pt idx="215">
                  <c:v>33</c:v>
                </c:pt>
                <c:pt idx="216">
                  <c:v>33.200000000000003</c:v>
                </c:pt>
                <c:pt idx="217">
                  <c:v>33.6</c:v>
                </c:pt>
                <c:pt idx="218">
                  <c:v>33.799999999999997</c:v>
                </c:pt>
                <c:pt idx="219">
                  <c:v>33.700000000000003</c:v>
                </c:pt>
                <c:pt idx="220">
                  <c:v>33.700000000000003</c:v>
                </c:pt>
                <c:pt idx="221">
                  <c:v>33.9</c:v>
                </c:pt>
                <c:pt idx="222">
                  <c:v>34.1</c:v>
                </c:pt>
                <c:pt idx="223">
                  <c:v>34.6</c:v>
                </c:pt>
                <c:pt idx="224">
                  <c:v>34.9</c:v>
                </c:pt>
                <c:pt idx="225">
                  <c:v>35.1</c:v>
                </c:pt>
                <c:pt idx="226">
                  <c:v>35</c:v>
                </c:pt>
                <c:pt idx="227">
                  <c:v>33.5</c:v>
                </c:pt>
                <c:pt idx="228">
                  <c:v>35.299999999999997</c:v>
                </c:pt>
                <c:pt idx="229">
                  <c:v>35.200000000000003</c:v>
                </c:pt>
                <c:pt idx="230">
                  <c:v>34.6</c:v>
                </c:pt>
                <c:pt idx="231">
                  <c:v>34.9</c:v>
                </c:pt>
                <c:pt idx="232">
                  <c:v>35.299999999999997</c:v>
                </c:pt>
                <c:pt idx="233">
                  <c:v>35.5</c:v>
                </c:pt>
                <c:pt idx="234">
                  <c:v>36.5</c:v>
                </c:pt>
                <c:pt idx="235">
                  <c:v>36.700000000000003</c:v>
                </c:pt>
                <c:pt idx="236">
                  <c:v>36.799999999999997</c:v>
                </c:pt>
                <c:pt idx="237">
                  <c:v>37.4</c:v>
                </c:pt>
                <c:pt idx="238">
                  <c:v>37.700000000000003</c:v>
                </c:pt>
                <c:pt idx="239">
                  <c:v>38</c:v>
                </c:pt>
                <c:pt idx="240">
                  <c:v>37.5</c:v>
                </c:pt>
                <c:pt idx="241">
                  <c:v>36.799999999999997</c:v>
                </c:pt>
                <c:pt idx="242">
                  <c:v>37.200000000000003</c:v>
                </c:pt>
                <c:pt idx="243">
                  <c:v>36.9</c:v>
                </c:pt>
                <c:pt idx="244">
                  <c:v>36.200000000000003</c:v>
                </c:pt>
                <c:pt idx="245">
                  <c:v>36.4</c:v>
                </c:pt>
                <c:pt idx="246">
                  <c:v>36.5</c:v>
                </c:pt>
                <c:pt idx="247">
                  <c:v>36.799999999999997</c:v>
                </c:pt>
                <c:pt idx="248">
                  <c:v>36.799999999999997</c:v>
                </c:pt>
                <c:pt idx="249">
                  <c:v>36.700000000000003</c:v>
                </c:pt>
                <c:pt idx="250">
                  <c:v>35.700000000000003</c:v>
                </c:pt>
                <c:pt idx="251">
                  <c:v>35.799999999999997</c:v>
                </c:pt>
                <c:pt idx="252">
                  <c:v>35.200000000000003</c:v>
                </c:pt>
                <c:pt idx="253">
                  <c:v>35.4</c:v>
                </c:pt>
                <c:pt idx="254">
                  <c:v>35.1</c:v>
                </c:pt>
                <c:pt idx="255">
                  <c:v>46.5</c:v>
                </c:pt>
                <c:pt idx="256">
                  <c:v>46.7</c:v>
                </c:pt>
                <c:pt idx="257">
                  <c:v>45.8</c:v>
                </c:pt>
                <c:pt idx="258">
                  <c:v>46.4</c:v>
                </c:pt>
                <c:pt idx="259">
                  <c:v>46.3</c:v>
                </c:pt>
                <c:pt idx="260">
                  <c:v>46</c:v>
                </c:pt>
                <c:pt idx="261">
                  <c:v>45.9</c:v>
                </c:pt>
                <c:pt idx="262">
                  <c:v>46</c:v>
                </c:pt>
                <c:pt idx="263">
                  <c:v>46.4</c:v>
                </c:pt>
                <c:pt idx="264">
                  <c:v>46.5</c:v>
                </c:pt>
                <c:pt idx="265">
                  <c:v>46.2</c:v>
                </c:pt>
                <c:pt idx="266">
                  <c:v>46.7</c:v>
                </c:pt>
                <c:pt idx="267">
                  <c:v>46.5</c:v>
                </c:pt>
                <c:pt idx="268">
                  <c:v>46.4</c:v>
                </c:pt>
                <c:pt idx="269">
                  <c:v>46.7</c:v>
                </c:pt>
                <c:pt idx="270">
                  <c:v>46.9</c:v>
                </c:pt>
                <c:pt idx="271">
                  <c:v>46.9</c:v>
                </c:pt>
                <c:pt idx="272">
                  <c:v>47.1</c:v>
                </c:pt>
                <c:pt idx="273">
                  <c:v>47.5</c:v>
                </c:pt>
                <c:pt idx="274">
                  <c:v>47.6</c:v>
                </c:pt>
                <c:pt idx="275">
                  <c:v>47.5</c:v>
                </c:pt>
                <c:pt idx="276">
                  <c:v>48.1</c:v>
                </c:pt>
                <c:pt idx="277">
                  <c:v>48.2</c:v>
                </c:pt>
                <c:pt idx="278">
                  <c:v>48.7</c:v>
                </c:pt>
                <c:pt idx="279">
                  <c:v>48.4</c:v>
                </c:pt>
                <c:pt idx="280">
                  <c:v>48.4</c:v>
                </c:pt>
                <c:pt idx="281">
                  <c:v>48.8</c:v>
                </c:pt>
                <c:pt idx="282">
                  <c:v>49.2</c:v>
                </c:pt>
                <c:pt idx="283">
                  <c:v>49.3</c:v>
                </c:pt>
                <c:pt idx="284">
                  <c:v>49.1</c:v>
                </c:pt>
                <c:pt idx="285">
                  <c:v>49.5</c:v>
                </c:pt>
                <c:pt idx="286">
                  <c:v>49.7</c:v>
                </c:pt>
                <c:pt idx="287">
                  <c:v>49.7</c:v>
                </c:pt>
                <c:pt idx="288">
                  <c:v>50.1</c:v>
                </c:pt>
                <c:pt idx="289">
                  <c:v>50.5</c:v>
                </c:pt>
                <c:pt idx="290">
                  <c:v>50.8</c:v>
                </c:pt>
                <c:pt idx="291">
                  <c:v>51</c:v>
                </c:pt>
                <c:pt idx="292">
                  <c:v>51.1</c:v>
                </c:pt>
                <c:pt idx="293">
                  <c:v>51.4</c:v>
                </c:pt>
                <c:pt idx="294">
                  <c:v>51.9</c:v>
                </c:pt>
                <c:pt idx="295">
                  <c:v>52.1</c:v>
                </c:pt>
                <c:pt idx="296">
                  <c:v>52.9</c:v>
                </c:pt>
                <c:pt idx="297">
                  <c:v>52.3</c:v>
                </c:pt>
                <c:pt idx="298">
                  <c:v>52.7</c:v>
                </c:pt>
                <c:pt idx="299">
                  <c:v>53.5</c:v>
                </c:pt>
                <c:pt idx="300">
                  <c:v>53.8</c:v>
                </c:pt>
                <c:pt idx="301">
                  <c:v>54.2</c:v>
                </c:pt>
                <c:pt idx="302">
                  <c:v>54.5</c:v>
                </c:pt>
                <c:pt idx="303">
                  <c:v>54.3</c:v>
                </c:pt>
                <c:pt idx="304">
                  <c:v>54.8</c:v>
                </c:pt>
                <c:pt idx="305">
                  <c:v>55.2</c:v>
                </c:pt>
                <c:pt idx="306">
                  <c:v>55.4</c:v>
                </c:pt>
                <c:pt idx="307">
                  <c:v>55.6</c:v>
                </c:pt>
                <c:pt idx="308">
                  <c:v>55.8</c:v>
                </c:pt>
                <c:pt idx="309">
                  <c:v>56.3</c:v>
                </c:pt>
                <c:pt idx="310">
                  <c:v>56.1</c:v>
                </c:pt>
                <c:pt idx="311">
                  <c:v>56.1</c:v>
                </c:pt>
                <c:pt idx="312">
                  <c:v>56.1</c:v>
                </c:pt>
                <c:pt idx="313">
                  <c:v>56.3</c:v>
                </c:pt>
                <c:pt idx="314">
                  <c:v>56.1</c:v>
                </c:pt>
                <c:pt idx="315">
                  <c:v>56.4</c:v>
                </c:pt>
                <c:pt idx="316">
                  <c:v>56.3</c:v>
                </c:pt>
                <c:pt idx="317">
                  <c:v>56.5</c:v>
                </c:pt>
                <c:pt idx="318">
                  <c:v>56.7</c:v>
                </c:pt>
                <c:pt idx="319">
                  <c:v>56.8</c:v>
                </c:pt>
                <c:pt idx="320">
                  <c:v>57</c:v>
                </c:pt>
                <c:pt idx="321">
                  <c:v>56.9</c:v>
                </c:pt>
                <c:pt idx="322">
                  <c:v>57.3</c:v>
                </c:pt>
                <c:pt idx="323">
                  <c:v>57.1</c:v>
                </c:pt>
                <c:pt idx="324">
                  <c:v>57.4</c:v>
                </c:pt>
                <c:pt idx="325">
                  <c:v>57.5</c:v>
                </c:pt>
                <c:pt idx="326">
                  <c:v>57.2</c:v>
                </c:pt>
                <c:pt idx="327">
                  <c:v>57.5</c:v>
                </c:pt>
                <c:pt idx="328">
                  <c:v>57.5</c:v>
                </c:pt>
                <c:pt idx="329">
                  <c:v>57.6</c:v>
                </c:pt>
                <c:pt idx="330">
                  <c:v>57.3</c:v>
                </c:pt>
                <c:pt idx="331">
                  <c:v>57.6</c:v>
                </c:pt>
                <c:pt idx="332">
                  <c:v>57.5</c:v>
                </c:pt>
                <c:pt idx="333">
                  <c:v>57.6</c:v>
                </c:pt>
                <c:pt idx="334">
                  <c:v>57.4</c:v>
                </c:pt>
                <c:pt idx="335">
                  <c:v>57.4</c:v>
                </c:pt>
                <c:pt idx="336">
                  <c:v>57.1</c:v>
                </c:pt>
                <c:pt idx="337">
                  <c:v>57.4</c:v>
                </c:pt>
                <c:pt idx="338">
                  <c:v>57.3</c:v>
                </c:pt>
                <c:pt idx="339">
                  <c:v>56.8</c:v>
                </c:pt>
                <c:pt idx="340">
                  <c:v>56.9</c:v>
                </c:pt>
                <c:pt idx="341">
                  <c:v>56.6</c:v>
                </c:pt>
                <c:pt idx="342">
                  <c:v>56.5</c:v>
                </c:pt>
                <c:pt idx="343">
                  <c:v>56.3</c:v>
                </c:pt>
                <c:pt idx="344">
                  <c:v>56.3</c:v>
                </c:pt>
                <c:pt idx="345">
                  <c:v>56.2</c:v>
                </c:pt>
                <c:pt idx="346">
                  <c:v>56</c:v>
                </c:pt>
                <c:pt idx="347">
                  <c:v>55.7</c:v>
                </c:pt>
                <c:pt idx="348">
                  <c:v>55.7</c:v>
                </c:pt>
                <c:pt idx="349">
                  <c:v>56</c:v>
                </c:pt>
                <c:pt idx="350">
                  <c:v>56.1</c:v>
                </c:pt>
                <c:pt idx="351">
                  <c:v>55.4</c:v>
                </c:pt>
                <c:pt idx="352">
                  <c:v>56</c:v>
                </c:pt>
                <c:pt idx="353">
                  <c:v>55.8</c:v>
                </c:pt>
                <c:pt idx="354">
                  <c:v>55.6</c:v>
                </c:pt>
                <c:pt idx="355">
                  <c:v>55.7</c:v>
                </c:pt>
                <c:pt idx="356">
                  <c:v>55.4</c:v>
                </c:pt>
                <c:pt idx="357">
                  <c:v>55.7</c:v>
                </c:pt>
                <c:pt idx="358">
                  <c:v>55.3</c:v>
                </c:pt>
                <c:pt idx="359">
                  <c:v>55.8</c:v>
                </c:pt>
                <c:pt idx="360">
                  <c:v>55.5</c:v>
                </c:pt>
                <c:pt idx="361">
                  <c:v>55.3</c:v>
                </c:pt>
                <c:pt idx="362">
                  <c:v>55.1</c:v>
                </c:pt>
                <c:pt idx="363">
                  <c:v>55.6</c:v>
                </c:pt>
                <c:pt idx="364">
                  <c:v>55</c:v>
                </c:pt>
                <c:pt idx="365">
                  <c:v>55.5</c:v>
                </c:pt>
                <c:pt idx="366">
                  <c:v>55.4</c:v>
                </c:pt>
                <c:pt idx="367">
                  <c:v>55.6</c:v>
                </c:pt>
                <c:pt idx="368">
                  <c:v>55.3</c:v>
                </c:pt>
                <c:pt idx="369">
                  <c:v>55.7</c:v>
                </c:pt>
                <c:pt idx="370">
                  <c:v>55.3</c:v>
                </c:pt>
                <c:pt idx="371">
                  <c:v>55.3</c:v>
                </c:pt>
                <c:pt idx="372">
                  <c:v>55.7</c:v>
                </c:pt>
                <c:pt idx="373">
                  <c:v>55.7</c:v>
                </c:pt>
                <c:pt idx="374">
                  <c:v>55.5</c:v>
                </c:pt>
                <c:pt idx="375">
                  <c:v>56</c:v>
                </c:pt>
                <c:pt idx="376">
                  <c:v>55.7</c:v>
                </c:pt>
                <c:pt idx="377">
                  <c:v>55.7</c:v>
                </c:pt>
                <c:pt idx="378">
                  <c:v>56</c:v>
                </c:pt>
                <c:pt idx="379">
                  <c:v>56.2</c:v>
                </c:pt>
                <c:pt idx="380">
                  <c:v>56.2</c:v>
                </c:pt>
                <c:pt idx="381">
                  <c:v>56.6</c:v>
                </c:pt>
                <c:pt idx="382">
                  <c:v>56.5</c:v>
                </c:pt>
                <c:pt idx="383">
                  <c:v>56.4</c:v>
                </c:pt>
                <c:pt idx="384">
                  <c:v>56.6</c:v>
                </c:pt>
                <c:pt idx="385">
                  <c:v>56.3</c:v>
                </c:pt>
                <c:pt idx="386">
                  <c:v>56.4</c:v>
                </c:pt>
                <c:pt idx="387">
                  <c:v>56.1</c:v>
                </c:pt>
                <c:pt idx="388">
                  <c:v>56.6</c:v>
                </c:pt>
                <c:pt idx="389">
                  <c:v>56.6</c:v>
                </c:pt>
                <c:pt idx="390">
                  <c:v>56.3</c:v>
                </c:pt>
                <c:pt idx="391">
                  <c:v>56.4</c:v>
                </c:pt>
                <c:pt idx="392">
                  <c:v>56.3</c:v>
                </c:pt>
                <c:pt idx="393">
                  <c:v>56.7</c:v>
                </c:pt>
                <c:pt idx="394">
                  <c:v>56.7</c:v>
                </c:pt>
                <c:pt idx="395">
                  <c:v>56.7</c:v>
                </c:pt>
                <c:pt idx="396">
                  <c:v>56.6</c:v>
                </c:pt>
                <c:pt idx="397">
                  <c:v>56.7</c:v>
                </c:pt>
                <c:pt idx="398">
                  <c:v>56.9</c:v>
                </c:pt>
                <c:pt idx="399">
                  <c:v>57</c:v>
                </c:pt>
                <c:pt idx="400">
                  <c:v>57</c:v>
                </c:pt>
                <c:pt idx="401">
                  <c:v>57</c:v>
                </c:pt>
                <c:pt idx="402">
                  <c:v>57.9</c:v>
                </c:pt>
                <c:pt idx="403">
                  <c:v>57.1</c:v>
                </c:pt>
                <c:pt idx="404">
                  <c:v>57.2</c:v>
                </c:pt>
                <c:pt idx="405">
                  <c:v>57.1</c:v>
                </c:pt>
                <c:pt idx="406">
                  <c:v>57.2</c:v>
                </c:pt>
                <c:pt idx="407">
                  <c:v>57.4</c:v>
                </c:pt>
                <c:pt idx="408">
                  <c:v>57.2</c:v>
                </c:pt>
                <c:pt idx="409">
                  <c:v>57.4</c:v>
                </c:pt>
                <c:pt idx="410">
                  <c:v>57.3</c:v>
                </c:pt>
                <c:pt idx="411">
                  <c:v>57.3</c:v>
                </c:pt>
                <c:pt idx="412">
                  <c:v>57.6</c:v>
                </c:pt>
                <c:pt idx="413">
                  <c:v>56.9</c:v>
                </c:pt>
                <c:pt idx="414">
                  <c:v>57</c:v>
                </c:pt>
                <c:pt idx="415">
                  <c:v>57.1</c:v>
                </c:pt>
                <c:pt idx="416">
                  <c:v>57.1</c:v>
                </c:pt>
                <c:pt idx="417">
                  <c:v>57.3</c:v>
                </c:pt>
                <c:pt idx="418">
                  <c:v>57.2</c:v>
                </c:pt>
                <c:pt idx="419">
                  <c:v>57.4</c:v>
                </c:pt>
                <c:pt idx="420">
                  <c:v>57.2</c:v>
                </c:pt>
                <c:pt idx="421">
                  <c:v>56.9</c:v>
                </c:pt>
                <c:pt idx="422">
                  <c:v>57</c:v>
                </c:pt>
                <c:pt idx="423">
                  <c:v>57</c:v>
                </c:pt>
                <c:pt idx="424">
                  <c:v>57</c:v>
                </c:pt>
                <c:pt idx="425">
                  <c:v>56.9</c:v>
                </c:pt>
                <c:pt idx="426">
                  <c:v>56.9</c:v>
                </c:pt>
                <c:pt idx="427">
                  <c:v>57</c:v>
                </c:pt>
                <c:pt idx="428">
                  <c:v>56.7</c:v>
                </c:pt>
                <c:pt idx="429">
                  <c:v>56.8</c:v>
                </c:pt>
                <c:pt idx="430">
                  <c:v>56.6</c:v>
                </c:pt>
                <c:pt idx="431">
                  <c:v>56.8</c:v>
                </c:pt>
                <c:pt idx="432">
                  <c:v>56.1</c:v>
                </c:pt>
                <c:pt idx="433">
                  <c:v>56.7</c:v>
                </c:pt>
                <c:pt idx="434">
                  <c:v>56.2</c:v>
                </c:pt>
                <c:pt idx="435">
                  <c:v>56.1</c:v>
                </c:pt>
                <c:pt idx="436">
                  <c:v>56.6</c:v>
                </c:pt>
                <c:pt idx="437">
                  <c:v>56.3</c:v>
                </c:pt>
                <c:pt idx="438">
                  <c:v>56</c:v>
                </c:pt>
                <c:pt idx="439">
                  <c:v>55.9</c:v>
                </c:pt>
                <c:pt idx="440">
                  <c:v>56</c:v>
                </c:pt>
                <c:pt idx="441">
                  <c:v>55.8</c:v>
                </c:pt>
                <c:pt idx="442">
                  <c:v>55.9</c:v>
                </c:pt>
                <c:pt idx="443">
                  <c:v>55.6</c:v>
                </c:pt>
                <c:pt idx="444">
                  <c:v>55.9</c:v>
                </c:pt>
                <c:pt idx="445">
                  <c:v>54.6</c:v>
                </c:pt>
                <c:pt idx="446">
                  <c:v>55.5</c:v>
                </c:pt>
                <c:pt idx="447">
                  <c:v>56</c:v>
                </c:pt>
                <c:pt idx="448">
                  <c:v>55.6</c:v>
                </c:pt>
                <c:pt idx="449">
                  <c:v>55.4</c:v>
                </c:pt>
                <c:pt idx="450">
                  <c:v>55.6</c:v>
                </c:pt>
                <c:pt idx="451">
                  <c:v>55.3</c:v>
                </c:pt>
                <c:pt idx="452">
                  <c:v>55.4</c:v>
                </c:pt>
                <c:pt idx="453">
                  <c:v>55</c:v>
                </c:pt>
                <c:pt idx="454">
                  <c:v>55.3</c:v>
                </c:pt>
                <c:pt idx="455">
                  <c:v>55.4</c:v>
                </c:pt>
                <c:pt idx="456">
                  <c:v>55.1</c:v>
                </c:pt>
                <c:pt idx="457">
                  <c:v>54.9</c:v>
                </c:pt>
                <c:pt idx="458">
                  <c:v>55.3</c:v>
                </c:pt>
                <c:pt idx="459">
                  <c:v>55.2</c:v>
                </c:pt>
                <c:pt idx="460">
                  <c:v>55.3</c:v>
                </c:pt>
                <c:pt idx="461">
                  <c:v>55.1</c:v>
                </c:pt>
                <c:pt idx="462">
                  <c:v>55.2</c:v>
                </c:pt>
                <c:pt idx="463">
                  <c:v>54.8</c:v>
                </c:pt>
                <c:pt idx="464">
                  <c:v>55.1</c:v>
                </c:pt>
                <c:pt idx="465">
                  <c:v>54.9</c:v>
                </c:pt>
                <c:pt idx="466">
                  <c:v>54.9</c:v>
                </c:pt>
                <c:pt idx="467">
                  <c:v>54.8</c:v>
                </c:pt>
                <c:pt idx="468">
                  <c:v>53.7</c:v>
                </c:pt>
                <c:pt idx="469">
                  <c:v>53.4</c:v>
                </c:pt>
                <c:pt idx="470">
                  <c:v>53.3</c:v>
                </c:pt>
                <c:pt idx="471">
                  <c:v>53.7</c:v>
                </c:pt>
                <c:pt idx="472">
                  <c:v>54</c:v>
                </c:pt>
                <c:pt idx="473">
                  <c:v>53.8</c:v>
                </c:pt>
                <c:pt idx="474">
                  <c:v>53.7</c:v>
                </c:pt>
                <c:pt idx="475">
                  <c:v>54.1</c:v>
                </c:pt>
                <c:pt idx="476">
                  <c:v>54.3</c:v>
                </c:pt>
                <c:pt idx="477">
                  <c:v>54.1</c:v>
                </c:pt>
                <c:pt idx="478">
                  <c:v>54.1</c:v>
                </c:pt>
                <c:pt idx="479">
                  <c:v>53.9</c:v>
                </c:pt>
                <c:pt idx="480">
                  <c:v>54.1</c:v>
                </c:pt>
                <c:pt idx="481">
                  <c:v>54.1</c:v>
                </c:pt>
                <c:pt idx="482">
                  <c:v>53.5</c:v>
                </c:pt>
                <c:pt idx="483">
                  <c:v>54</c:v>
                </c:pt>
                <c:pt idx="484">
                  <c:v>53.7</c:v>
                </c:pt>
                <c:pt idx="485">
                  <c:v>53.4</c:v>
                </c:pt>
                <c:pt idx="486">
                  <c:v>53.8</c:v>
                </c:pt>
                <c:pt idx="487">
                  <c:v>53.4</c:v>
                </c:pt>
                <c:pt idx="488">
                  <c:v>53.4</c:v>
                </c:pt>
                <c:pt idx="489">
                  <c:v>53</c:v>
                </c:pt>
                <c:pt idx="490">
                  <c:v>52.6</c:v>
                </c:pt>
                <c:pt idx="491">
                  <c:v>52.5</c:v>
                </c:pt>
                <c:pt idx="492">
                  <c:v>52.6</c:v>
                </c:pt>
                <c:pt idx="493">
                  <c:v>52.5</c:v>
                </c:pt>
                <c:pt idx="494">
                  <c:v>52.7</c:v>
                </c:pt>
                <c:pt idx="495">
                  <c:v>52.4</c:v>
                </c:pt>
                <c:pt idx="496">
                  <c:v>51.2</c:v>
                </c:pt>
                <c:pt idx="497">
                  <c:v>51.9</c:v>
                </c:pt>
                <c:pt idx="498">
                  <c:v>52</c:v>
                </c:pt>
                <c:pt idx="499">
                  <c:v>51.7</c:v>
                </c:pt>
                <c:pt idx="500">
                  <c:v>52</c:v>
                </c:pt>
                <c:pt idx="501">
                  <c:v>51.8</c:v>
                </c:pt>
                <c:pt idx="502">
                  <c:v>51.9</c:v>
                </c:pt>
                <c:pt idx="503">
                  <c:v>51.5</c:v>
                </c:pt>
                <c:pt idx="504">
                  <c:v>51.5</c:v>
                </c:pt>
                <c:pt idx="505">
                  <c:v>51.6</c:v>
                </c:pt>
                <c:pt idx="506">
                  <c:v>51.3</c:v>
                </c:pt>
                <c:pt idx="507">
                  <c:v>51.3</c:v>
                </c:pt>
                <c:pt idx="508">
                  <c:v>51.1</c:v>
                </c:pt>
                <c:pt idx="509">
                  <c:v>51.3</c:v>
                </c:pt>
                <c:pt idx="510">
                  <c:v>51.6</c:v>
                </c:pt>
                <c:pt idx="511">
                  <c:v>52.1</c:v>
                </c:pt>
                <c:pt idx="512">
                  <c:v>51.7</c:v>
                </c:pt>
                <c:pt idx="513">
                  <c:v>52.1</c:v>
                </c:pt>
                <c:pt idx="514">
                  <c:v>52.1</c:v>
                </c:pt>
                <c:pt idx="515">
                  <c:v>52.3</c:v>
                </c:pt>
                <c:pt idx="516">
                  <c:v>51.8</c:v>
                </c:pt>
                <c:pt idx="517">
                  <c:v>52.1</c:v>
                </c:pt>
                <c:pt idx="518">
                  <c:v>52.2</c:v>
                </c:pt>
                <c:pt idx="519">
                  <c:v>52.1</c:v>
                </c:pt>
                <c:pt idx="520">
                  <c:v>52.2</c:v>
                </c:pt>
                <c:pt idx="521">
                  <c:v>52</c:v>
                </c:pt>
                <c:pt idx="522">
                  <c:v>52.3</c:v>
                </c:pt>
                <c:pt idx="523">
                  <c:v>52</c:v>
                </c:pt>
                <c:pt idx="524">
                  <c:v>52.1</c:v>
                </c:pt>
                <c:pt idx="525">
                  <c:v>51.8</c:v>
                </c:pt>
                <c:pt idx="526">
                  <c:v>51.8</c:v>
                </c:pt>
                <c:pt idx="527">
                  <c:v>52.4</c:v>
                </c:pt>
                <c:pt idx="528">
                  <c:v>52.1</c:v>
                </c:pt>
                <c:pt idx="529">
                  <c:v>52</c:v>
                </c:pt>
                <c:pt idx="530">
                  <c:v>51.6</c:v>
                </c:pt>
                <c:pt idx="531">
                  <c:v>52</c:v>
                </c:pt>
                <c:pt idx="532">
                  <c:v>51.6</c:v>
                </c:pt>
                <c:pt idx="533">
                  <c:v>51.4</c:v>
                </c:pt>
                <c:pt idx="534">
                  <c:v>52.1</c:v>
                </c:pt>
                <c:pt idx="535">
                  <c:v>51.8</c:v>
                </c:pt>
                <c:pt idx="536">
                  <c:v>52.1</c:v>
                </c:pt>
                <c:pt idx="537">
                  <c:v>52</c:v>
                </c:pt>
                <c:pt idx="538">
                  <c:v>52</c:v>
                </c:pt>
                <c:pt idx="539">
                  <c:v>51.8</c:v>
                </c:pt>
                <c:pt idx="540">
                  <c:v>51.9</c:v>
                </c:pt>
                <c:pt idx="541">
                  <c:v>51.9</c:v>
                </c:pt>
                <c:pt idx="542">
                  <c:v>51.8</c:v>
                </c:pt>
                <c:pt idx="543">
                  <c:v>51.9</c:v>
                </c:pt>
                <c:pt idx="544">
                  <c:v>52.3</c:v>
                </c:pt>
                <c:pt idx="545">
                  <c:v>52</c:v>
                </c:pt>
                <c:pt idx="546">
                  <c:v>52.1</c:v>
                </c:pt>
                <c:pt idx="547">
                  <c:v>52</c:v>
                </c:pt>
                <c:pt idx="548">
                  <c:v>51.8</c:v>
                </c:pt>
                <c:pt idx="549">
                  <c:v>52.2</c:v>
                </c:pt>
                <c:pt idx="550">
                  <c:v>52</c:v>
                </c:pt>
                <c:pt idx="551">
                  <c:v>52.1</c:v>
                </c:pt>
                <c:pt idx="552">
                  <c:v>52.2</c:v>
                </c:pt>
                <c:pt idx="553">
                  <c:v>52.1</c:v>
                </c:pt>
                <c:pt idx="554">
                  <c:v>52.1</c:v>
                </c:pt>
                <c:pt idx="555">
                  <c:v>52.3</c:v>
                </c:pt>
                <c:pt idx="556">
                  <c:v>52.3</c:v>
                </c:pt>
                <c:pt idx="557">
                  <c:v>52.4</c:v>
                </c:pt>
                <c:pt idx="558">
                  <c:v>52.4</c:v>
                </c:pt>
                <c:pt idx="559">
                  <c:v>52.3</c:v>
                </c:pt>
                <c:pt idx="560">
                  <c:v>52.2</c:v>
                </c:pt>
                <c:pt idx="561">
                  <c:v>52.4</c:v>
                </c:pt>
                <c:pt idx="562">
                  <c:v>52.5</c:v>
                </c:pt>
                <c:pt idx="563">
                  <c:v>52.4</c:v>
                </c:pt>
                <c:pt idx="564">
                  <c:v>52.5</c:v>
                </c:pt>
                <c:pt idx="565">
                  <c:v>52.3</c:v>
                </c:pt>
                <c:pt idx="566">
                  <c:v>52.6</c:v>
                </c:pt>
                <c:pt idx="567">
                  <c:v>52.4</c:v>
                </c:pt>
                <c:pt idx="568">
                  <c:v>52.8</c:v>
                </c:pt>
                <c:pt idx="569">
                  <c:v>52.7</c:v>
                </c:pt>
                <c:pt idx="570">
                  <c:v>52.7</c:v>
                </c:pt>
                <c:pt idx="571">
                  <c:v>52.7</c:v>
                </c:pt>
                <c:pt idx="572">
                  <c:v>52.6</c:v>
                </c:pt>
                <c:pt idx="573">
                  <c:v>52.5</c:v>
                </c:pt>
                <c:pt idx="574">
                  <c:v>53.1</c:v>
                </c:pt>
                <c:pt idx="575">
                  <c:v>52.6</c:v>
                </c:pt>
                <c:pt idx="576">
                  <c:v>52.8</c:v>
                </c:pt>
                <c:pt idx="577">
                  <c:v>52.9</c:v>
                </c:pt>
                <c:pt idx="578">
                  <c:v>52.6</c:v>
                </c:pt>
                <c:pt idx="579">
                  <c:v>52.9</c:v>
                </c:pt>
                <c:pt idx="580">
                  <c:v>52.4</c:v>
                </c:pt>
                <c:pt idx="581">
                  <c:v>52.7</c:v>
                </c:pt>
                <c:pt idx="582">
                  <c:v>52.9</c:v>
                </c:pt>
                <c:pt idx="583">
                  <c:v>52.9</c:v>
                </c:pt>
                <c:pt idx="584">
                  <c:v>52.8</c:v>
                </c:pt>
                <c:pt idx="585">
                  <c:v>53</c:v>
                </c:pt>
                <c:pt idx="586">
                  <c:v>52.9</c:v>
                </c:pt>
                <c:pt idx="587">
                  <c:v>53.2</c:v>
                </c:pt>
                <c:pt idx="588">
                  <c:v>53</c:v>
                </c:pt>
                <c:pt idx="589">
                  <c:v>53.2</c:v>
                </c:pt>
                <c:pt idx="590">
                  <c:v>53.4</c:v>
                </c:pt>
                <c:pt idx="591">
                  <c:v>53.2</c:v>
                </c:pt>
                <c:pt idx="592">
                  <c:v>53.1</c:v>
                </c:pt>
                <c:pt idx="593">
                  <c:v>53.3</c:v>
                </c:pt>
                <c:pt idx="594">
                  <c:v>53.2</c:v>
                </c:pt>
                <c:pt idx="595">
                  <c:v>53.2</c:v>
                </c:pt>
                <c:pt idx="596">
                  <c:v>53.5</c:v>
                </c:pt>
                <c:pt idx="597">
                  <c:v>53.5</c:v>
                </c:pt>
                <c:pt idx="598">
                  <c:v>53.7</c:v>
                </c:pt>
                <c:pt idx="599">
                  <c:v>53.7</c:v>
                </c:pt>
                <c:pt idx="600">
                  <c:v>53.6</c:v>
                </c:pt>
                <c:pt idx="601">
                  <c:v>53.8</c:v>
                </c:pt>
                <c:pt idx="602">
                  <c:v>54.1</c:v>
                </c:pt>
                <c:pt idx="603">
                  <c:v>53.8</c:v>
                </c:pt>
                <c:pt idx="604">
                  <c:v>53.5</c:v>
                </c:pt>
                <c:pt idx="605">
                  <c:v>53.7</c:v>
                </c:pt>
                <c:pt idx="606">
                  <c:v>53.5</c:v>
                </c:pt>
                <c:pt idx="607">
                  <c:v>53.3</c:v>
                </c:pt>
                <c:pt idx="608">
                  <c:v>53.4</c:v>
                </c:pt>
                <c:pt idx="609">
                  <c:v>53</c:v>
                </c:pt>
                <c:pt idx="610">
                  <c:v>53.4</c:v>
                </c:pt>
                <c:pt idx="611">
                  <c:v>53.3</c:v>
                </c:pt>
                <c:pt idx="612">
                  <c:v>53.5</c:v>
                </c:pt>
                <c:pt idx="613">
                  <c:v>53.6</c:v>
                </c:pt>
                <c:pt idx="614">
                  <c:v>53.7</c:v>
                </c:pt>
                <c:pt idx="615">
                  <c:v>53.9</c:v>
                </c:pt>
                <c:pt idx="616">
                  <c:v>53.7</c:v>
                </c:pt>
                <c:pt idx="617">
                  <c:v>53.6</c:v>
                </c:pt>
                <c:pt idx="618">
                  <c:v>53.5</c:v>
                </c:pt>
                <c:pt idx="619">
                  <c:v>53.3</c:v>
                </c:pt>
                <c:pt idx="620">
                  <c:v>53.5</c:v>
                </c:pt>
                <c:pt idx="621">
                  <c:v>53.3</c:v>
                </c:pt>
                <c:pt idx="622">
                  <c:v>53.2</c:v>
                </c:pt>
                <c:pt idx="623">
                  <c:v>53.3</c:v>
                </c:pt>
                <c:pt idx="624">
                  <c:v>53.6</c:v>
                </c:pt>
                <c:pt idx="625">
                  <c:v>53.1</c:v>
                </c:pt>
                <c:pt idx="626">
                  <c:v>53.4</c:v>
                </c:pt>
                <c:pt idx="627">
                  <c:v>53.2</c:v>
                </c:pt>
                <c:pt idx="628">
                  <c:v>53.2</c:v>
                </c:pt>
                <c:pt idx="629">
                  <c:v>53.5</c:v>
                </c:pt>
                <c:pt idx="630">
                  <c:v>53.2</c:v>
                </c:pt>
                <c:pt idx="631">
                  <c:v>53.6</c:v>
                </c:pt>
                <c:pt idx="632">
                  <c:v>53.3</c:v>
                </c:pt>
                <c:pt idx="633">
                  <c:v>53.3</c:v>
                </c:pt>
                <c:pt idx="634">
                  <c:v>53.3</c:v>
                </c:pt>
                <c:pt idx="635">
                  <c:v>53.1</c:v>
                </c:pt>
                <c:pt idx="636">
                  <c:v>53.2</c:v>
                </c:pt>
                <c:pt idx="637">
                  <c:v>53.2</c:v>
                </c:pt>
                <c:pt idx="638">
                  <c:v>53.1</c:v>
                </c:pt>
                <c:pt idx="639">
                  <c:v>52.5</c:v>
                </c:pt>
                <c:pt idx="640">
                  <c:v>52.9</c:v>
                </c:pt>
                <c:pt idx="641">
                  <c:v>52.8</c:v>
                </c:pt>
                <c:pt idx="642">
                  <c:v>52.9</c:v>
                </c:pt>
                <c:pt idx="643">
                  <c:v>51.2</c:v>
                </c:pt>
                <c:pt idx="644">
                  <c:v>52.6</c:v>
                </c:pt>
                <c:pt idx="645">
                  <c:v>51.2</c:v>
                </c:pt>
                <c:pt idx="646">
                  <c:v>52.6</c:v>
                </c:pt>
                <c:pt idx="647">
                  <c:v>52.9</c:v>
                </c:pt>
                <c:pt idx="648">
                  <c:v>52.8</c:v>
                </c:pt>
                <c:pt idx="649">
                  <c:v>52.7</c:v>
                </c:pt>
                <c:pt idx="650">
                  <c:v>53</c:v>
                </c:pt>
                <c:pt idx="651">
                  <c:v>53.1</c:v>
                </c:pt>
                <c:pt idx="652">
                  <c:v>53</c:v>
                </c:pt>
                <c:pt idx="653">
                  <c:v>53.1</c:v>
                </c:pt>
                <c:pt idx="654">
                  <c:v>53.1</c:v>
                </c:pt>
                <c:pt idx="655">
                  <c:v>52.8</c:v>
                </c:pt>
                <c:pt idx="656">
                  <c:v>53</c:v>
                </c:pt>
                <c:pt idx="657">
                  <c:v>53</c:v>
                </c:pt>
                <c:pt idx="658">
                  <c:v>53</c:v>
                </c:pt>
                <c:pt idx="659">
                  <c:v>53.3</c:v>
                </c:pt>
                <c:pt idx="660">
                  <c:v>53</c:v>
                </c:pt>
                <c:pt idx="661">
                  <c:v>53</c:v>
                </c:pt>
                <c:pt idx="662">
                  <c:v>53</c:v>
                </c:pt>
                <c:pt idx="663">
                  <c:v>53</c:v>
                </c:pt>
                <c:pt idx="664">
                  <c:v>53</c:v>
                </c:pt>
                <c:pt idx="665">
                  <c:v>53</c:v>
                </c:pt>
                <c:pt idx="666">
                  <c:v>52.9</c:v>
                </c:pt>
                <c:pt idx="667">
                  <c:v>53</c:v>
                </c:pt>
                <c:pt idx="668">
                  <c:v>53.3</c:v>
                </c:pt>
                <c:pt idx="669">
                  <c:v>53</c:v>
                </c:pt>
                <c:pt idx="670">
                  <c:v>53.1</c:v>
                </c:pt>
                <c:pt idx="671">
                  <c:v>52.9</c:v>
                </c:pt>
                <c:pt idx="672">
                  <c:v>53.2</c:v>
                </c:pt>
                <c:pt idx="673">
                  <c:v>52.8</c:v>
                </c:pt>
                <c:pt idx="674">
                  <c:v>53.1</c:v>
                </c:pt>
                <c:pt idx="675">
                  <c:v>53.1</c:v>
                </c:pt>
                <c:pt idx="676">
                  <c:v>52.8</c:v>
                </c:pt>
                <c:pt idx="677">
                  <c:v>52.5</c:v>
                </c:pt>
                <c:pt idx="678">
                  <c:v>52.7</c:v>
                </c:pt>
                <c:pt idx="679">
                  <c:v>52.9</c:v>
                </c:pt>
                <c:pt idx="680">
                  <c:v>53</c:v>
                </c:pt>
                <c:pt idx="681">
                  <c:v>52.8</c:v>
                </c:pt>
                <c:pt idx="682">
                  <c:v>52.9</c:v>
                </c:pt>
                <c:pt idx="683">
                  <c:v>53</c:v>
                </c:pt>
                <c:pt idx="684">
                  <c:v>52.8</c:v>
                </c:pt>
                <c:pt idx="685">
                  <c:v>52.8</c:v>
                </c:pt>
                <c:pt idx="686">
                  <c:v>53</c:v>
                </c:pt>
                <c:pt idx="687">
                  <c:v>52.5</c:v>
                </c:pt>
                <c:pt idx="688">
                  <c:v>52.8</c:v>
                </c:pt>
                <c:pt idx="689">
                  <c:v>52.8</c:v>
                </c:pt>
                <c:pt idx="690">
                  <c:v>52.8</c:v>
                </c:pt>
                <c:pt idx="691">
                  <c:v>52.7</c:v>
                </c:pt>
                <c:pt idx="692">
                  <c:v>52.7</c:v>
                </c:pt>
                <c:pt idx="693">
                  <c:v>52.4</c:v>
                </c:pt>
                <c:pt idx="694">
                  <c:v>52.2</c:v>
                </c:pt>
                <c:pt idx="695">
                  <c:v>52.8</c:v>
                </c:pt>
                <c:pt idx="696">
                  <c:v>52.5</c:v>
                </c:pt>
                <c:pt idx="697">
                  <c:v>52.5</c:v>
                </c:pt>
                <c:pt idx="698">
                  <c:v>52.1</c:v>
                </c:pt>
                <c:pt idx="699">
                  <c:v>52.2</c:v>
                </c:pt>
                <c:pt idx="700">
                  <c:v>52.5</c:v>
                </c:pt>
                <c:pt idx="701">
                  <c:v>52.2</c:v>
                </c:pt>
                <c:pt idx="702">
                  <c:v>51.9</c:v>
                </c:pt>
                <c:pt idx="703">
                  <c:v>52.1</c:v>
                </c:pt>
                <c:pt idx="704">
                  <c:v>51.8</c:v>
                </c:pt>
                <c:pt idx="705">
                  <c:v>52</c:v>
                </c:pt>
                <c:pt idx="706">
                  <c:v>52</c:v>
                </c:pt>
                <c:pt idx="707">
                  <c:v>51.6</c:v>
                </c:pt>
                <c:pt idx="708">
                  <c:v>51.9</c:v>
                </c:pt>
                <c:pt idx="709">
                  <c:v>52.1</c:v>
                </c:pt>
                <c:pt idx="710">
                  <c:v>52</c:v>
                </c:pt>
                <c:pt idx="711">
                  <c:v>51.9</c:v>
                </c:pt>
                <c:pt idx="712">
                  <c:v>51.8</c:v>
                </c:pt>
                <c:pt idx="713">
                  <c:v>51.8</c:v>
                </c:pt>
                <c:pt idx="714">
                  <c:v>51.6</c:v>
                </c:pt>
                <c:pt idx="715">
                  <c:v>51.7</c:v>
                </c:pt>
                <c:pt idx="716">
                  <c:v>51.7</c:v>
                </c:pt>
                <c:pt idx="717">
                  <c:v>51.2</c:v>
                </c:pt>
                <c:pt idx="718">
                  <c:v>51.5</c:v>
                </c:pt>
                <c:pt idx="719">
                  <c:v>51.4</c:v>
                </c:pt>
                <c:pt idx="720">
                  <c:v>51.4</c:v>
                </c:pt>
                <c:pt idx="721">
                  <c:v>51.8</c:v>
                </c:pt>
                <c:pt idx="722">
                  <c:v>51</c:v>
                </c:pt>
                <c:pt idx="723">
                  <c:v>51.6</c:v>
                </c:pt>
                <c:pt idx="724">
                  <c:v>51.2</c:v>
                </c:pt>
                <c:pt idx="725">
                  <c:v>50.8</c:v>
                </c:pt>
                <c:pt idx="726">
                  <c:v>51.1</c:v>
                </c:pt>
                <c:pt idx="727">
                  <c:v>51.3</c:v>
                </c:pt>
                <c:pt idx="728">
                  <c:v>51.1</c:v>
                </c:pt>
                <c:pt idx="729">
                  <c:v>51</c:v>
                </c:pt>
                <c:pt idx="730">
                  <c:v>51.1</c:v>
                </c:pt>
                <c:pt idx="731">
                  <c:v>50.9</c:v>
                </c:pt>
                <c:pt idx="732">
                  <c:v>50.5</c:v>
                </c:pt>
                <c:pt idx="733">
                  <c:v>50.3</c:v>
                </c:pt>
                <c:pt idx="734">
                  <c:v>51.1</c:v>
                </c:pt>
                <c:pt idx="735">
                  <c:v>50.8</c:v>
                </c:pt>
                <c:pt idx="736">
                  <c:v>50.6</c:v>
                </c:pt>
                <c:pt idx="737">
                  <c:v>50.5</c:v>
                </c:pt>
                <c:pt idx="738">
                  <c:v>50.7</c:v>
                </c:pt>
                <c:pt idx="739">
                  <c:v>50.4</c:v>
                </c:pt>
                <c:pt idx="740">
                  <c:v>50.6</c:v>
                </c:pt>
                <c:pt idx="741">
                  <c:v>50.3</c:v>
                </c:pt>
                <c:pt idx="742">
                  <c:v>50.7</c:v>
                </c:pt>
                <c:pt idx="743">
                  <c:v>50.7</c:v>
                </c:pt>
                <c:pt idx="744">
                  <c:v>50.2</c:v>
                </c:pt>
                <c:pt idx="745">
                  <c:v>50.2</c:v>
                </c:pt>
                <c:pt idx="746">
                  <c:v>50.3</c:v>
                </c:pt>
                <c:pt idx="747">
                  <c:v>50.5</c:v>
                </c:pt>
                <c:pt idx="748">
                  <c:v>50.6</c:v>
                </c:pt>
                <c:pt idx="749">
                  <c:v>50.4</c:v>
                </c:pt>
                <c:pt idx="750">
                  <c:v>50.2</c:v>
                </c:pt>
                <c:pt idx="751">
                  <c:v>50.3</c:v>
                </c:pt>
                <c:pt idx="752">
                  <c:v>50.4</c:v>
                </c:pt>
                <c:pt idx="753">
                  <c:v>50.5</c:v>
                </c:pt>
                <c:pt idx="754">
                  <c:v>50.7</c:v>
                </c:pt>
                <c:pt idx="755">
                  <c:v>50.6</c:v>
                </c:pt>
                <c:pt idx="756">
                  <c:v>50.1</c:v>
                </c:pt>
                <c:pt idx="757">
                  <c:v>49.9</c:v>
                </c:pt>
                <c:pt idx="758">
                  <c:v>50.2</c:v>
                </c:pt>
                <c:pt idx="759">
                  <c:v>50.5</c:v>
                </c:pt>
                <c:pt idx="760">
                  <c:v>50.3</c:v>
                </c:pt>
                <c:pt idx="761">
                  <c:v>50.3</c:v>
                </c:pt>
                <c:pt idx="762">
                  <c:v>50.1</c:v>
                </c:pt>
                <c:pt idx="763">
                  <c:v>49.4</c:v>
                </c:pt>
                <c:pt idx="764">
                  <c:v>48.9</c:v>
                </c:pt>
                <c:pt idx="765">
                  <c:v>48.2</c:v>
                </c:pt>
                <c:pt idx="766">
                  <c:v>47.5</c:v>
                </c:pt>
                <c:pt idx="767">
                  <c:v>47.3</c:v>
                </c:pt>
                <c:pt idx="768">
                  <c:v>47.1</c:v>
                </c:pt>
                <c:pt idx="769">
                  <c:v>46.3</c:v>
                </c:pt>
                <c:pt idx="770">
                  <c:v>46.4</c:v>
                </c:pt>
                <c:pt idx="771">
                  <c:v>46.1</c:v>
                </c:pt>
                <c:pt idx="772">
                  <c:v>45.6</c:v>
                </c:pt>
                <c:pt idx="773">
                  <c:v>45.7</c:v>
                </c:pt>
                <c:pt idx="774">
                  <c:v>45.9</c:v>
                </c:pt>
                <c:pt idx="775">
                  <c:v>46.2</c:v>
                </c:pt>
                <c:pt idx="776">
                  <c:v>46.1</c:v>
                </c:pt>
                <c:pt idx="777">
                  <c:v>45.5</c:v>
                </c:pt>
                <c:pt idx="778">
                  <c:v>45.6</c:v>
                </c:pt>
                <c:pt idx="779">
                  <c:v>45.1</c:v>
                </c:pt>
                <c:pt idx="780">
                  <c:v>44.9</c:v>
                </c:pt>
                <c:pt idx="781">
                  <c:v>44.8</c:v>
                </c:pt>
                <c:pt idx="782">
                  <c:v>45.1</c:v>
                </c:pt>
                <c:pt idx="783">
                  <c:v>45.3</c:v>
                </c:pt>
                <c:pt idx="784">
                  <c:v>45.5</c:v>
                </c:pt>
                <c:pt idx="785">
                  <c:v>45.2</c:v>
                </c:pt>
                <c:pt idx="786">
                  <c:v>45.2</c:v>
                </c:pt>
                <c:pt idx="787">
                  <c:v>44.7</c:v>
                </c:pt>
                <c:pt idx="788">
                  <c:v>44.5</c:v>
                </c:pt>
                <c:pt idx="789">
                  <c:v>44.1</c:v>
                </c:pt>
                <c:pt idx="790">
                  <c:v>44.3</c:v>
                </c:pt>
                <c:pt idx="791">
                  <c:v>44.3</c:v>
                </c:pt>
                <c:pt idx="792">
                  <c:v>44.4</c:v>
                </c:pt>
                <c:pt idx="793">
                  <c:v>44.2</c:v>
                </c:pt>
                <c:pt idx="794">
                  <c:v>44</c:v>
                </c:pt>
                <c:pt idx="795">
                  <c:v>44.1</c:v>
                </c:pt>
                <c:pt idx="796">
                  <c:v>44.3</c:v>
                </c:pt>
                <c:pt idx="797">
                  <c:v>44.1</c:v>
                </c:pt>
                <c:pt idx="798">
                  <c:v>44.4</c:v>
                </c:pt>
                <c:pt idx="799">
                  <c:v>44.3</c:v>
                </c:pt>
                <c:pt idx="800">
                  <c:v>43.9</c:v>
                </c:pt>
                <c:pt idx="801">
                  <c:v>43.8</c:v>
                </c:pt>
                <c:pt idx="802">
                  <c:v>43.9</c:v>
                </c:pt>
                <c:pt idx="803">
                  <c:v>43.9</c:v>
                </c:pt>
                <c:pt idx="804">
                  <c:v>43.7</c:v>
                </c:pt>
                <c:pt idx="805">
                  <c:v>43.6</c:v>
                </c:pt>
                <c:pt idx="806">
                  <c:v>43.5</c:v>
                </c:pt>
                <c:pt idx="807">
                  <c:v>43.7</c:v>
                </c:pt>
                <c:pt idx="808">
                  <c:v>43.5</c:v>
                </c:pt>
                <c:pt idx="809">
                  <c:v>43.5</c:v>
                </c:pt>
                <c:pt idx="810">
                  <c:v>43.4</c:v>
                </c:pt>
                <c:pt idx="811">
                  <c:v>43</c:v>
                </c:pt>
                <c:pt idx="812">
                  <c:v>42.9</c:v>
                </c:pt>
                <c:pt idx="813">
                  <c:v>42.8</c:v>
                </c:pt>
                <c:pt idx="814">
                  <c:v>42.8</c:v>
                </c:pt>
                <c:pt idx="815">
                  <c:v>42.8</c:v>
                </c:pt>
                <c:pt idx="816">
                  <c:v>42.8</c:v>
                </c:pt>
                <c:pt idx="817">
                  <c:v>42.5</c:v>
                </c:pt>
                <c:pt idx="818">
                  <c:v>42.6</c:v>
                </c:pt>
                <c:pt idx="819">
                  <c:v>42.5</c:v>
                </c:pt>
                <c:pt idx="820">
                  <c:v>42.7</c:v>
                </c:pt>
                <c:pt idx="821">
                  <c:v>42.2</c:v>
                </c:pt>
                <c:pt idx="822">
                  <c:v>42.1</c:v>
                </c:pt>
                <c:pt idx="823">
                  <c:v>42.2</c:v>
                </c:pt>
                <c:pt idx="824">
                  <c:v>42</c:v>
                </c:pt>
                <c:pt idx="825">
                  <c:v>42.1</c:v>
                </c:pt>
                <c:pt idx="826">
                  <c:v>41.8</c:v>
                </c:pt>
                <c:pt idx="827">
                  <c:v>41.7</c:v>
                </c:pt>
                <c:pt idx="828">
                  <c:v>41.9</c:v>
                </c:pt>
                <c:pt idx="829">
                  <c:v>41.7</c:v>
                </c:pt>
                <c:pt idx="830">
                  <c:v>41.7</c:v>
                </c:pt>
                <c:pt idx="831">
                  <c:v>41.9</c:v>
                </c:pt>
                <c:pt idx="832">
                  <c:v>41.5</c:v>
                </c:pt>
                <c:pt idx="833">
                  <c:v>41.6</c:v>
                </c:pt>
                <c:pt idx="834">
                  <c:v>41.4</c:v>
                </c:pt>
                <c:pt idx="835">
                  <c:v>41.4</c:v>
                </c:pt>
                <c:pt idx="836">
                  <c:v>41.4</c:v>
                </c:pt>
                <c:pt idx="837">
                  <c:v>41.7</c:v>
                </c:pt>
                <c:pt idx="838">
                  <c:v>41.5</c:v>
                </c:pt>
                <c:pt idx="839">
                  <c:v>41.6</c:v>
                </c:pt>
                <c:pt idx="840">
                  <c:v>41.5</c:v>
                </c:pt>
                <c:pt idx="841">
                  <c:v>41.3</c:v>
                </c:pt>
                <c:pt idx="842">
                  <c:v>40.9</c:v>
                </c:pt>
                <c:pt idx="843">
                  <c:v>40.700000000000003</c:v>
                </c:pt>
                <c:pt idx="844">
                  <c:v>40.5</c:v>
                </c:pt>
                <c:pt idx="845">
                  <c:v>40.799999999999997</c:v>
                </c:pt>
                <c:pt idx="846">
                  <c:v>40.799999999999997</c:v>
                </c:pt>
                <c:pt idx="847">
                  <c:v>40.700000000000003</c:v>
                </c:pt>
                <c:pt idx="848">
                  <c:v>40.700000000000003</c:v>
                </c:pt>
                <c:pt idx="849">
                  <c:v>40.799999999999997</c:v>
                </c:pt>
                <c:pt idx="850">
                  <c:v>40.9</c:v>
                </c:pt>
                <c:pt idx="851">
                  <c:v>40.9</c:v>
                </c:pt>
                <c:pt idx="852">
                  <c:v>40.799999999999997</c:v>
                </c:pt>
                <c:pt idx="853">
                  <c:v>40.700000000000003</c:v>
                </c:pt>
                <c:pt idx="854">
                  <c:v>40.9</c:v>
                </c:pt>
                <c:pt idx="855">
                  <c:v>40.700000000000003</c:v>
                </c:pt>
                <c:pt idx="856">
                  <c:v>40.799999999999997</c:v>
                </c:pt>
                <c:pt idx="857">
                  <c:v>40.799999999999997</c:v>
                </c:pt>
                <c:pt idx="858">
                  <c:v>40.9</c:v>
                </c:pt>
                <c:pt idx="859">
                  <c:v>41.1</c:v>
                </c:pt>
                <c:pt idx="860">
                  <c:v>40.9</c:v>
                </c:pt>
                <c:pt idx="861">
                  <c:v>40.9</c:v>
                </c:pt>
                <c:pt idx="862">
                  <c:v>41.2</c:v>
                </c:pt>
                <c:pt idx="863">
                  <c:v>41.1</c:v>
                </c:pt>
                <c:pt idx="864">
                  <c:v>41</c:v>
                </c:pt>
                <c:pt idx="865">
                  <c:v>40.9</c:v>
                </c:pt>
                <c:pt idx="866">
                  <c:v>41.1</c:v>
                </c:pt>
                <c:pt idx="867">
                  <c:v>41.1</c:v>
                </c:pt>
                <c:pt idx="868">
                  <c:v>41.1</c:v>
                </c:pt>
                <c:pt idx="869">
                  <c:v>40.799999999999997</c:v>
                </c:pt>
                <c:pt idx="870">
                  <c:v>41</c:v>
                </c:pt>
                <c:pt idx="871">
                  <c:v>41.3</c:v>
                </c:pt>
                <c:pt idx="872">
                  <c:v>41.2</c:v>
                </c:pt>
                <c:pt idx="873">
                  <c:v>41.1</c:v>
                </c:pt>
                <c:pt idx="874">
                  <c:v>41.3</c:v>
                </c:pt>
                <c:pt idx="875">
                  <c:v>41.5</c:v>
                </c:pt>
                <c:pt idx="876">
                  <c:v>41.5</c:v>
                </c:pt>
                <c:pt idx="877">
                  <c:v>41.5</c:v>
                </c:pt>
                <c:pt idx="878">
                  <c:v>41.3</c:v>
                </c:pt>
                <c:pt idx="879">
                  <c:v>41.3</c:v>
                </c:pt>
                <c:pt idx="880">
                  <c:v>41.6</c:v>
                </c:pt>
                <c:pt idx="881">
                  <c:v>41.3</c:v>
                </c:pt>
                <c:pt idx="882">
                  <c:v>41.3</c:v>
                </c:pt>
                <c:pt idx="883">
                  <c:v>41.5</c:v>
                </c:pt>
                <c:pt idx="884">
                  <c:v>41.1</c:v>
                </c:pt>
                <c:pt idx="885">
                  <c:v>41.2</c:v>
                </c:pt>
                <c:pt idx="886">
                  <c:v>41.1</c:v>
                </c:pt>
                <c:pt idx="887">
                  <c:v>41.2</c:v>
                </c:pt>
                <c:pt idx="888">
                  <c:v>41</c:v>
                </c:pt>
                <c:pt idx="889">
                  <c:v>40.9</c:v>
                </c:pt>
                <c:pt idx="890">
                  <c:v>40.9</c:v>
                </c:pt>
                <c:pt idx="891">
                  <c:v>40.799999999999997</c:v>
                </c:pt>
                <c:pt idx="892">
                  <c:v>40.299999999999997</c:v>
                </c:pt>
                <c:pt idx="893">
                  <c:v>40.4</c:v>
                </c:pt>
                <c:pt idx="894">
                  <c:v>40.299999999999997</c:v>
                </c:pt>
                <c:pt idx="895">
                  <c:v>40.200000000000003</c:v>
                </c:pt>
                <c:pt idx="896">
                  <c:v>40.299999999999997</c:v>
                </c:pt>
                <c:pt idx="897">
                  <c:v>40.1</c:v>
                </c:pt>
                <c:pt idx="898">
                  <c:v>39.799999999999997</c:v>
                </c:pt>
                <c:pt idx="899">
                  <c:v>39.9</c:v>
                </c:pt>
                <c:pt idx="900">
                  <c:v>39.700000000000003</c:v>
                </c:pt>
                <c:pt idx="901">
                  <c:v>39.4</c:v>
                </c:pt>
                <c:pt idx="902">
                  <c:v>39.299999999999997</c:v>
                </c:pt>
                <c:pt idx="903">
                  <c:v>39.200000000000003</c:v>
                </c:pt>
                <c:pt idx="904">
                  <c:v>39</c:v>
                </c:pt>
                <c:pt idx="905">
                  <c:v>38.5</c:v>
                </c:pt>
                <c:pt idx="906">
                  <c:v>38.799999999999997</c:v>
                </c:pt>
                <c:pt idx="907">
                  <c:v>39</c:v>
                </c:pt>
                <c:pt idx="908">
                  <c:v>38.5</c:v>
                </c:pt>
                <c:pt idx="909">
                  <c:v>38.799999999999997</c:v>
                </c:pt>
                <c:pt idx="910">
                  <c:v>38.799999999999997</c:v>
                </c:pt>
                <c:pt idx="911">
                  <c:v>38.9</c:v>
                </c:pt>
                <c:pt idx="912">
                  <c:v>38.6</c:v>
                </c:pt>
                <c:pt idx="913">
                  <c:v>38.4</c:v>
                </c:pt>
                <c:pt idx="914">
                  <c:v>38.6</c:v>
                </c:pt>
                <c:pt idx="915">
                  <c:v>38.700000000000003</c:v>
                </c:pt>
                <c:pt idx="916">
                  <c:v>38.5</c:v>
                </c:pt>
                <c:pt idx="917">
                  <c:v>38.299999999999997</c:v>
                </c:pt>
                <c:pt idx="918">
                  <c:v>37.9</c:v>
                </c:pt>
                <c:pt idx="919">
                  <c:v>37.799999999999997</c:v>
                </c:pt>
                <c:pt idx="920">
                  <c:v>37.799999999999997</c:v>
                </c:pt>
                <c:pt idx="921">
                  <c:v>37.6</c:v>
                </c:pt>
                <c:pt idx="922">
                  <c:v>37.6</c:v>
                </c:pt>
                <c:pt idx="923">
                  <c:v>37.5</c:v>
                </c:pt>
                <c:pt idx="924">
                  <c:v>37.299999999999997</c:v>
                </c:pt>
                <c:pt idx="925">
                  <c:v>37.200000000000003</c:v>
                </c:pt>
                <c:pt idx="926">
                  <c:v>37.6</c:v>
                </c:pt>
                <c:pt idx="927">
                  <c:v>37.200000000000003</c:v>
                </c:pt>
                <c:pt idx="928">
                  <c:v>37</c:v>
                </c:pt>
                <c:pt idx="929">
                  <c:v>37.4</c:v>
                </c:pt>
                <c:pt idx="930">
                  <c:v>37.1</c:v>
                </c:pt>
                <c:pt idx="931">
                  <c:v>37.5</c:v>
                </c:pt>
                <c:pt idx="932">
                  <c:v>37.299999999999997</c:v>
                </c:pt>
                <c:pt idx="933">
                  <c:v>37.1</c:v>
                </c:pt>
                <c:pt idx="934">
                  <c:v>37.1</c:v>
                </c:pt>
                <c:pt idx="935">
                  <c:v>37.200000000000003</c:v>
                </c:pt>
                <c:pt idx="936">
                  <c:v>37.299999999999997</c:v>
                </c:pt>
                <c:pt idx="937">
                  <c:v>37.4</c:v>
                </c:pt>
                <c:pt idx="938">
                  <c:v>37</c:v>
                </c:pt>
                <c:pt idx="939">
                  <c:v>37.1</c:v>
                </c:pt>
                <c:pt idx="940">
                  <c:v>37</c:v>
                </c:pt>
                <c:pt idx="941">
                  <c:v>37</c:v>
                </c:pt>
                <c:pt idx="942">
                  <c:v>37.200000000000003</c:v>
                </c:pt>
                <c:pt idx="943">
                  <c:v>37.200000000000003</c:v>
                </c:pt>
                <c:pt idx="944">
                  <c:v>37.200000000000003</c:v>
                </c:pt>
                <c:pt idx="945">
                  <c:v>37</c:v>
                </c:pt>
                <c:pt idx="946">
                  <c:v>37.1</c:v>
                </c:pt>
                <c:pt idx="947">
                  <c:v>37.5</c:v>
                </c:pt>
                <c:pt idx="948">
                  <c:v>37.4</c:v>
                </c:pt>
                <c:pt idx="949">
                  <c:v>37.200000000000003</c:v>
                </c:pt>
                <c:pt idx="950">
                  <c:v>36.9</c:v>
                </c:pt>
                <c:pt idx="951">
                  <c:v>37.299999999999997</c:v>
                </c:pt>
                <c:pt idx="952">
                  <c:v>37.299999999999997</c:v>
                </c:pt>
                <c:pt idx="953">
                  <c:v>37.299999999999997</c:v>
                </c:pt>
                <c:pt idx="954">
                  <c:v>37.299999999999997</c:v>
                </c:pt>
                <c:pt idx="955">
                  <c:v>37.1</c:v>
                </c:pt>
                <c:pt idx="956">
                  <c:v>37.299999999999997</c:v>
                </c:pt>
                <c:pt idx="957">
                  <c:v>37.200000000000003</c:v>
                </c:pt>
                <c:pt idx="958">
                  <c:v>37.299999999999997</c:v>
                </c:pt>
                <c:pt idx="959">
                  <c:v>37.299999999999997</c:v>
                </c:pt>
                <c:pt idx="960">
                  <c:v>37.4</c:v>
                </c:pt>
                <c:pt idx="961">
                  <c:v>37.200000000000003</c:v>
                </c:pt>
                <c:pt idx="962">
                  <c:v>37.5</c:v>
                </c:pt>
                <c:pt idx="963">
                  <c:v>37.6</c:v>
                </c:pt>
                <c:pt idx="964">
                  <c:v>37.299999999999997</c:v>
                </c:pt>
                <c:pt idx="965">
                  <c:v>37.4</c:v>
                </c:pt>
                <c:pt idx="966">
                  <c:v>37.299999999999997</c:v>
                </c:pt>
                <c:pt idx="967">
                  <c:v>37.299999999999997</c:v>
                </c:pt>
                <c:pt idx="968">
                  <c:v>37.299999999999997</c:v>
                </c:pt>
                <c:pt idx="969">
                  <c:v>37.299999999999997</c:v>
                </c:pt>
                <c:pt idx="970">
                  <c:v>37.299999999999997</c:v>
                </c:pt>
                <c:pt idx="971">
                  <c:v>37</c:v>
                </c:pt>
                <c:pt idx="972">
                  <c:v>37.200000000000003</c:v>
                </c:pt>
                <c:pt idx="973">
                  <c:v>37.299999999999997</c:v>
                </c:pt>
                <c:pt idx="974">
                  <c:v>37.1</c:v>
                </c:pt>
                <c:pt idx="975">
                  <c:v>37</c:v>
                </c:pt>
                <c:pt idx="976">
                  <c:v>37.299999999999997</c:v>
                </c:pt>
                <c:pt idx="977">
                  <c:v>37.5</c:v>
                </c:pt>
                <c:pt idx="978">
                  <c:v>37.5</c:v>
                </c:pt>
                <c:pt idx="979">
                  <c:v>37.700000000000003</c:v>
                </c:pt>
                <c:pt idx="980">
                  <c:v>37.4</c:v>
                </c:pt>
                <c:pt idx="981">
                  <c:v>37.5</c:v>
                </c:pt>
                <c:pt idx="982">
                  <c:v>37.9</c:v>
                </c:pt>
                <c:pt idx="983">
                  <c:v>37.799999999999997</c:v>
                </c:pt>
                <c:pt idx="984">
                  <c:v>37.9</c:v>
                </c:pt>
                <c:pt idx="985">
                  <c:v>37.9</c:v>
                </c:pt>
                <c:pt idx="986">
                  <c:v>37.799999999999997</c:v>
                </c:pt>
                <c:pt idx="987">
                  <c:v>37.9</c:v>
                </c:pt>
                <c:pt idx="988">
                  <c:v>37.9</c:v>
                </c:pt>
                <c:pt idx="989">
                  <c:v>37.9</c:v>
                </c:pt>
                <c:pt idx="990">
                  <c:v>37.5</c:v>
                </c:pt>
                <c:pt idx="991">
                  <c:v>37.799999999999997</c:v>
                </c:pt>
                <c:pt idx="992">
                  <c:v>37.700000000000003</c:v>
                </c:pt>
                <c:pt idx="993">
                  <c:v>37.6</c:v>
                </c:pt>
                <c:pt idx="994">
                  <c:v>37.700000000000003</c:v>
                </c:pt>
                <c:pt idx="995">
                  <c:v>37.799999999999997</c:v>
                </c:pt>
                <c:pt idx="996">
                  <c:v>37.4</c:v>
                </c:pt>
                <c:pt idx="997">
                  <c:v>37.4</c:v>
                </c:pt>
                <c:pt idx="998">
                  <c:v>37.1</c:v>
                </c:pt>
                <c:pt idx="999">
                  <c:v>37.200000000000003</c:v>
                </c:pt>
                <c:pt idx="1000">
                  <c:v>37.1</c:v>
                </c:pt>
                <c:pt idx="1001">
                  <c:v>36.700000000000003</c:v>
                </c:pt>
                <c:pt idx="1002">
                  <c:v>36.4</c:v>
                </c:pt>
                <c:pt idx="1003">
                  <c:v>35.6</c:v>
                </c:pt>
                <c:pt idx="1004">
                  <c:v>35.6</c:v>
                </c:pt>
                <c:pt idx="1005">
                  <c:v>35.4</c:v>
                </c:pt>
                <c:pt idx="1006">
                  <c:v>35.4</c:v>
                </c:pt>
                <c:pt idx="1007">
                  <c:v>35.5</c:v>
                </c:pt>
                <c:pt idx="1008">
                  <c:v>35.4</c:v>
                </c:pt>
                <c:pt idx="1009">
                  <c:v>35.200000000000003</c:v>
                </c:pt>
                <c:pt idx="1010">
                  <c:v>35.200000000000003</c:v>
                </c:pt>
                <c:pt idx="1011">
                  <c:v>35</c:v>
                </c:pt>
                <c:pt idx="1012">
                  <c:v>34.799999999999997</c:v>
                </c:pt>
                <c:pt idx="1013">
                  <c:v>34.799999999999997</c:v>
                </c:pt>
                <c:pt idx="1014">
                  <c:v>34.4</c:v>
                </c:pt>
                <c:pt idx="1015">
                  <c:v>34.700000000000003</c:v>
                </c:pt>
                <c:pt idx="1016">
                  <c:v>34.6</c:v>
                </c:pt>
                <c:pt idx="1017">
                  <c:v>34.299999999999997</c:v>
                </c:pt>
                <c:pt idx="1018">
                  <c:v>34.299999999999997</c:v>
                </c:pt>
                <c:pt idx="1019">
                  <c:v>34.4</c:v>
                </c:pt>
                <c:pt idx="1020">
                  <c:v>34.1</c:v>
                </c:pt>
                <c:pt idx="1021">
                  <c:v>34.200000000000003</c:v>
                </c:pt>
                <c:pt idx="1022">
                  <c:v>34.4</c:v>
                </c:pt>
                <c:pt idx="1023">
                  <c:v>34.299999999999997</c:v>
                </c:pt>
                <c:pt idx="1024">
                  <c:v>34</c:v>
                </c:pt>
                <c:pt idx="1025">
                  <c:v>33.799999999999997</c:v>
                </c:pt>
                <c:pt idx="1026">
                  <c:v>33.9</c:v>
                </c:pt>
                <c:pt idx="1027">
                  <c:v>33.9</c:v>
                </c:pt>
                <c:pt idx="1028">
                  <c:v>34.1</c:v>
                </c:pt>
                <c:pt idx="1029">
                  <c:v>33.799999999999997</c:v>
                </c:pt>
                <c:pt idx="1030">
                  <c:v>33.9</c:v>
                </c:pt>
                <c:pt idx="1031">
                  <c:v>33.799999999999997</c:v>
                </c:pt>
                <c:pt idx="1032">
                  <c:v>33.9</c:v>
                </c:pt>
                <c:pt idx="1033">
                  <c:v>33.799999999999997</c:v>
                </c:pt>
                <c:pt idx="1034">
                  <c:v>33.4</c:v>
                </c:pt>
                <c:pt idx="1035">
                  <c:v>33.9</c:v>
                </c:pt>
                <c:pt idx="1036">
                  <c:v>33.9</c:v>
                </c:pt>
                <c:pt idx="1037">
                  <c:v>33.799999999999997</c:v>
                </c:pt>
                <c:pt idx="1038">
                  <c:v>33.799999999999997</c:v>
                </c:pt>
                <c:pt idx="1039">
                  <c:v>33.9</c:v>
                </c:pt>
                <c:pt idx="1040">
                  <c:v>33.799999999999997</c:v>
                </c:pt>
                <c:pt idx="1041">
                  <c:v>34.299999999999997</c:v>
                </c:pt>
                <c:pt idx="1042">
                  <c:v>34</c:v>
                </c:pt>
                <c:pt idx="1043">
                  <c:v>34.4</c:v>
                </c:pt>
                <c:pt idx="1044">
                  <c:v>34.299999999999997</c:v>
                </c:pt>
                <c:pt idx="1045">
                  <c:v>34.200000000000003</c:v>
                </c:pt>
                <c:pt idx="1046">
                  <c:v>34.200000000000003</c:v>
                </c:pt>
                <c:pt idx="1047">
                  <c:v>34.200000000000003</c:v>
                </c:pt>
                <c:pt idx="1048">
                  <c:v>34.299999999999997</c:v>
                </c:pt>
                <c:pt idx="1049">
                  <c:v>34.4</c:v>
                </c:pt>
                <c:pt idx="1050">
                  <c:v>34.200000000000003</c:v>
                </c:pt>
                <c:pt idx="1051">
                  <c:v>34.299999999999997</c:v>
                </c:pt>
                <c:pt idx="1052">
                  <c:v>34.5</c:v>
                </c:pt>
                <c:pt idx="1053">
                  <c:v>34.299999999999997</c:v>
                </c:pt>
                <c:pt idx="1054">
                  <c:v>34.6</c:v>
                </c:pt>
                <c:pt idx="1055">
                  <c:v>34.4</c:v>
                </c:pt>
                <c:pt idx="1056">
                  <c:v>34.5</c:v>
                </c:pt>
                <c:pt idx="1057">
                  <c:v>34.299999999999997</c:v>
                </c:pt>
                <c:pt idx="1058">
                  <c:v>34.4</c:v>
                </c:pt>
                <c:pt idx="1059">
                  <c:v>34.4</c:v>
                </c:pt>
                <c:pt idx="1060">
                  <c:v>34.299999999999997</c:v>
                </c:pt>
                <c:pt idx="1061">
                  <c:v>34.5</c:v>
                </c:pt>
                <c:pt idx="1062">
                  <c:v>34.4</c:v>
                </c:pt>
                <c:pt idx="1063">
                  <c:v>34.5</c:v>
                </c:pt>
                <c:pt idx="1064">
                  <c:v>34.6</c:v>
                </c:pt>
                <c:pt idx="1065">
                  <c:v>34.700000000000003</c:v>
                </c:pt>
                <c:pt idx="1066">
                  <c:v>34.5</c:v>
                </c:pt>
                <c:pt idx="1067">
                  <c:v>34.6</c:v>
                </c:pt>
                <c:pt idx="1068">
                  <c:v>34.4</c:v>
                </c:pt>
                <c:pt idx="1069">
                  <c:v>34.5</c:v>
                </c:pt>
                <c:pt idx="1070">
                  <c:v>34.5</c:v>
                </c:pt>
                <c:pt idx="1071">
                  <c:v>34.4</c:v>
                </c:pt>
                <c:pt idx="1072">
                  <c:v>34.799999999999997</c:v>
                </c:pt>
                <c:pt idx="1073">
                  <c:v>34.700000000000003</c:v>
                </c:pt>
                <c:pt idx="1074">
                  <c:v>34.9</c:v>
                </c:pt>
                <c:pt idx="1075">
                  <c:v>34.799999999999997</c:v>
                </c:pt>
                <c:pt idx="1076">
                  <c:v>34.6</c:v>
                </c:pt>
                <c:pt idx="1077">
                  <c:v>34.5</c:v>
                </c:pt>
                <c:pt idx="1078">
                  <c:v>34.700000000000003</c:v>
                </c:pt>
                <c:pt idx="1079">
                  <c:v>34.799999999999997</c:v>
                </c:pt>
                <c:pt idx="1080">
                  <c:v>34.6</c:v>
                </c:pt>
                <c:pt idx="1081">
                  <c:v>34.5</c:v>
                </c:pt>
                <c:pt idx="1082">
                  <c:v>34.6</c:v>
                </c:pt>
                <c:pt idx="1083">
                  <c:v>34.9</c:v>
                </c:pt>
                <c:pt idx="1084">
                  <c:v>34.9</c:v>
                </c:pt>
                <c:pt idx="1085">
                  <c:v>34.700000000000003</c:v>
                </c:pt>
                <c:pt idx="1086">
                  <c:v>34.700000000000003</c:v>
                </c:pt>
                <c:pt idx="1087">
                  <c:v>34.799999999999997</c:v>
                </c:pt>
                <c:pt idx="1088">
                  <c:v>34.700000000000003</c:v>
                </c:pt>
                <c:pt idx="1089">
                  <c:v>34.700000000000003</c:v>
                </c:pt>
                <c:pt idx="1090">
                  <c:v>34.700000000000003</c:v>
                </c:pt>
                <c:pt idx="1091">
                  <c:v>34.5</c:v>
                </c:pt>
                <c:pt idx="1092">
                  <c:v>34.4</c:v>
                </c:pt>
                <c:pt idx="1093">
                  <c:v>34</c:v>
                </c:pt>
                <c:pt idx="1094">
                  <c:v>33.9</c:v>
                </c:pt>
                <c:pt idx="1095">
                  <c:v>33.700000000000003</c:v>
                </c:pt>
                <c:pt idx="1096">
                  <c:v>33.9</c:v>
                </c:pt>
                <c:pt idx="1097">
                  <c:v>34</c:v>
                </c:pt>
                <c:pt idx="1098">
                  <c:v>33.299999999999997</c:v>
                </c:pt>
                <c:pt idx="1099">
                  <c:v>33.1</c:v>
                </c:pt>
                <c:pt idx="1100">
                  <c:v>33.200000000000003</c:v>
                </c:pt>
                <c:pt idx="1101">
                  <c:v>32.799999999999997</c:v>
                </c:pt>
                <c:pt idx="1102">
                  <c:v>32.6</c:v>
                </c:pt>
                <c:pt idx="1103">
                  <c:v>32.4</c:v>
                </c:pt>
                <c:pt idx="1104">
                  <c:v>32.5</c:v>
                </c:pt>
                <c:pt idx="1105">
                  <c:v>32.1</c:v>
                </c:pt>
                <c:pt idx="1106">
                  <c:v>32.4</c:v>
                </c:pt>
                <c:pt idx="1107">
                  <c:v>32.6</c:v>
                </c:pt>
                <c:pt idx="1108">
                  <c:v>31.8</c:v>
                </c:pt>
                <c:pt idx="1109">
                  <c:v>32</c:v>
                </c:pt>
                <c:pt idx="1110">
                  <c:v>31.8</c:v>
                </c:pt>
                <c:pt idx="1111">
                  <c:v>31.8</c:v>
                </c:pt>
                <c:pt idx="1112">
                  <c:v>31.5</c:v>
                </c:pt>
                <c:pt idx="1113">
                  <c:v>31.4</c:v>
                </c:pt>
                <c:pt idx="1114">
                  <c:v>31.9</c:v>
                </c:pt>
                <c:pt idx="1115">
                  <c:v>31</c:v>
                </c:pt>
                <c:pt idx="1116">
                  <c:v>31.2</c:v>
                </c:pt>
                <c:pt idx="1117">
                  <c:v>31.2</c:v>
                </c:pt>
                <c:pt idx="1118">
                  <c:v>30.7</c:v>
                </c:pt>
                <c:pt idx="1119">
                  <c:v>30.5</c:v>
                </c:pt>
                <c:pt idx="1120">
                  <c:v>30.6</c:v>
                </c:pt>
                <c:pt idx="1121">
                  <c:v>30.5</c:v>
                </c:pt>
                <c:pt idx="1122">
                  <c:v>30.8</c:v>
                </c:pt>
                <c:pt idx="1123">
                  <c:v>31</c:v>
                </c:pt>
                <c:pt idx="1124">
                  <c:v>31</c:v>
                </c:pt>
                <c:pt idx="1125">
                  <c:v>31</c:v>
                </c:pt>
                <c:pt idx="1126">
                  <c:v>30.6</c:v>
                </c:pt>
                <c:pt idx="1127">
                  <c:v>30.1</c:v>
                </c:pt>
                <c:pt idx="1128">
                  <c:v>30.2</c:v>
                </c:pt>
                <c:pt idx="1129">
                  <c:v>30.2</c:v>
                </c:pt>
                <c:pt idx="1130">
                  <c:v>30.2</c:v>
                </c:pt>
                <c:pt idx="1131">
                  <c:v>30.3</c:v>
                </c:pt>
                <c:pt idx="1132">
                  <c:v>30.5</c:v>
                </c:pt>
                <c:pt idx="1133">
                  <c:v>30.5</c:v>
                </c:pt>
                <c:pt idx="1134">
                  <c:v>30.9</c:v>
                </c:pt>
                <c:pt idx="1135">
                  <c:v>30.9</c:v>
                </c:pt>
                <c:pt idx="1136">
                  <c:v>30.6</c:v>
                </c:pt>
                <c:pt idx="1137">
                  <c:v>30.7</c:v>
                </c:pt>
                <c:pt idx="1138">
                  <c:v>30.4</c:v>
                </c:pt>
                <c:pt idx="1139">
                  <c:v>30</c:v>
                </c:pt>
                <c:pt idx="1140">
                  <c:v>30</c:v>
                </c:pt>
                <c:pt idx="1141">
                  <c:v>30.5</c:v>
                </c:pt>
                <c:pt idx="1142">
                  <c:v>30.5</c:v>
                </c:pt>
                <c:pt idx="1143">
                  <c:v>30.4</c:v>
                </c:pt>
                <c:pt idx="1144">
                  <c:v>30.4</c:v>
                </c:pt>
                <c:pt idx="1145">
                  <c:v>30.2</c:v>
                </c:pt>
                <c:pt idx="1146">
                  <c:v>30.3</c:v>
                </c:pt>
                <c:pt idx="1147">
                  <c:v>30</c:v>
                </c:pt>
                <c:pt idx="1148">
                  <c:v>30</c:v>
                </c:pt>
                <c:pt idx="1149">
                  <c:v>30.3</c:v>
                </c:pt>
                <c:pt idx="1150">
                  <c:v>30.6</c:v>
                </c:pt>
                <c:pt idx="1151">
                  <c:v>30</c:v>
                </c:pt>
                <c:pt idx="1152">
                  <c:v>30.2</c:v>
                </c:pt>
                <c:pt idx="1153">
                  <c:v>30.3</c:v>
                </c:pt>
                <c:pt idx="1154">
                  <c:v>30.4</c:v>
                </c:pt>
                <c:pt idx="1155">
                  <c:v>30.7</c:v>
                </c:pt>
                <c:pt idx="1156">
                  <c:v>30.7</c:v>
                </c:pt>
                <c:pt idx="1157">
                  <c:v>30.6</c:v>
                </c:pt>
                <c:pt idx="1158">
                  <c:v>30.5</c:v>
                </c:pt>
                <c:pt idx="1159">
                  <c:v>30.7</c:v>
                </c:pt>
                <c:pt idx="1160">
                  <c:v>30.7</c:v>
                </c:pt>
                <c:pt idx="1161">
                  <c:v>30.6</c:v>
                </c:pt>
                <c:pt idx="1162">
                  <c:v>30.5</c:v>
                </c:pt>
                <c:pt idx="1163">
                  <c:v>30.6</c:v>
                </c:pt>
                <c:pt idx="1164">
                  <c:v>30.8</c:v>
                </c:pt>
                <c:pt idx="1165">
                  <c:v>30.6</c:v>
                </c:pt>
                <c:pt idx="1166">
                  <c:v>30.5</c:v>
                </c:pt>
                <c:pt idx="1167">
                  <c:v>30.6</c:v>
                </c:pt>
                <c:pt idx="1168">
                  <c:v>30.4</c:v>
                </c:pt>
                <c:pt idx="1169">
                  <c:v>30.7</c:v>
                </c:pt>
                <c:pt idx="1170">
                  <c:v>30.1</c:v>
                </c:pt>
                <c:pt idx="1171">
                  <c:v>30</c:v>
                </c:pt>
                <c:pt idx="1172">
                  <c:v>30.1</c:v>
                </c:pt>
                <c:pt idx="1173">
                  <c:v>30</c:v>
                </c:pt>
                <c:pt idx="1174">
                  <c:v>29.8</c:v>
                </c:pt>
                <c:pt idx="1175">
                  <c:v>29.5</c:v>
                </c:pt>
                <c:pt idx="1176">
                  <c:v>29</c:v>
                </c:pt>
                <c:pt idx="1177">
                  <c:v>29.1</c:v>
                </c:pt>
                <c:pt idx="1178">
                  <c:v>28.6</c:v>
                </c:pt>
                <c:pt idx="1179">
                  <c:v>28.8</c:v>
                </c:pt>
                <c:pt idx="1180">
                  <c:v>28.6</c:v>
                </c:pt>
                <c:pt idx="1181">
                  <c:v>28.6</c:v>
                </c:pt>
                <c:pt idx="1182">
                  <c:v>28.6</c:v>
                </c:pt>
                <c:pt idx="1183">
                  <c:v>28.7</c:v>
                </c:pt>
                <c:pt idx="1184">
                  <c:v>28.4</c:v>
                </c:pt>
                <c:pt idx="1185">
                  <c:v>28.5</c:v>
                </c:pt>
                <c:pt idx="1186">
                  <c:v>28.1</c:v>
                </c:pt>
                <c:pt idx="1187">
                  <c:v>27.7</c:v>
                </c:pt>
                <c:pt idx="1188">
                  <c:v>27.3</c:v>
                </c:pt>
                <c:pt idx="1189">
                  <c:v>27.1</c:v>
                </c:pt>
                <c:pt idx="1190">
                  <c:v>26.5</c:v>
                </c:pt>
                <c:pt idx="1191">
                  <c:v>25.9</c:v>
                </c:pt>
                <c:pt idx="1192">
                  <c:v>25.9</c:v>
                </c:pt>
                <c:pt idx="1193">
                  <c:v>25.6</c:v>
                </c:pt>
                <c:pt idx="1194">
                  <c:v>25.6</c:v>
                </c:pt>
                <c:pt idx="1195">
                  <c:v>25.7</c:v>
                </c:pt>
                <c:pt idx="1196">
                  <c:v>25.4</c:v>
                </c:pt>
                <c:pt idx="1197">
                  <c:v>25.9</c:v>
                </c:pt>
                <c:pt idx="1198">
                  <c:v>26.2</c:v>
                </c:pt>
                <c:pt idx="1199">
                  <c:v>26.2</c:v>
                </c:pt>
                <c:pt idx="1200">
                  <c:v>26.1</c:v>
                </c:pt>
                <c:pt idx="1201">
                  <c:v>26.2</c:v>
                </c:pt>
                <c:pt idx="1202">
                  <c:v>26.2</c:v>
                </c:pt>
                <c:pt idx="1203">
                  <c:v>26</c:v>
                </c:pt>
                <c:pt idx="1204">
                  <c:v>26.1</c:v>
                </c:pt>
                <c:pt idx="1205">
                  <c:v>26.1</c:v>
                </c:pt>
                <c:pt idx="1206">
                  <c:v>26.2</c:v>
                </c:pt>
                <c:pt idx="1207">
                  <c:v>26.3</c:v>
                </c:pt>
                <c:pt idx="1208">
                  <c:v>26.2</c:v>
                </c:pt>
                <c:pt idx="1209">
                  <c:v>26.1</c:v>
                </c:pt>
                <c:pt idx="1210">
                  <c:v>26.1</c:v>
                </c:pt>
                <c:pt idx="1211">
                  <c:v>26.3</c:v>
                </c:pt>
                <c:pt idx="1212">
                  <c:v>25.9</c:v>
                </c:pt>
                <c:pt idx="1213">
                  <c:v>26</c:v>
                </c:pt>
                <c:pt idx="1214">
                  <c:v>25.9</c:v>
                </c:pt>
                <c:pt idx="1215">
                  <c:v>26.2</c:v>
                </c:pt>
                <c:pt idx="1216">
                  <c:v>26</c:v>
                </c:pt>
                <c:pt idx="1217">
                  <c:v>26.2</c:v>
                </c:pt>
                <c:pt idx="1218">
                  <c:v>25.8</c:v>
                </c:pt>
                <c:pt idx="1219">
                  <c:v>25.8</c:v>
                </c:pt>
                <c:pt idx="1220">
                  <c:v>26</c:v>
                </c:pt>
                <c:pt idx="1221">
                  <c:v>26</c:v>
                </c:pt>
                <c:pt idx="1222">
                  <c:v>26.2</c:v>
                </c:pt>
                <c:pt idx="1223">
                  <c:v>25.9</c:v>
                </c:pt>
                <c:pt idx="1224">
                  <c:v>26.1</c:v>
                </c:pt>
                <c:pt idx="1225">
                  <c:v>26</c:v>
                </c:pt>
                <c:pt idx="1226">
                  <c:v>25.9</c:v>
                </c:pt>
                <c:pt idx="1227">
                  <c:v>26.1</c:v>
                </c:pt>
                <c:pt idx="1228">
                  <c:v>25.8</c:v>
                </c:pt>
                <c:pt idx="1229">
                  <c:v>25.8</c:v>
                </c:pt>
                <c:pt idx="1230">
                  <c:v>26</c:v>
                </c:pt>
                <c:pt idx="1231">
                  <c:v>25.9</c:v>
                </c:pt>
                <c:pt idx="1232">
                  <c:v>25.6</c:v>
                </c:pt>
                <c:pt idx="1233">
                  <c:v>25.6</c:v>
                </c:pt>
                <c:pt idx="1234">
                  <c:v>25.9</c:v>
                </c:pt>
                <c:pt idx="1235">
                  <c:v>26</c:v>
                </c:pt>
                <c:pt idx="1236">
                  <c:v>25.9</c:v>
                </c:pt>
                <c:pt idx="1237">
                  <c:v>25.8</c:v>
                </c:pt>
                <c:pt idx="1238">
                  <c:v>25.9</c:v>
                </c:pt>
                <c:pt idx="1239">
                  <c:v>26.1</c:v>
                </c:pt>
                <c:pt idx="1240">
                  <c:v>25.6</c:v>
                </c:pt>
                <c:pt idx="1241">
                  <c:v>25.9</c:v>
                </c:pt>
                <c:pt idx="1242">
                  <c:v>25.8</c:v>
                </c:pt>
                <c:pt idx="1243">
                  <c:v>25.7</c:v>
                </c:pt>
                <c:pt idx="1244">
                  <c:v>25.5</c:v>
                </c:pt>
                <c:pt idx="1245">
                  <c:v>25.9</c:v>
                </c:pt>
                <c:pt idx="1246">
                  <c:v>25.7</c:v>
                </c:pt>
                <c:pt idx="1247">
                  <c:v>25.6</c:v>
                </c:pt>
                <c:pt idx="1248">
                  <c:v>25.4</c:v>
                </c:pt>
                <c:pt idx="1249">
                  <c:v>25.7</c:v>
                </c:pt>
                <c:pt idx="1250">
                  <c:v>25.9</c:v>
                </c:pt>
                <c:pt idx="1251">
                  <c:v>24.4</c:v>
                </c:pt>
                <c:pt idx="1252">
                  <c:v>25.5</c:v>
                </c:pt>
                <c:pt idx="1253">
                  <c:v>25.5</c:v>
                </c:pt>
                <c:pt idx="1254">
                  <c:v>25.4</c:v>
                </c:pt>
                <c:pt idx="1255">
                  <c:v>25.2</c:v>
                </c:pt>
                <c:pt idx="1256">
                  <c:v>24.9</c:v>
                </c:pt>
                <c:pt idx="1257">
                  <c:v>24.7</c:v>
                </c:pt>
                <c:pt idx="1258">
                  <c:v>24.9</c:v>
                </c:pt>
                <c:pt idx="1259">
                  <c:v>23.4</c:v>
                </c:pt>
                <c:pt idx="1260">
                  <c:v>24.2</c:v>
                </c:pt>
                <c:pt idx="1261">
                  <c:v>24.3</c:v>
                </c:pt>
                <c:pt idx="1262">
                  <c:v>24.4</c:v>
                </c:pt>
                <c:pt idx="1263">
                  <c:v>24.3</c:v>
                </c:pt>
                <c:pt idx="1264">
                  <c:v>24.4</c:v>
                </c:pt>
                <c:pt idx="1265">
                  <c:v>24.2</c:v>
                </c:pt>
                <c:pt idx="1266">
                  <c:v>24.1</c:v>
                </c:pt>
                <c:pt idx="1267">
                  <c:v>24</c:v>
                </c:pt>
                <c:pt idx="1268">
                  <c:v>24.5</c:v>
                </c:pt>
                <c:pt idx="1269">
                  <c:v>24.6</c:v>
                </c:pt>
                <c:pt idx="1270">
                  <c:v>24.2</c:v>
                </c:pt>
                <c:pt idx="1271">
                  <c:v>24.3</c:v>
                </c:pt>
                <c:pt idx="1272">
                  <c:v>24.2</c:v>
                </c:pt>
                <c:pt idx="1273">
                  <c:v>24.8</c:v>
                </c:pt>
                <c:pt idx="1274">
                  <c:v>24.6</c:v>
                </c:pt>
                <c:pt idx="1275">
                  <c:v>24.7</c:v>
                </c:pt>
                <c:pt idx="1276">
                  <c:v>24.5</c:v>
                </c:pt>
                <c:pt idx="1277">
                  <c:v>24.5</c:v>
                </c:pt>
                <c:pt idx="1278">
                  <c:v>24.3</c:v>
                </c:pt>
                <c:pt idx="1279">
                  <c:v>24.8</c:v>
                </c:pt>
                <c:pt idx="1280">
                  <c:v>24.9</c:v>
                </c:pt>
                <c:pt idx="1281">
                  <c:v>24.8</c:v>
                </c:pt>
                <c:pt idx="1282">
                  <c:v>24.7</c:v>
                </c:pt>
                <c:pt idx="1283">
                  <c:v>24.9</c:v>
                </c:pt>
                <c:pt idx="1284">
                  <c:v>24.8</c:v>
                </c:pt>
                <c:pt idx="1285">
                  <c:v>24.8</c:v>
                </c:pt>
                <c:pt idx="1286">
                  <c:v>24.8</c:v>
                </c:pt>
                <c:pt idx="1287">
                  <c:v>24.6</c:v>
                </c:pt>
                <c:pt idx="1288">
                  <c:v>23.6</c:v>
                </c:pt>
                <c:pt idx="1289">
                  <c:v>22.9</c:v>
                </c:pt>
                <c:pt idx="1290">
                  <c:v>22.7</c:v>
                </c:pt>
                <c:pt idx="1291">
                  <c:v>22.5</c:v>
                </c:pt>
                <c:pt idx="1292">
                  <c:v>22.6</c:v>
                </c:pt>
                <c:pt idx="1293">
                  <c:v>22.6</c:v>
                </c:pt>
                <c:pt idx="1294">
                  <c:v>22.7</c:v>
                </c:pt>
                <c:pt idx="1295">
                  <c:v>22.5</c:v>
                </c:pt>
                <c:pt idx="1296">
                  <c:v>22.4</c:v>
                </c:pt>
                <c:pt idx="1297">
                  <c:v>22.9</c:v>
                </c:pt>
                <c:pt idx="1298">
                  <c:v>22.7</c:v>
                </c:pt>
                <c:pt idx="1299">
                  <c:v>23</c:v>
                </c:pt>
                <c:pt idx="1300">
                  <c:v>23</c:v>
                </c:pt>
                <c:pt idx="1301">
                  <c:v>23</c:v>
                </c:pt>
                <c:pt idx="1302">
                  <c:v>23</c:v>
                </c:pt>
              </c:numCache>
            </c:numRef>
          </c:yVal>
          <c:smooth val="0"/>
          <c:extLst>
            <c:ext xmlns:c16="http://schemas.microsoft.com/office/drawing/2014/chart" uri="{C3380CC4-5D6E-409C-BE32-E72D297353CC}">
              <c16:uniqueId val="{00000001-C5C7-4236-BEF1-BC153DD5CFE6}"/>
            </c:ext>
          </c:extLst>
        </c:ser>
        <c:dLbls>
          <c:showLegendKey val="0"/>
          <c:showVal val="0"/>
          <c:showCatName val="0"/>
          <c:showSerName val="0"/>
          <c:showPercent val="0"/>
          <c:showBubbleSize val="0"/>
        </c:dLbls>
        <c:axId val="488985472"/>
        <c:axId val="488985864"/>
      </c:scatterChart>
      <c:valAx>
        <c:axId val="488985472"/>
        <c:scaling>
          <c:orientation val="minMax"/>
          <c:max val="14"/>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Since Dye Introduction to Cell 1 (Days)</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8985864"/>
        <c:crosses val="autoZero"/>
        <c:crossBetween val="midCat"/>
      </c:valAx>
      <c:valAx>
        <c:axId val="488985864"/>
        <c:scaling>
          <c:orientation val="minMax"/>
          <c:max val="7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Rhodamine Concentration (ug/L)</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8985472"/>
        <c:crosses val="autoZero"/>
        <c:crossBetween val="midCat"/>
      </c:valAx>
    </c:plotArea>
    <c:plotVisOnly val="1"/>
    <c:dispBlanksAs val="gap"/>
    <c:showDLblsOverMax val="0"/>
  </c:chart>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Average!$V$3</c:f>
              <c:strCache>
                <c:ptCount val="1"/>
                <c:pt idx="0">
                  <c:v>Total Fe</c:v>
                </c:pt>
              </c:strCache>
            </c:strRef>
          </c:tx>
          <c:spPr>
            <a:ln w="25400" cap="rnd">
              <a:noFill/>
              <a:round/>
            </a:ln>
            <a:effectLst/>
          </c:spPr>
          <c:marker>
            <c:symbol val="circle"/>
            <c:size val="8"/>
            <c:spPr>
              <a:solidFill>
                <a:schemeClr val="accent2">
                  <a:lumMod val="75000"/>
                </a:schemeClr>
              </a:solidFill>
              <a:ln w="9525">
                <a:solidFill>
                  <a:schemeClr val="accent2">
                    <a:lumMod val="75000"/>
                  </a:schemeClr>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bg1">
                    <a:lumMod val="50000"/>
                  </a:schemeClr>
                </a:solidFill>
                <a:prstDash val="sysDot"/>
              </a:ln>
              <a:effectLst/>
            </c:spPr>
            <c:trendlineType val="linear"/>
            <c:dispRSqr val="1"/>
            <c:dispEq val="1"/>
            <c:trendlineLbl>
              <c:layout>
                <c:manualLayout>
                  <c:x val="-5.4595581802274716E-2"/>
                  <c:y val="-0.23019940215806359"/>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1" baseline="0">
                        <a:solidFill>
                          <a:schemeClr val="bg1"/>
                        </a:solidFill>
                      </a:rPr>
                      <a:t>y = -3.9016x + 42.988</a:t>
                    </a:r>
                    <a:br>
                      <a:rPr lang="en-US" b="1" baseline="0">
                        <a:solidFill>
                          <a:schemeClr val="bg1"/>
                        </a:solidFill>
                      </a:rPr>
                    </a:br>
                    <a:r>
                      <a:rPr lang="en-US" b="1" baseline="0">
                        <a:solidFill>
                          <a:schemeClr val="bg1"/>
                        </a:solidFill>
                      </a:rPr>
                      <a:t>R² = 0.9445</a:t>
                    </a:r>
                    <a:endParaRPr lang="en-US" b="1">
                      <a:solidFill>
                        <a:schemeClr val="bg1"/>
                      </a:solidFill>
                    </a:endParaRPr>
                  </a:p>
                </c:rich>
              </c:tx>
              <c:numFmt formatCode="General" sourceLinked="0"/>
              <c:spPr>
                <a:solidFill>
                  <a:schemeClr val="accent2"/>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Average!$S$5:$S$9</c:f>
              <c:numCache>
                <c:formatCode>General</c:formatCode>
                <c:ptCount val="5"/>
                <c:pt idx="0">
                  <c:v>0.83</c:v>
                </c:pt>
                <c:pt idx="1">
                  <c:v>2.3199999999999998</c:v>
                </c:pt>
                <c:pt idx="2">
                  <c:v>3.39</c:v>
                </c:pt>
                <c:pt idx="3">
                  <c:v>4.5</c:v>
                </c:pt>
                <c:pt idx="4">
                  <c:v>6.48</c:v>
                </c:pt>
              </c:numCache>
            </c:numRef>
          </c:xVal>
          <c:yVal>
            <c:numRef>
              <c:f>Average!$V$5:$V$9</c:f>
              <c:numCache>
                <c:formatCode>General</c:formatCode>
                <c:ptCount val="5"/>
                <c:pt idx="0">
                  <c:v>42.157507166081231</c:v>
                </c:pt>
                <c:pt idx="1">
                  <c:v>32.594947039191148</c:v>
                </c:pt>
                <c:pt idx="2">
                  <c:v>27.224273644697451</c:v>
                </c:pt>
                <c:pt idx="3">
                  <c:v>25.339706315929746</c:v>
                </c:pt>
                <c:pt idx="4">
                  <c:v>19.268517384987561</c:v>
                </c:pt>
              </c:numCache>
            </c:numRef>
          </c:yVal>
          <c:smooth val="0"/>
          <c:extLst>
            <c:ext xmlns:c16="http://schemas.microsoft.com/office/drawing/2014/chart" uri="{C3380CC4-5D6E-409C-BE32-E72D297353CC}">
              <c16:uniqueId val="{00000000-FBD5-4D23-8844-56E608822EEF}"/>
            </c:ext>
          </c:extLst>
        </c:ser>
        <c:ser>
          <c:idx val="1"/>
          <c:order val="1"/>
          <c:tx>
            <c:strRef>
              <c:f>Average!$W$3</c:f>
              <c:strCache>
                <c:ptCount val="1"/>
                <c:pt idx="0">
                  <c:v>Dissolved Fe</c:v>
                </c:pt>
              </c:strCache>
            </c:strRef>
          </c:tx>
          <c:spPr>
            <a:ln w="25400" cap="rnd">
              <a:noFill/>
              <a:round/>
            </a:ln>
            <a:effectLst/>
          </c:spPr>
          <c:marker>
            <c:symbol val="circle"/>
            <c:size val="8"/>
            <c:spPr>
              <a:solidFill>
                <a:srgbClr val="00B0F0"/>
              </a:solidFill>
              <a:ln w="9525">
                <a:solidFill>
                  <a:srgbClr val="00B0F0"/>
                </a:solidFill>
              </a:ln>
              <a:effectLst/>
            </c:spPr>
          </c:marker>
          <c:trendline>
            <c:spPr>
              <a:ln w="19050" cap="rnd">
                <a:solidFill>
                  <a:schemeClr val="accent2"/>
                </a:solidFill>
                <a:prstDash val="sysDot"/>
              </a:ln>
              <a:effectLst/>
            </c:spPr>
            <c:trendlineType val="linear"/>
            <c:dispRSqr val="0"/>
            <c:dispEq val="0"/>
          </c:trendline>
          <c:trendline>
            <c:spPr>
              <a:ln w="19050" cap="rnd">
                <a:solidFill>
                  <a:schemeClr val="tx1">
                    <a:lumMod val="50000"/>
                    <a:lumOff val="50000"/>
                  </a:schemeClr>
                </a:solidFill>
                <a:prstDash val="sysDot"/>
              </a:ln>
              <a:effectLst/>
            </c:spPr>
            <c:trendlineType val="linear"/>
            <c:dispRSqr val="1"/>
            <c:dispEq val="1"/>
            <c:trendlineLbl>
              <c:layout>
                <c:manualLayout>
                  <c:x val="-5.4595581802274716E-2"/>
                  <c:y val="3.7317731116943718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1" baseline="0">
                        <a:solidFill>
                          <a:schemeClr val="bg1"/>
                        </a:solidFill>
                      </a:rPr>
                      <a:t>y = -2.3865x + 24.999</a:t>
                    </a:r>
                    <a:br>
                      <a:rPr lang="en-US" b="1" baseline="0">
                        <a:solidFill>
                          <a:schemeClr val="bg1"/>
                        </a:solidFill>
                      </a:rPr>
                    </a:br>
                    <a:r>
                      <a:rPr lang="en-US" b="1" baseline="0">
                        <a:solidFill>
                          <a:schemeClr val="bg1"/>
                        </a:solidFill>
                      </a:rPr>
                      <a:t>R² = 0.8201</a:t>
                    </a:r>
                    <a:endParaRPr lang="en-US" b="1">
                      <a:solidFill>
                        <a:schemeClr val="bg1"/>
                      </a:solidFill>
                    </a:endParaRPr>
                  </a:p>
                </c:rich>
              </c:tx>
              <c:numFmt formatCode="General" sourceLinked="0"/>
              <c:spPr>
                <a:solidFill>
                  <a:srgbClr val="00B0F0"/>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Average!$S$5:$S$9</c:f>
              <c:numCache>
                <c:formatCode>General</c:formatCode>
                <c:ptCount val="5"/>
                <c:pt idx="0">
                  <c:v>0.83</c:v>
                </c:pt>
                <c:pt idx="1">
                  <c:v>2.3199999999999998</c:v>
                </c:pt>
                <c:pt idx="2">
                  <c:v>3.39</c:v>
                </c:pt>
                <c:pt idx="3">
                  <c:v>4.5</c:v>
                </c:pt>
                <c:pt idx="4">
                  <c:v>6.48</c:v>
                </c:pt>
              </c:numCache>
            </c:numRef>
          </c:xVal>
          <c:yVal>
            <c:numRef>
              <c:f>Average!$W$5:$W$9</c:f>
              <c:numCache>
                <c:formatCode>0.000</c:formatCode>
                <c:ptCount val="5"/>
                <c:pt idx="0">
                  <c:v>24.899442833180949</c:v>
                </c:pt>
                <c:pt idx="1">
                  <c:v>18.40344150863314</c:v>
                </c:pt>
                <c:pt idx="2">
                  <c:v>13.366370384000048</c:v>
                </c:pt>
                <c:pt idx="3">
                  <c:v>16.644197823736263</c:v>
                </c:pt>
                <c:pt idx="4">
                  <c:v>9.8697187109635962</c:v>
                </c:pt>
              </c:numCache>
            </c:numRef>
          </c:yVal>
          <c:smooth val="0"/>
          <c:extLst>
            <c:ext xmlns:c16="http://schemas.microsoft.com/office/drawing/2014/chart" uri="{C3380CC4-5D6E-409C-BE32-E72D297353CC}">
              <c16:uniqueId val="{00000001-FBD5-4D23-8844-56E608822EEF}"/>
            </c:ext>
          </c:extLst>
        </c:ser>
        <c:dLbls>
          <c:showLegendKey val="0"/>
          <c:showVal val="0"/>
          <c:showCatName val="0"/>
          <c:showSerName val="0"/>
          <c:showPercent val="0"/>
          <c:showBubbleSize val="0"/>
        </c:dLbls>
        <c:axId val="534881272"/>
        <c:axId val="534875368"/>
      </c:scatterChart>
      <c:valAx>
        <c:axId val="5348812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Hydraulic Retension Time Based on Design (Days)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4875368"/>
        <c:crosses val="autoZero"/>
        <c:crossBetween val="midCat"/>
      </c:valAx>
      <c:valAx>
        <c:axId val="5348753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[Fe] mg/L</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4881272"/>
        <c:crosses val="autoZero"/>
        <c:crossBetween val="midCat"/>
      </c:valAx>
      <c:spPr>
        <a:noFill/>
        <a:ln>
          <a:noFill/>
        </a:ln>
        <a:effectLst/>
      </c:spPr>
    </c:plotArea>
    <c:legend>
      <c:legendPos val="b"/>
      <c:legendEntry>
        <c:idx val="2"/>
        <c:delete val="1"/>
      </c:legendEntry>
      <c:legendEntry>
        <c:idx val="3"/>
        <c:delete val="1"/>
      </c:legendEntry>
      <c:legendEntry>
        <c:idx val="4"/>
        <c:delete val="1"/>
      </c:legendEntry>
      <c:legendEntry>
        <c:idx val="5"/>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Average!$X$2</c:f>
              <c:strCache>
                <c:ptCount val="1"/>
                <c:pt idx="0">
                  <c:v>Total Fe</c:v>
                </c:pt>
              </c:strCache>
            </c:strRef>
          </c:tx>
          <c:spPr>
            <a:solidFill>
              <a:schemeClr val="accent2">
                <a:lumMod val="75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1"/>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Average!$W$3:$W$6</c:f>
              <c:numCache>
                <c:formatCode>General</c:formatCode>
                <c:ptCount val="4"/>
                <c:pt idx="0">
                  <c:v>0</c:v>
                </c:pt>
                <c:pt idx="1">
                  <c:v>0.5</c:v>
                </c:pt>
                <c:pt idx="2">
                  <c:v>1</c:v>
                </c:pt>
                <c:pt idx="3">
                  <c:v>1.5</c:v>
                </c:pt>
              </c:numCache>
            </c:numRef>
          </c:cat>
          <c:val>
            <c:numRef>
              <c:f>Average!$X$3:$X$6</c:f>
              <c:numCache>
                <c:formatCode>0.000</c:formatCode>
                <c:ptCount val="4"/>
                <c:pt idx="0">
                  <c:v>50.585190030366093</c:v>
                </c:pt>
                <c:pt idx="1">
                  <c:v>42.157507166081231</c:v>
                </c:pt>
                <c:pt idx="2">
                  <c:v>84.680239204247144</c:v>
                </c:pt>
                <c:pt idx="3">
                  <c:v>945.73343438581628</c:v>
                </c:pt>
              </c:numCache>
            </c:numRef>
          </c:val>
          <c:extLst>
            <c:ext xmlns:c16="http://schemas.microsoft.com/office/drawing/2014/chart" uri="{C3380CC4-5D6E-409C-BE32-E72D297353CC}">
              <c16:uniqueId val="{00000000-171C-4689-B337-BB5260CA4E62}"/>
            </c:ext>
          </c:extLst>
        </c:ser>
        <c:ser>
          <c:idx val="1"/>
          <c:order val="1"/>
          <c:tx>
            <c:strRef>
              <c:f>Average!$Y$2</c:f>
              <c:strCache>
                <c:ptCount val="1"/>
                <c:pt idx="0">
                  <c:v>Dissolved Fe</c:v>
                </c:pt>
              </c:strCache>
            </c:strRef>
          </c:tx>
          <c:spPr>
            <a:solidFill>
              <a:srgbClr val="00B0F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1"/>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Average!$W$3:$W$6</c:f>
              <c:numCache>
                <c:formatCode>General</c:formatCode>
                <c:ptCount val="4"/>
                <c:pt idx="0">
                  <c:v>0</c:v>
                </c:pt>
                <c:pt idx="1">
                  <c:v>0.5</c:v>
                </c:pt>
                <c:pt idx="2">
                  <c:v>1</c:v>
                </c:pt>
                <c:pt idx="3">
                  <c:v>1.5</c:v>
                </c:pt>
              </c:numCache>
            </c:numRef>
          </c:cat>
          <c:val>
            <c:numRef>
              <c:f>Average!$Y$3:$Y$6</c:f>
              <c:numCache>
                <c:formatCode>0.000</c:formatCode>
                <c:ptCount val="4"/>
                <c:pt idx="0">
                  <c:v>35.63523406642679</c:v>
                </c:pt>
                <c:pt idx="1">
                  <c:v>24.899442833180949</c:v>
                </c:pt>
                <c:pt idx="2">
                  <c:v>55.506954584370341</c:v>
                </c:pt>
                <c:pt idx="3">
                  <c:v>54.421673549738749</c:v>
                </c:pt>
              </c:numCache>
            </c:numRef>
          </c:val>
          <c:extLst>
            <c:ext xmlns:c16="http://schemas.microsoft.com/office/drawing/2014/chart" uri="{C3380CC4-5D6E-409C-BE32-E72D297353CC}">
              <c16:uniqueId val="{00000001-171C-4689-B337-BB5260CA4E62}"/>
            </c:ext>
          </c:extLst>
        </c:ser>
        <c:dLbls>
          <c:showLegendKey val="0"/>
          <c:showVal val="0"/>
          <c:showCatName val="0"/>
          <c:showSerName val="0"/>
          <c:showPercent val="0"/>
          <c:showBubbleSize val="0"/>
        </c:dLbls>
        <c:gapWidth val="182"/>
        <c:axId val="529630904"/>
        <c:axId val="529626968"/>
      </c:barChart>
      <c:catAx>
        <c:axId val="529630904"/>
        <c:scaling>
          <c:orientation val="maxMin"/>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from Surface (m)</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626968"/>
        <c:crosses val="autoZero"/>
        <c:auto val="1"/>
        <c:lblAlgn val="ctr"/>
        <c:lblOffset val="100"/>
        <c:noMultiLvlLbl val="0"/>
      </c:catAx>
      <c:valAx>
        <c:axId val="529626968"/>
        <c:scaling>
          <c:orientation val="minMax"/>
          <c:max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[Fe] (mg/L)</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low"/>
        <c:spPr>
          <a:noFill/>
          <a:ln>
            <a:noFill/>
          </a:ln>
          <a:effectLst/>
        </c:spPr>
        <c:txPr>
          <a:bodyPr rot="-60000000" spcFirstLastPara="1" vertOverflow="ellipsis" vert="horz" wrap="square" anchor="b"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529630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Average!$X$7</c:f>
              <c:strCache>
                <c:ptCount val="1"/>
                <c:pt idx="0">
                  <c:v>Total Fe</c:v>
                </c:pt>
              </c:strCache>
            </c:strRef>
          </c:tx>
          <c:spPr>
            <a:solidFill>
              <a:schemeClr val="accent2">
                <a:lumMod val="75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1"/>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Average!$W$8:$W$11</c:f>
              <c:numCache>
                <c:formatCode>General</c:formatCode>
                <c:ptCount val="4"/>
                <c:pt idx="0">
                  <c:v>0</c:v>
                </c:pt>
                <c:pt idx="1">
                  <c:v>0.5</c:v>
                </c:pt>
                <c:pt idx="2">
                  <c:v>1</c:v>
                </c:pt>
                <c:pt idx="3">
                  <c:v>1.5</c:v>
                </c:pt>
              </c:numCache>
            </c:numRef>
          </c:cat>
          <c:val>
            <c:numRef>
              <c:f>Average!$X$8:$X$11</c:f>
              <c:numCache>
                <c:formatCode>0.000</c:formatCode>
                <c:ptCount val="4"/>
                <c:pt idx="0">
                  <c:v>24.344948376811516</c:v>
                </c:pt>
                <c:pt idx="1">
                  <c:v>25.339706315929746</c:v>
                </c:pt>
                <c:pt idx="2">
                  <c:v>26.713675145573596</c:v>
                </c:pt>
                <c:pt idx="3">
                  <c:v>631.69888631435435</c:v>
                </c:pt>
              </c:numCache>
            </c:numRef>
          </c:val>
          <c:extLst>
            <c:ext xmlns:c16="http://schemas.microsoft.com/office/drawing/2014/chart" uri="{C3380CC4-5D6E-409C-BE32-E72D297353CC}">
              <c16:uniqueId val="{00000000-AE15-4AC2-85F2-BAF0265512F5}"/>
            </c:ext>
          </c:extLst>
        </c:ser>
        <c:ser>
          <c:idx val="1"/>
          <c:order val="1"/>
          <c:tx>
            <c:strRef>
              <c:f>Average!$Y$7</c:f>
              <c:strCache>
                <c:ptCount val="1"/>
                <c:pt idx="0">
                  <c:v>Dissolved Fe</c:v>
                </c:pt>
              </c:strCache>
            </c:strRef>
          </c:tx>
          <c:spPr>
            <a:solidFill>
              <a:srgbClr val="00B0F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1"/>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Average!$W$8:$W$11</c:f>
              <c:numCache>
                <c:formatCode>General</c:formatCode>
                <c:ptCount val="4"/>
                <c:pt idx="0">
                  <c:v>0</c:v>
                </c:pt>
                <c:pt idx="1">
                  <c:v>0.5</c:v>
                </c:pt>
                <c:pt idx="2">
                  <c:v>1</c:v>
                </c:pt>
                <c:pt idx="3">
                  <c:v>1.5</c:v>
                </c:pt>
              </c:numCache>
            </c:numRef>
          </c:cat>
          <c:val>
            <c:numRef>
              <c:f>Average!$Y$8:$Y$11</c:f>
              <c:numCache>
                <c:formatCode>0.000</c:formatCode>
                <c:ptCount val="4"/>
                <c:pt idx="0">
                  <c:v>13.57276062296989</c:v>
                </c:pt>
                <c:pt idx="1">
                  <c:v>12.902265352695615</c:v>
                </c:pt>
                <c:pt idx="2">
                  <c:v>16.796502509665107</c:v>
                </c:pt>
                <c:pt idx="3">
                  <c:v>31.92604406257464</c:v>
                </c:pt>
              </c:numCache>
            </c:numRef>
          </c:val>
          <c:extLst>
            <c:ext xmlns:c16="http://schemas.microsoft.com/office/drawing/2014/chart" uri="{C3380CC4-5D6E-409C-BE32-E72D297353CC}">
              <c16:uniqueId val="{00000001-AE15-4AC2-85F2-BAF0265512F5}"/>
            </c:ext>
          </c:extLst>
        </c:ser>
        <c:dLbls>
          <c:showLegendKey val="0"/>
          <c:showVal val="0"/>
          <c:showCatName val="0"/>
          <c:showSerName val="0"/>
          <c:showPercent val="0"/>
          <c:showBubbleSize val="0"/>
        </c:dLbls>
        <c:gapWidth val="182"/>
        <c:axId val="529630904"/>
        <c:axId val="529626968"/>
      </c:barChart>
      <c:catAx>
        <c:axId val="529630904"/>
        <c:scaling>
          <c:orientation val="maxMin"/>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From Surface (m)</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626968"/>
        <c:crosses val="autoZero"/>
        <c:auto val="1"/>
        <c:lblAlgn val="ctr"/>
        <c:lblOffset val="100"/>
        <c:noMultiLvlLbl val="0"/>
      </c:catAx>
      <c:valAx>
        <c:axId val="529626968"/>
        <c:scaling>
          <c:orientation val="minMax"/>
          <c:max val="4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[Fe] mg/L</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low"/>
        <c:spPr>
          <a:noFill/>
          <a:ln>
            <a:noFill/>
          </a:ln>
          <a:effectLst/>
        </c:spPr>
        <c:txPr>
          <a:bodyPr rot="-60000000" spcFirstLastPara="1" vertOverflow="ellipsis" vert="horz" wrap="square" anchor="b"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529630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Average!$X$12</c:f>
              <c:strCache>
                <c:ptCount val="1"/>
                <c:pt idx="0">
                  <c:v>Total Fe</c:v>
                </c:pt>
              </c:strCache>
            </c:strRef>
          </c:tx>
          <c:spPr>
            <a:solidFill>
              <a:schemeClr val="accent2">
                <a:lumMod val="75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1"/>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Average!$W$13:$W$16</c:f>
              <c:numCache>
                <c:formatCode>General</c:formatCode>
                <c:ptCount val="4"/>
                <c:pt idx="0">
                  <c:v>0</c:v>
                </c:pt>
                <c:pt idx="1">
                  <c:v>0.5</c:v>
                </c:pt>
                <c:pt idx="2">
                  <c:v>1</c:v>
                </c:pt>
                <c:pt idx="3">
                  <c:v>1.5</c:v>
                </c:pt>
              </c:numCache>
            </c:numRef>
          </c:cat>
          <c:val>
            <c:numRef>
              <c:f>Average!$X$13:$X$16</c:f>
              <c:numCache>
                <c:formatCode>0.000</c:formatCode>
                <c:ptCount val="4"/>
                <c:pt idx="0">
                  <c:v>16.821062958739958</c:v>
                </c:pt>
                <c:pt idx="1">
                  <c:v>19.268517384987561</c:v>
                </c:pt>
                <c:pt idx="2">
                  <c:v>45.143356534870335</c:v>
                </c:pt>
                <c:pt idx="3">
                  <c:v>322.04534139973481</c:v>
                </c:pt>
              </c:numCache>
            </c:numRef>
          </c:val>
          <c:extLst>
            <c:ext xmlns:c16="http://schemas.microsoft.com/office/drawing/2014/chart" uri="{C3380CC4-5D6E-409C-BE32-E72D297353CC}">
              <c16:uniqueId val="{00000000-8AB5-4842-A02E-8213B03B790A}"/>
            </c:ext>
          </c:extLst>
        </c:ser>
        <c:ser>
          <c:idx val="1"/>
          <c:order val="1"/>
          <c:tx>
            <c:strRef>
              <c:f>Average!$Y$12</c:f>
              <c:strCache>
                <c:ptCount val="1"/>
                <c:pt idx="0">
                  <c:v>Diss Fe</c:v>
                </c:pt>
              </c:strCache>
            </c:strRef>
          </c:tx>
          <c:spPr>
            <a:solidFill>
              <a:srgbClr val="00B0F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Base"/>
            <c:showLegendKey val="0"/>
            <c:showVal val="1"/>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Average!$W$13:$W$16</c:f>
              <c:numCache>
                <c:formatCode>General</c:formatCode>
                <c:ptCount val="4"/>
                <c:pt idx="0">
                  <c:v>0</c:v>
                </c:pt>
                <c:pt idx="1">
                  <c:v>0.5</c:v>
                </c:pt>
                <c:pt idx="2">
                  <c:v>1</c:v>
                </c:pt>
                <c:pt idx="3">
                  <c:v>1.5</c:v>
                </c:pt>
              </c:numCache>
            </c:numRef>
          </c:cat>
          <c:val>
            <c:numRef>
              <c:f>Average!$Y$13:$Y$16</c:f>
              <c:numCache>
                <c:formatCode>0.000</c:formatCode>
                <c:ptCount val="4"/>
                <c:pt idx="0">
                  <c:v>9.7294510779268251</c:v>
                </c:pt>
                <c:pt idx="1">
                  <c:v>8.7790216021231071</c:v>
                </c:pt>
                <c:pt idx="2">
                  <c:v>14.06294176079439</c:v>
                </c:pt>
                <c:pt idx="3">
                  <c:v>35.44511419438296</c:v>
                </c:pt>
              </c:numCache>
            </c:numRef>
          </c:val>
          <c:extLst>
            <c:ext xmlns:c16="http://schemas.microsoft.com/office/drawing/2014/chart" uri="{C3380CC4-5D6E-409C-BE32-E72D297353CC}">
              <c16:uniqueId val="{00000001-8AB5-4842-A02E-8213B03B790A}"/>
            </c:ext>
          </c:extLst>
        </c:ser>
        <c:dLbls>
          <c:showLegendKey val="0"/>
          <c:showVal val="0"/>
          <c:showCatName val="0"/>
          <c:showSerName val="0"/>
          <c:showPercent val="0"/>
          <c:showBubbleSize val="0"/>
        </c:dLbls>
        <c:gapWidth val="182"/>
        <c:axId val="529630904"/>
        <c:axId val="529626968"/>
      </c:barChart>
      <c:catAx>
        <c:axId val="529630904"/>
        <c:scaling>
          <c:orientation val="maxMin"/>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 From Surface (m)</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626968"/>
        <c:crosses val="autoZero"/>
        <c:auto val="1"/>
        <c:lblAlgn val="ctr"/>
        <c:lblOffset val="100"/>
        <c:noMultiLvlLbl val="0"/>
      </c:catAx>
      <c:valAx>
        <c:axId val="529626968"/>
        <c:scaling>
          <c:orientation val="minMax"/>
          <c:max val="5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[Fe] mg/L</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low"/>
        <c:spPr>
          <a:noFill/>
          <a:ln>
            <a:noFill/>
          </a:ln>
          <a:effectLst/>
        </c:spPr>
        <c:txPr>
          <a:bodyPr rot="-60000000" spcFirstLastPara="1" vertOverflow="ellipsis" vert="horz" wrap="square" anchor="b"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529630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Sheet1!$C$100</c:f>
              <c:strCache>
                <c:ptCount val="1"/>
                <c:pt idx="0">
                  <c:v>Total Fe</c:v>
                </c:pt>
              </c:strCache>
            </c:strRef>
          </c:tx>
          <c:spPr>
            <a:solidFill>
              <a:schemeClr val="accent2"/>
            </a:solidFill>
            <a:ln>
              <a:noFill/>
            </a:ln>
            <a:effectLst/>
          </c:spPr>
          <c:invertIfNegative val="0"/>
          <c:errBars>
            <c:errBarType val="both"/>
            <c:errValType val="cust"/>
            <c:noEndCap val="0"/>
            <c:plus>
              <c:numRef>
                <c:f>Sheet1!$G$101:$G$107</c:f>
                <c:numCache>
                  <c:formatCode>General</c:formatCode>
                  <c:ptCount val="7"/>
                  <c:pt idx="0">
                    <c:v>1.5308443876263143</c:v>
                  </c:pt>
                  <c:pt idx="1">
                    <c:v>6.3957704575765728</c:v>
                  </c:pt>
                  <c:pt idx="2">
                    <c:v>6.3957704575765728</c:v>
                  </c:pt>
                  <c:pt idx="3">
                    <c:v>5.7232099847562123</c:v>
                  </c:pt>
                  <c:pt idx="4">
                    <c:v>5.9321368275379296</c:v>
                  </c:pt>
                  <c:pt idx="5">
                    <c:v>5.8518637610801836</c:v>
                  </c:pt>
                  <c:pt idx="6">
                    <c:v>5.6424001077202588</c:v>
                  </c:pt>
                </c:numCache>
              </c:numRef>
            </c:plus>
            <c:minus>
              <c:numRef>
                <c:f>Sheet1!$G$101:$G$107</c:f>
                <c:numCache>
                  <c:formatCode>General</c:formatCode>
                  <c:ptCount val="7"/>
                  <c:pt idx="0">
                    <c:v>1.5308443876263143</c:v>
                  </c:pt>
                  <c:pt idx="1">
                    <c:v>6.3957704575765728</c:v>
                  </c:pt>
                  <c:pt idx="2">
                    <c:v>6.3957704575765728</c:v>
                  </c:pt>
                  <c:pt idx="3">
                    <c:v>5.7232099847562123</c:v>
                  </c:pt>
                  <c:pt idx="4">
                    <c:v>5.9321368275379296</c:v>
                  </c:pt>
                  <c:pt idx="5">
                    <c:v>5.8518637610801836</c:v>
                  </c:pt>
                  <c:pt idx="6">
                    <c:v>5.6424001077202588</c:v>
                  </c:pt>
                </c:numCache>
              </c:numRef>
            </c:minus>
            <c:spPr>
              <a:noFill/>
              <a:ln w="9525" cap="flat" cmpd="sng" algn="ctr">
                <a:solidFill>
                  <a:schemeClr val="tx1">
                    <a:lumMod val="65000"/>
                    <a:lumOff val="35000"/>
                  </a:schemeClr>
                </a:solidFill>
                <a:round/>
              </a:ln>
              <a:effectLst/>
            </c:spPr>
          </c:errBars>
          <c:cat>
            <c:strRef>
              <c:f>Sheet1!$B$101:$B$107</c:f>
              <c:strCache>
                <c:ptCount val="7"/>
                <c:pt idx="0">
                  <c:v>Average Seep</c:v>
                </c:pt>
                <c:pt idx="1">
                  <c:v>Cat 1-1</c:v>
                </c:pt>
                <c:pt idx="2">
                  <c:v>S2B</c:v>
                </c:pt>
                <c:pt idx="3">
                  <c:v>S2U</c:v>
                </c:pt>
                <c:pt idx="4">
                  <c:v>Cat 2-1</c:v>
                </c:pt>
                <c:pt idx="5">
                  <c:v>Cat 3-1</c:v>
                </c:pt>
                <c:pt idx="6">
                  <c:v>C1Out</c:v>
                </c:pt>
              </c:strCache>
            </c:strRef>
          </c:cat>
          <c:val>
            <c:numRef>
              <c:f>Sheet1!$C$101:$C$107</c:f>
              <c:numCache>
                <c:formatCode>0.000</c:formatCode>
                <c:ptCount val="7"/>
                <c:pt idx="0">
                  <c:v>169.96271723180413</c:v>
                </c:pt>
                <c:pt idx="1">
                  <c:v>15.728111988646242</c:v>
                </c:pt>
                <c:pt idx="2">
                  <c:v>20.137399057380989</c:v>
                </c:pt>
                <c:pt idx="3">
                  <c:v>14.421250279140933</c:v>
                </c:pt>
                <c:pt idx="4">
                  <c:v>13.99424072850044</c:v>
                </c:pt>
                <c:pt idx="5">
                  <c:v>8.059942841668656</c:v>
                </c:pt>
                <c:pt idx="6">
                  <c:v>6.5996554158606768</c:v>
                </c:pt>
              </c:numCache>
            </c:numRef>
          </c:val>
          <c:extLst>
            <c:ext xmlns:c16="http://schemas.microsoft.com/office/drawing/2014/chart" uri="{C3380CC4-5D6E-409C-BE32-E72D297353CC}">
              <c16:uniqueId val="{00000000-9965-483B-827F-491B1AACD75B}"/>
            </c:ext>
          </c:extLst>
        </c:ser>
        <c:ser>
          <c:idx val="1"/>
          <c:order val="1"/>
          <c:tx>
            <c:strRef>
              <c:f>Sheet1!$D$100</c:f>
              <c:strCache>
                <c:ptCount val="1"/>
                <c:pt idx="0">
                  <c:v>Dissolved Fe</c:v>
                </c:pt>
              </c:strCache>
            </c:strRef>
          </c:tx>
          <c:spPr>
            <a:solidFill>
              <a:srgbClr val="00B0F0"/>
            </a:solidFill>
            <a:ln>
              <a:noFill/>
            </a:ln>
            <a:effectLst/>
          </c:spPr>
          <c:invertIfNegative val="0"/>
          <c:errBars>
            <c:errBarType val="both"/>
            <c:errValType val="cust"/>
            <c:noEndCap val="0"/>
            <c:plus>
              <c:numRef>
                <c:f>Sheet1!$H$101:$H$107</c:f>
                <c:numCache>
                  <c:formatCode>General</c:formatCode>
                  <c:ptCount val="7"/>
                  <c:pt idx="0">
                    <c:v>8.3389584671762229</c:v>
                  </c:pt>
                  <c:pt idx="1">
                    <c:v>2.2071210000836658E-2</c:v>
                  </c:pt>
                  <c:pt idx="2">
                    <c:v>2.2071210000836658E-2</c:v>
                  </c:pt>
                  <c:pt idx="3">
                    <c:v>0.27156652455041663</c:v>
                  </c:pt>
                  <c:pt idx="4">
                    <c:v>0.1810374231534399</c:v>
                  </c:pt>
                  <c:pt idx="5">
                    <c:v>0.60870059208137894</c:v>
                  </c:pt>
                  <c:pt idx="6">
                    <c:v>1.3806645588697817</c:v>
                  </c:pt>
                </c:numCache>
              </c:numRef>
            </c:plus>
            <c:minus>
              <c:numRef>
                <c:f>Sheet1!$H$101:$H$107</c:f>
                <c:numCache>
                  <c:formatCode>General</c:formatCode>
                  <c:ptCount val="7"/>
                  <c:pt idx="0">
                    <c:v>8.3389584671762229</c:v>
                  </c:pt>
                  <c:pt idx="1">
                    <c:v>2.2071210000836658E-2</c:v>
                  </c:pt>
                  <c:pt idx="2">
                    <c:v>2.2071210000836658E-2</c:v>
                  </c:pt>
                  <c:pt idx="3">
                    <c:v>0.27156652455041663</c:v>
                  </c:pt>
                  <c:pt idx="4">
                    <c:v>0.1810374231534399</c:v>
                  </c:pt>
                  <c:pt idx="5">
                    <c:v>0.60870059208137894</c:v>
                  </c:pt>
                  <c:pt idx="6">
                    <c:v>1.3806645588697817</c:v>
                  </c:pt>
                </c:numCache>
              </c:numRef>
            </c:minus>
            <c:spPr>
              <a:noFill/>
              <a:ln w="9525" cap="flat" cmpd="sng" algn="ctr">
                <a:solidFill>
                  <a:schemeClr val="tx1">
                    <a:lumMod val="65000"/>
                    <a:lumOff val="35000"/>
                  </a:schemeClr>
                </a:solidFill>
                <a:round/>
              </a:ln>
              <a:effectLst/>
            </c:spPr>
          </c:errBars>
          <c:cat>
            <c:strRef>
              <c:f>Sheet1!$B$101:$B$107</c:f>
              <c:strCache>
                <c:ptCount val="7"/>
                <c:pt idx="0">
                  <c:v>Average Seep</c:v>
                </c:pt>
                <c:pt idx="1">
                  <c:v>Cat 1-1</c:v>
                </c:pt>
                <c:pt idx="2">
                  <c:v>S2B</c:v>
                </c:pt>
                <c:pt idx="3">
                  <c:v>S2U</c:v>
                </c:pt>
                <c:pt idx="4">
                  <c:v>Cat 2-1</c:v>
                </c:pt>
                <c:pt idx="5">
                  <c:v>Cat 3-1</c:v>
                </c:pt>
                <c:pt idx="6">
                  <c:v>C1Out</c:v>
                </c:pt>
              </c:strCache>
            </c:strRef>
          </c:cat>
          <c:val>
            <c:numRef>
              <c:f>Sheet1!$D$101:$D$107</c:f>
              <c:numCache>
                <c:formatCode>0.000</c:formatCode>
                <c:ptCount val="7"/>
                <c:pt idx="0">
                  <c:v>167.02916472719565</c:v>
                </c:pt>
                <c:pt idx="1">
                  <c:v>0.16385944182430509</c:v>
                </c:pt>
                <c:pt idx="2">
                  <c:v>2.4235241885206071</c:v>
                </c:pt>
                <c:pt idx="3">
                  <c:v>0.73975297338355794</c:v>
                </c:pt>
                <c:pt idx="4">
                  <c:v>0.41871285428323046</c:v>
                </c:pt>
                <c:pt idx="5">
                  <c:v>0.10084220495155037</c:v>
                </c:pt>
                <c:pt idx="6">
                  <c:v>0.17996539965939851</c:v>
                </c:pt>
              </c:numCache>
            </c:numRef>
          </c:val>
          <c:extLst>
            <c:ext xmlns:c16="http://schemas.microsoft.com/office/drawing/2014/chart" uri="{C3380CC4-5D6E-409C-BE32-E72D297353CC}">
              <c16:uniqueId val="{00000001-9965-483B-827F-491B1AACD75B}"/>
            </c:ext>
          </c:extLst>
        </c:ser>
        <c:dLbls>
          <c:showLegendKey val="0"/>
          <c:showVal val="0"/>
          <c:showCatName val="0"/>
          <c:showSerName val="0"/>
          <c:showPercent val="0"/>
          <c:showBubbleSize val="0"/>
        </c:dLbls>
        <c:gapWidth val="219"/>
        <c:overlap val="-27"/>
        <c:axId val="413276480"/>
        <c:axId val="413284024"/>
      </c:barChart>
      <c:catAx>
        <c:axId val="413276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Location Within Cell 1</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284024"/>
        <c:crosses val="autoZero"/>
        <c:auto val="1"/>
        <c:lblAlgn val="ctr"/>
        <c:lblOffset val="100"/>
        <c:noMultiLvlLbl val="0"/>
      </c:catAx>
      <c:valAx>
        <c:axId val="413284024"/>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[Fe] (mg/L)</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276480"/>
        <c:crosses val="autoZero"/>
        <c:crossBetween val="between"/>
      </c:valAx>
      <c:spPr>
        <a:noFill/>
        <a:ln>
          <a:noFill/>
        </a:ln>
        <a:effectLst/>
      </c:spPr>
    </c:plotArea>
    <c:legend>
      <c:legendPos val="b"/>
      <c:layout>
        <c:manualLayout>
          <c:xMode val="edge"/>
          <c:yMode val="edge"/>
          <c:x val="0.39558005249343831"/>
          <c:y val="0.8616892680081657"/>
          <c:w val="0.31439523184601925"/>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July!$C$72</c:f>
              <c:strCache>
                <c:ptCount val="1"/>
                <c:pt idx="0">
                  <c:v>Total Fe</c:v>
                </c:pt>
              </c:strCache>
            </c:strRef>
          </c:tx>
          <c:spPr>
            <a:solidFill>
              <a:schemeClr val="accent2">
                <a:lumMod val="75000"/>
              </a:schemeClr>
            </a:solidFill>
            <a:ln>
              <a:noFill/>
            </a:ln>
            <a:effectLst/>
          </c:spPr>
          <c:invertIfNegative val="0"/>
          <c:errBars>
            <c:errBarType val="both"/>
            <c:errValType val="cust"/>
            <c:noEndCap val="0"/>
            <c:plus>
              <c:numRef>
                <c:f>July!$C$82:$C$88</c:f>
                <c:numCache>
                  <c:formatCode>General</c:formatCode>
                  <c:ptCount val="7"/>
                  <c:pt idx="0">
                    <c:v>10.255109299224753</c:v>
                  </c:pt>
                  <c:pt idx="1">
                    <c:v>31.877329741641621</c:v>
                  </c:pt>
                  <c:pt idx="2">
                    <c:v>14.663535565739853</c:v>
                  </c:pt>
                  <c:pt idx="3">
                    <c:v>16.126618692415001</c:v>
                  </c:pt>
                  <c:pt idx="4">
                    <c:v>16.100857251357631</c:v>
                  </c:pt>
                  <c:pt idx="5">
                    <c:v>14.054994637439643</c:v>
                  </c:pt>
                  <c:pt idx="6">
                    <c:v>7.705812650032545</c:v>
                  </c:pt>
                </c:numCache>
              </c:numRef>
            </c:plus>
            <c:minus>
              <c:numRef>
                <c:f>July!$C$82:$C$88</c:f>
                <c:numCache>
                  <c:formatCode>General</c:formatCode>
                  <c:ptCount val="7"/>
                  <c:pt idx="0">
                    <c:v>10.255109299224753</c:v>
                  </c:pt>
                  <c:pt idx="1">
                    <c:v>31.877329741641621</c:v>
                  </c:pt>
                  <c:pt idx="2">
                    <c:v>14.663535565739853</c:v>
                  </c:pt>
                  <c:pt idx="3">
                    <c:v>16.126618692415001</c:v>
                  </c:pt>
                  <c:pt idx="4">
                    <c:v>16.100857251357631</c:v>
                  </c:pt>
                  <c:pt idx="5">
                    <c:v>14.054994637439643</c:v>
                  </c:pt>
                  <c:pt idx="6">
                    <c:v>7.705812650032545</c:v>
                  </c:pt>
                </c:numCache>
              </c:numRef>
            </c:minus>
            <c:spPr>
              <a:noFill/>
              <a:ln w="9525" cap="flat" cmpd="sng" algn="ctr">
                <a:solidFill>
                  <a:schemeClr val="tx1">
                    <a:lumMod val="65000"/>
                    <a:lumOff val="35000"/>
                  </a:schemeClr>
                </a:solidFill>
                <a:round/>
              </a:ln>
              <a:effectLst/>
            </c:spPr>
          </c:errBars>
          <c:cat>
            <c:strRef>
              <c:f>July!$B$73:$B$79</c:f>
              <c:strCache>
                <c:ptCount val="7"/>
                <c:pt idx="0">
                  <c:v>Average Seep</c:v>
                </c:pt>
                <c:pt idx="1">
                  <c:v>Cat 1-1</c:v>
                </c:pt>
                <c:pt idx="2">
                  <c:v>S2B</c:v>
                </c:pt>
                <c:pt idx="3">
                  <c:v>S2U</c:v>
                </c:pt>
                <c:pt idx="4">
                  <c:v>Cat 2-1</c:v>
                </c:pt>
                <c:pt idx="5">
                  <c:v>Cat 3-1</c:v>
                </c:pt>
                <c:pt idx="6">
                  <c:v>C1Out</c:v>
                </c:pt>
              </c:strCache>
            </c:strRef>
          </c:cat>
          <c:val>
            <c:numRef>
              <c:f>July!$C$73:$C$79</c:f>
              <c:numCache>
                <c:formatCode>0.000</c:formatCode>
                <c:ptCount val="7"/>
                <c:pt idx="0">
                  <c:v>168.4025528458647</c:v>
                </c:pt>
                <c:pt idx="1">
                  <c:v>34.617274193731284</c:v>
                </c:pt>
                <c:pt idx="2">
                  <c:v>17.281928953853168</c:v>
                </c:pt>
                <c:pt idx="3">
                  <c:v>17.912694016301163</c:v>
                </c:pt>
                <c:pt idx="4">
                  <c:v>23.545726877111516</c:v>
                </c:pt>
                <c:pt idx="5">
                  <c:v>21.02534674676259</c:v>
                </c:pt>
                <c:pt idx="6">
                  <c:v>35.342835853638412</c:v>
                </c:pt>
              </c:numCache>
            </c:numRef>
          </c:val>
          <c:extLst>
            <c:ext xmlns:c16="http://schemas.microsoft.com/office/drawing/2014/chart" uri="{C3380CC4-5D6E-409C-BE32-E72D297353CC}">
              <c16:uniqueId val="{00000000-8289-4B49-B2E2-A5C2CA76688A}"/>
            </c:ext>
          </c:extLst>
        </c:ser>
        <c:ser>
          <c:idx val="1"/>
          <c:order val="1"/>
          <c:tx>
            <c:strRef>
              <c:f>July!$D$72</c:f>
              <c:strCache>
                <c:ptCount val="1"/>
                <c:pt idx="0">
                  <c:v>Dissolved Fe</c:v>
                </c:pt>
              </c:strCache>
            </c:strRef>
          </c:tx>
          <c:spPr>
            <a:solidFill>
              <a:srgbClr val="00B0F0"/>
            </a:solidFill>
            <a:ln>
              <a:noFill/>
            </a:ln>
            <a:effectLst/>
          </c:spPr>
          <c:invertIfNegative val="0"/>
          <c:errBars>
            <c:errBarType val="both"/>
            <c:errValType val="cust"/>
            <c:noEndCap val="0"/>
            <c:plus>
              <c:numRef>
                <c:f>July!$D$82:$D$88</c:f>
                <c:numCache>
                  <c:formatCode>General</c:formatCode>
                  <c:ptCount val="7"/>
                  <c:pt idx="0">
                    <c:v>6.8808049496670476</c:v>
                  </c:pt>
                  <c:pt idx="1">
                    <c:v>13.013513757247535</c:v>
                  </c:pt>
                  <c:pt idx="2">
                    <c:v>16.04134215492115</c:v>
                  </c:pt>
                  <c:pt idx="3">
                    <c:v>17.276761825596395</c:v>
                  </c:pt>
                  <c:pt idx="4">
                    <c:v>16.305833531729338</c:v>
                  </c:pt>
                  <c:pt idx="5">
                    <c:v>10.156762102155238</c:v>
                  </c:pt>
                  <c:pt idx="6">
                    <c:v>9.4304268596960572</c:v>
                  </c:pt>
                </c:numCache>
              </c:numRef>
            </c:plus>
            <c:minus>
              <c:numRef>
                <c:f>July!$D$82:$D$88</c:f>
                <c:numCache>
                  <c:formatCode>General</c:formatCode>
                  <c:ptCount val="7"/>
                  <c:pt idx="0">
                    <c:v>6.8808049496670476</c:v>
                  </c:pt>
                  <c:pt idx="1">
                    <c:v>13.013513757247535</c:v>
                  </c:pt>
                  <c:pt idx="2">
                    <c:v>16.04134215492115</c:v>
                  </c:pt>
                  <c:pt idx="3">
                    <c:v>17.276761825596395</c:v>
                  </c:pt>
                  <c:pt idx="4">
                    <c:v>16.305833531729338</c:v>
                  </c:pt>
                  <c:pt idx="5">
                    <c:v>10.156762102155238</c:v>
                  </c:pt>
                  <c:pt idx="6">
                    <c:v>9.4304268596960572</c:v>
                  </c:pt>
                </c:numCache>
              </c:numRef>
            </c:minus>
            <c:spPr>
              <a:noFill/>
              <a:ln w="9525" cap="flat" cmpd="sng" algn="ctr">
                <a:solidFill>
                  <a:schemeClr val="tx1">
                    <a:lumMod val="65000"/>
                    <a:lumOff val="35000"/>
                  </a:schemeClr>
                </a:solidFill>
                <a:round/>
              </a:ln>
              <a:effectLst/>
            </c:spPr>
          </c:errBars>
          <c:cat>
            <c:strRef>
              <c:f>July!$B$73:$B$79</c:f>
              <c:strCache>
                <c:ptCount val="7"/>
                <c:pt idx="0">
                  <c:v>Average Seep</c:v>
                </c:pt>
                <c:pt idx="1">
                  <c:v>Cat 1-1</c:v>
                </c:pt>
                <c:pt idx="2">
                  <c:v>S2B</c:v>
                </c:pt>
                <c:pt idx="3">
                  <c:v>S2U</c:v>
                </c:pt>
                <c:pt idx="4">
                  <c:v>Cat 2-1</c:v>
                </c:pt>
                <c:pt idx="5">
                  <c:v>Cat 3-1</c:v>
                </c:pt>
                <c:pt idx="6">
                  <c:v>C1Out</c:v>
                </c:pt>
              </c:strCache>
            </c:strRef>
          </c:cat>
          <c:val>
            <c:numRef>
              <c:f>July!$D$73:$D$79</c:f>
              <c:numCache>
                <c:formatCode>0.000</c:formatCode>
                <c:ptCount val="7"/>
                <c:pt idx="0">
                  <c:v>173.5053622337762</c:v>
                </c:pt>
                <c:pt idx="1">
                  <c:v>18.567952903889175</c:v>
                </c:pt>
                <c:pt idx="2">
                  <c:v>10.83611159111773</c:v>
                </c:pt>
                <c:pt idx="3">
                  <c:v>11.03153743761637</c:v>
                </c:pt>
                <c:pt idx="4">
                  <c:v>29.724004689778209</c:v>
                </c:pt>
                <c:pt idx="5">
                  <c:v>14.756274805615625</c:v>
                </c:pt>
                <c:pt idx="6">
                  <c:v>26.546848190210742</c:v>
                </c:pt>
              </c:numCache>
            </c:numRef>
          </c:val>
          <c:extLst>
            <c:ext xmlns:c16="http://schemas.microsoft.com/office/drawing/2014/chart" uri="{C3380CC4-5D6E-409C-BE32-E72D297353CC}">
              <c16:uniqueId val="{00000001-8289-4B49-B2E2-A5C2CA76688A}"/>
            </c:ext>
          </c:extLst>
        </c:ser>
        <c:dLbls>
          <c:showLegendKey val="0"/>
          <c:showVal val="0"/>
          <c:showCatName val="0"/>
          <c:showSerName val="0"/>
          <c:showPercent val="0"/>
          <c:showBubbleSize val="0"/>
        </c:dLbls>
        <c:gapWidth val="219"/>
        <c:overlap val="-27"/>
        <c:axId val="413276480"/>
        <c:axId val="413284024"/>
      </c:barChart>
      <c:catAx>
        <c:axId val="413276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Location Within Cell 1</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284024"/>
        <c:crosses val="autoZero"/>
        <c:auto val="1"/>
        <c:lblAlgn val="ctr"/>
        <c:lblOffset val="100"/>
        <c:noMultiLvlLbl val="0"/>
      </c:catAx>
      <c:valAx>
        <c:axId val="413284024"/>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[Fe] (mg/L)</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276480"/>
        <c:crosses val="autoZero"/>
        <c:crossBetween val="between"/>
      </c:valAx>
      <c:spPr>
        <a:noFill/>
        <a:ln>
          <a:noFill/>
        </a:ln>
        <a:effectLst/>
      </c:spPr>
    </c:plotArea>
    <c:legend>
      <c:legendPos val="b"/>
      <c:layout>
        <c:manualLayout>
          <c:xMode val="edge"/>
          <c:yMode val="edge"/>
          <c:x val="0.39558005249343831"/>
          <c:y val="0.8616892680081657"/>
          <c:w val="0.31439523184601925"/>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withinLinear" id="19">
  <a:schemeClr val="accent6"/>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withinLinear" id="19">
  <a:schemeClr val="accent6"/>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109">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1">
      <a:schemeClr val="lt1"/>
    </cs:lnRef>
    <cs:fillRef idx="1">
      <cs:styleClr val="auto"/>
    </cs:fillRef>
    <cs:effectRef idx="1">
      <a:schemeClr val="dk1"/>
    </cs:effectRef>
    <cs:fontRef idx="minor">
      <a:schemeClr val="tx1"/>
    </cs:fontRef>
    <cs:spPr>
      <a:ln>
        <a:round/>
      </a:ln>
    </cs:spPr>
  </cs:dataPoint>
  <cs:dataPoint3D>
    <cs:lnRef idx="1">
      <a:schemeClr val="lt1"/>
    </cs:lnRef>
    <cs:fillRef idx="1">
      <cs:styleClr val="auto"/>
    </cs:fillRef>
    <cs:effectRef idx="1">
      <a:schemeClr val="dk1"/>
    </cs:effectRef>
    <cs:fontRef idx="minor">
      <a:schemeClr val="tx1"/>
    </cs:fontRef>
    <cs:spPr>
      <a:ln>
        <a:round/>
      </a:ln>
    </cs:spPr>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1">
      <cs:styleClr val="auto"/>
    </cs:fillRef>
    <cs:effectRef idx="1">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85000"/>
      </a:schemeClr>
    </cs:fillRef>
    <cs:effectRef idx="1">
      <a:schemeClr val="dk1"/>
    </cs:effectRef>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25000"/>
      </a:schemeClr>
    </cs:fillRef>
    <cs:effectRef idx="1">
      <a:schemeClr val="dk1"/>
    </cs:effectRef>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109">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1">
      <a:schemeClr val="lt1"/>
    </cs:lnRef>
    <cs:fillRef idx="1">
      <cs:styleClr val="auto"/>
    </cs:fillRef>
    <cs:effectRef idx="1">
      <a:schemeClr val="dk1"/>
    </cs:effectRef>
    <cs:fontRef idx="minor">
      <a:schemeClr val="tx1"/>
    </cs:fontRef>
    <cs:spPr>
      <a:ln>
        <a:round/>
      </a:ln>
    </cs:spPr>
  </cs:dataPoint>
  <cs:dataPoint3D>
    <cs:lnRef idx="1">
      <a:schemeClr val="lt1"/>
    </cs:lnRef>
    <cs:fillRef idx="1">
      <cs:styleClr val="auto"/>
    </cs:fillRef>
    <cs:effectRef idx="1">
      <a:schemeClr val="dk1"/>
    </cs:effectRef>
    <cs:fontRef idx="minor">
      <a:schemeClr val="tx1"/>
    </cs:fontRef>
    <cs:spPr>
      <a:ln>
        <a:round/>
      </a:ln>
    </cs:spPr>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1">
      <cs:styleClr val="auto"/>
    </cs:fillRef>
    <cs:effectRef idx="1">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85000"/>
      </a:schemeClr>
    </cs:fillRef>
    <cs:effectRef idx="1">
      <a:schemeClr val="dk1"/>
    </cs:effectRef>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25000"/>
      </a:schemeClr>
    </cs:fillRef>
    <cs:effectRef idx="1">
      <a:schemeClr val="dk1"/>
    </cs:effectRef>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0.11975</cdr:x>
      <cdr:y>0</cdr:y>
    </cdr:from>
    <cdr:to>
      <cdr:x>0.47064</cdr:x>
      <cdr:y>0.80527</cdr:y>
    </cdr:to>
    <cdr:sp macro="" textlink="">
      <cdr:nvSpPr>
        <cdr:cNvPr id="2" name="TextBox 3"/>
        <cdr:cNvSpPr txBox="1"/>
      </cdr:nvSpPr>
      <cdr:spPr>
        <a:xfrm xmlns:a="http://schemas.openxmlformats.org/drawingml/2006/main">
          <a:off x="638356" y="0"/>
          <a:ext cx="1870544" cy="2389517"/>
        </a:xfrm>
        <a:prstGeom xmlns:a="http://schemas.openxmlformats.org/drawingml/2006/main" prst="rect">
          <a:avLst/>
        </a:prstGeom>
        <a:solidFill xmlns:a="http://schemas.openxmlformats.org/drawingml/2006/main">
          <a:schemeClr val="bg2">
            <a:lumMod val="75000"/>
            <a:alpha val="37000"/>
          </a:schemeClr>
        </a:solidFill>
        <a:ln xmlns:a="http://schemas.openxmlformats.org/drawingml/2006/main" w="9525" cmpd="sng">
          <a:solidFill>
            <a:schemeClr val="bg2">
              <a:lumMod val="90000"/>
              <a:alpha val="1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t>Section 1</a:t>
          </a:r>
        </a:p>
        <a:p xmlns:a="http://schemas.openxmlformats.org/drawingml/2006/main">
          <a:pPr algn="r"/>
          <a:r>
            <a:rPr lang="en-US" sz="1100"/>
            <a:t>81% removal</a:t>
          </a:r>
        </a:p>
      </cdr:txBody>
    </cdr:sp>
  </cdr:relSizeAnchor>
  <cdr:relSizeAnchor xmlns:cdr="http://schemas.openxmlformats.org/drawingml/2006/chartDrawing">
    <cdr:from>
      <cdr:x>0.7283</cdr:x>
      <cdr:y>0</cdr:y>
    </cdr:from>
    <cdr:to>
      <cdr:x>1</cdr:x>
      <cdr:y>0.76737</cdr:y>
    </cdr:to>
    <cdr:sp macro="" textlink="">
      <cdr:nvSpPr>
        <cdr:cNvPr id="3" name="TextBox 3"/>
        <cdr:cNvSpPr txBox="1"/>
      </cdr:nvSpPr>
      <cdr:spPr>
        <a:xfrm xmlns:a="http://schemas.openxmlformats.org/drawingml/2006/main">
          <a:off x="3329796" y="0"/>
          <a:ext cx="1242204" cy="2105049"/>
        </a:xfrm>
        <a:prstGeom xmlns:a="http://schemas.openxmlformats.org/drawingml/2006/main" prst="rect">
          <a:avLst/>
        </a:prstGeom>
        <a:solidFill xmlns:a="http://schemas.openxmlformats.org/drawingml/2006/main">
          <a:schemeClr val="bg2">
            <a:lumMod val="75000"/>
            <a:alpha val="37000"/>
          </a:schemeClr>
        </a:solidFill>
        <a:ln xmlns:a="http://schemas.openxmlformats.org/drawingml/2006/main" w="9525" cmpd="sng">
          <a:solidFill>
            <a:schemeClr val="bg2">
              <a:lumMod val="90000"/>
              <a:alpha val="1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t>Section 3</a:t>
          </a:r>
        </a:p>
        <a:p xmlns:a="http://schemas.openxmlformats.org/drawingml/2006/main">
          <a:pPr algn="r"/>
          <a:r>
            <a:rPr lang="en-US" sz="1100"/>
            <a:t>87% removal</a:t>
          </a:r>
        </a:p>
        <a:p xmlns:a="http://schemas.openxmlformats.org/drawingml/2006/main">
          <a:pPr algn="r"/>
          <a:endParaRPr lang="en-US" sz="1100"/>
        </a:p>
      </cdr:txBody>
    </cdr:sp>
  </cdr:relSizeAnchor>
  <cdr:relSizeAnchor xmlns:cdr="http://schemas.openxmlformats.org/drawingml/2006/chartDrawing">
    <cdr:from>
      <cdr:x>0.49335</cdr:x>
      <cdr:y>0</cdr:y>
    </cdr:from>
    <cdr:to>
      <cdr:x>0.70833</cdr:x>
      <cdr:y>0.76737</cdr:y>
    </cdr:to>
    <cdr:sp macro="" textlink="">
      <cdr:nvSpPr>
        <cdr:cNvPr id="4" name="TextBox 3"/>
        <cdr:cNvSpPr txBox="1"/>
      </cdr:nvSpPr>
      <cdr:spPr>
        <a:xfrm xmlns:a="http://schemas.openxmlformats.org/drawingml/2006/main">
          <a:off x="2629963" y="0"/>
          <a:ext cx="1146020" cy="2277059"/>
        </a:xfrm>
        <a:prstGeom xmlns:a="http://schemas.openxmlformats.org/drawingml/2006/main" prst="rect">
          <a:avLst/>
        </a:prstGeom>
        <a:solidFill xmlns:a="http://schemas.openxmlformats.org/drawingml/2006/main">
          <a:schemeClr val="bg2">
            <a:lumMod val="75000"/>
            <a:alpha val="37000"/>
          </a:schemeClr>
        </a:solidFill>
        <a:ln xmlns:a="http://schemas.openxmlformats.org/drawingml/2006/main" w="9525" cmpd="sng">
          <a:solidFill>
            <a:schemeClr val="bg2">
              <a:lumMod val="90000"/>
              <a:alpha val="1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t>Section 2</a:t>
          </a:r>
        </a:p>
        <a:p xmlns:a="http://schemas.openxmlformats.org/drawingml/2006/main">
          <a:pPr algn="r"/>
          <a:r>
            <a:rPr lang="en-US" sz="1100"/>
            <a:t>85% removal</a:t>
          </a:r>
        </a:p>
      </cdr:txBody>
    </cdr:sp>
  </cdr:relSizeAnchor>
</c:userShapes>
</file>

<file path=word/drawings/drawing10.xml><?xml version="1.0" encoding="utf-8"?>
<c:userShapes xmlns:c="http://schemas.openxmlformats.org/drawingml/2006/chart">
  <cdr:relSizeAnchor xmlns:cdr="http://schemas.openxmlformats.org/drawingml/2006/chartDrawing">
    <cdr:from>
      <cdr:x>0.19033</cdr:x>
      <cdr:y>0.14356</cdr:y>
    </cdr:from>
    <cdr:to>
      <cdr:x>0.43678</cdr:x>
      <cdr:y>0.28912</cdr:y>
    </cdr:to>
    <cdr:sp macro="" textlink="">
      <cdr:nvSpPr>
        <cdr:cNvPr id="2" name="TextBox 1"/>
        <cdr:cNvSpPr txBox="1"/>
      </cdr:nvSpPr>
      <cdr:spPr>
        <a:xfrm xmlns:a="http://schemas.openxmlformats.org/drawingml/2006/main">
          <a:off x="1044227" y="466925"/>
          <a:ext cx="1352097" cy="4734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050"/>
            <a:t>144</a:t>
          </a:r>
          <a:r>
            <a:rPr lang="en-US" sz="1050" baseline="0"/>
            <a:t> kg /year due to Storm Transport</a:t>
          </a:r>
          <a:endParaRPr lang="en-US" sz="1050"/>
        </a:p>
      </cdr:txBody>
    </cdr:sp>
  </cdr:relSizeAnchor>
  <cdr:relSizeAnchor xmlns:cdr="http://schemas.openxmlformats.org/drawingml/2006/chartDrawing">
    <cdr:from>
      <cdr:x>0.47125</cdr:x>
      <cdr:y>0.1397</cdr:y>
    </cdr:from>
    <cdr:to>
      <cdr:x>0.64151</cdr:x>
      <cdr:y>0.22651</cdr:y>
    </cdr:to>
    <cdr:sp macro="" textlink="">
      <cdr:nvSpPr>
        <cdr:cNvPr id="3" name="TextBox 1"/>
        <cdr:cNvSpPr txBox="1"/>
      </cdr:nvSpPr>
      <cdr:spPr>
        <a:xfrm xmlns:a="http://schemas.openxmlformats.org/drawingml/2006/main">
          <a:off x="2854775" y="501636"/>
          <a:ext cx="1031425" cy="3117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en-US" sz="1050"/>
        </a:p>
      </cdr:txBody>
    </cdr:sp>
  </cdr:relSizeAnchor>
  <cdr:relSizeAnchor xmlns:cdr="http://schemas.openxmlformats.org/drawingml/2006/chartDrawing">
    <cdr:from>
      <cdr:x>0.16352</cdr:x>
      <cdr:y>0.83289</cdr:y>
    </cdr:from>
    <cdr:to>
      <cdr:x>0.44654</cdr:x>
      <cdr:y>0.89655</cdr:y>
    </cdr:to>
    <cdr:sp macro="" textlink="">
      <cdr:nvSpPr>
        <cdr:cNvPr id="4" name="TextBox 3"/>
        <cdr:cNvSpPr txBox="1"/>
      </cdr:nvSpPr>
      <cdr:spPr>
        <a:xfrm xmlns:a="http://schemas.openxmlformats.org/drawingml/2006/main">
          <a:off x="990600" y="2990851"/>
          <a:ext cx="17145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 </a:t>
          </a:r>
          <a:r>
            <a:rPr lang="en-US" sz="900"/>
            <a:t>J  F M A  M J </a:t>
          </a:r>
          <a:r>
            <a:rPr lang="en-US" sz="900" baseline="0"/>
            <a:t> </a:t>
          </a:r>
          <a:r>
            <a:rPr lang="en-US" sz="900"/>
            <a:t> J  A  S  O N </a:t>
          </a:r>
          <a:r>
            <a:rPr lang="en-US" sz="1000"/>
            <a:t>D</a:t>
          </a:r>
        </a:p>
      </cdr:txBody>
    </cdr:sp>
  </cdr:relSizeAnchor>
  <cdr:relSizeAnchor xmlns:cdr="http://schemas.openxmlformats.org/drawingml/2006/chartDrawing">
    <cdr:from>
      <cdr:x>0.43134</cdr:x>
      <cdr:y>0.83378</cdr:y>
    </cdr:from>
    <cdr:to>
      <cdr:x>0.71436</cdr:x>
      <cdr:y>0.89744</cdr:y>
    </cdr:to>
    <cdr:sp macro="" textlink="">
      <cdr:nvSpPr>
        <cdr:cNvPr id="5" name="TextBox 1"/>
        <cdr:cNvSpPr txBox="1"/>
      </cdr:nvSpPr>
      <cdr:spPr>
        <a:xfrm xmlns:a="http://schemas.openxmlformats.org/drawingml/2006/main">
          <a:off x="2613025" y="2994025"/>
          <a:ext cx="171450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t> </a:t>
          </a:r>
          <a:r>
            <a:rPr lang="en-US" sz="900"/>
            <a:t>J  F M A  M J </a:t>
          </a:r>
          <a:r>
            <a:rPr lang="en-US" sz="900" baseline="0"/>
            <a:t> </a:t>
          </a:r>
          <a:r>
            <a:rPr lang="en-US" sz="900"/>
            <a:t> J  A  S  O N D</a:t>
          </a:r>
          <a:endParaRPr lang="en-US" sz="1000"/>
        </a:p>
      </cdr:txBody>
    </cdr:sp>
  </cdr:relSizeAnchor>
  <cdr:relSizeAnchor xmlns:cdr="http://schemas.openxmlformats.org/drawingml/2006/chartDrawing">
    <cdr:from>
      <cdr:x>0.70021</cdr:x>
      <cdr:y>0.83378</cdr:y>
    </cdr:from>
    <cdr:to>
      <cdr:x>0.98323</cdr:x>
      <cdr:y>0.89744</cdr:y>
    </cdr:to>
    <cdr:sp macro="" textlink="">
      <cdr:nvSpPr>
        <cdr:cNvPr id="6" name="TextBox 1"/>
        <cdr:cNvSpPr txBox="1"/>
      </cdr:nvSpPr>
      <cdr:spPr>
        <a:xfrm xmlns:a="http://schemas.openxmlformats.org/drawingml/2006/main">
          <a:off x="4241800" y="2994025"/>
          <a:ext cx="171450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t> </a:t>
          </a:r>
          <a:r>
            <a:rPr lang="en-US" sz="900"/>
            <a:t>J  F M A  M J </a:t>
          </a:r>
          <a:r>
            <a:rPr lang="en-US" sz="900" baseline="0"/>
            <a:t> </a:t>
          </a:r>
          <a:r>
            <a:rPr lang="en-US" sz="900"/>
            <a:t> J  A  S  O N D</a:t>
          </a:r>
          <a:endParaRPr lang="en-US" sz="1000"/>
        </a:p>
      </cdr:txBody>
    </cdr:sp>
  </cdr:relSizeAnchor>
  <cdr:relSizeAnchor xmlns:cdr="http://schemas.openxmlformats.org/drawingml/2006/chartDrawing">
    <cdr:from>
      <cdr:x>0.45761</cdr:x>
      <cdr:y>0.13751</cdr:y>
    </cdr:from>
    <cdr:to>
      <cdr:x>0.70405</cdr:x>
      <cdr:y>0.28307</cdr:y>
    </cdr:to>
    <cdr:sp macro="" textlink="">
      <cdr:nvSpPr>
        <cdr:cNvPr id="7" name="TextBox 1"/>
        <cdr:cNvSpPr txBox="1"/>
      </cdr:nvSpPr>
      <cdr:spPr>
        <a:xfrm xmlns:a="http://schemas.openxmlformats.org/drawingml/2006/main">
          <a:off x="2510624" y="447261"/>
          <a:ext cx="1352097" cy="4734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50"/>
            <a:t>116</a:t>
          </a:r>
          <a:r>
            <a:rPr lang="en-US" sz="1050" baseline="0"/>
            <a:t> kg /year due to Storm Transport</a:t>
          </a:r>
          <a:endParaRPr lang="en-US" sz="1050"/>
        </a:p>
      </cdr:txBody>
    </cdr:sp>
  </cdr:relSizeAnchor>
  <cdr:relSizeAnchor xmlns:cdr="http://schemas.openxmlformats.org/drawingml/2006/chartDrawing">
    <cdr:from>
      <cdr:x>0.70761</cdr:x>
      <cdr:y>0.13751</cdr:y>
    </cdr:from>
    <cdr:to>
      <cdr:x>0.95405</cdr:x>
      <cdr:y>0.28307</cdr:y>
    </cdr:to>
    <cdr:sp macro="" textlink="">
      <cdr:nvSpPr>
        <cdr:cNvPr id="8" name="TextBox 1"/>
        <cdr:cNvSpPr txBox="1"/>
      </cdr:nvSpPr>
      <cdr:spPr>
        <a:xfrm xmlns:a="http://schemas.openxmlformats.org/drawingml/2006/main">
          <a:off x="3882224" y="447261"/>
          <a:ext cx="1352097" cy="4734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50"/>
            <a:t>161</a:t>
          </a:r>
          <a:r>
            <a:rPr lang="en-US" sz="1050" baseline="0"/>
            <a:t> kg /year due to Storm Transport</a:t>
          </a:r>
          <a:endParaRPr lang="en-US" sz="1050"/>
        </a:p>
      </cdr:txBody>
    </cdr:sp>
  </cdr:relSizeAnchor>
</c:userShapes>
</file>

<file path=word/drawings/drawing11.xml><?xml version="1.0" encoding="utf-8"?>
<c:userShapes xmlns:c="http://schemas.openxmlformats.org/drawingml/2006/chart">
  <cdr:relSizeAnchor xmlns:cdr="http://schemas.openxmlformats.org/drawingml/2006/chartDrawing">
    <cdr:from>
      <cdr:x>0.22917</cdr:x>
      <cdr:y>0.06033</cdr:y>
    </cdr:from>
    <cdr:to>
      <cdr:x>0.41162</cdr:x>
      <cdr:y>0.3006</cdr:y>
    </cdr:to>
    <cdr:sp macro="" textlink="">
      <cdr:nvSpPr>
        <cdr:cNvPr id="2" name="TextBox 1"/>
        <cdr:cNvSpPr txBox="1"/>
      </cdr:nvSpPr>
      <cdr:spPr>
        <a:xfrm xmlns:a="http://schemas.openxmlformats.org/drawingml/2006/main">
          <a:off x="1257300" y="202019"/>
          <a:ext cx="1001012" cy="80450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050"/>
            <a:t>33</a:t>
          </a:r>
          <a:r>
            <a:rPr lang="en-US" sz="1050" baseline="0"/>
            <a:t> kg/year due to Storm Transport</a:t>
          </a:r>
          <a:endParaRPr lang="en-US" sz="1050"/>
        </a:p>
      </cdr:txBody>
    </cdr:sp>
  </cdr:relSizeAnchor>
  <cdr:relSizeAnchor xmlns:cdr="http://schemas.openxmlformats.org/drawingml/2006/chartDrawing">
    <cdr:from>
      <cdr:x>0.5</cdr:x>
      <cdr:y>0.06033</cdr:y>
    </cdr:from>
    <cdr:to>
      <cdr:x>0.66886</cdr:x>
      <cdr:y>0.22684</cdr:y>
    </cdr:to>
    <cdr:sp macro="" textlink="">
      <cdr:nvSpPr>
        <cdr:cNvPr id="7" name="TextBox 1"/>
        <cdr:cNvSpPr txBox="1"/>
      </cdr:nvSpPr>
      <cdr:spPr>
        <a:xfrm xmlns:a="http://schemas.openxmlformats.org/drawingml/2006/main">
          <a:off x="2743200" y="202019"/>
          <a:ext cx="926434" cy="55753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50"/>
            <a:t>24</a:t>
          </a:r>
          <a:r>
            <a:rPr lang="en-US" sz="1050" baseline="0"/>
            <a:t> kg/year due Storm Transport</a:t>
          </a:r>
          <a:endParaRPr lang="en-US" sz="1050"/>
        </a:p>
      </cdr:txBody>
    </cdr:sp>
  </cdr:relSizeAnchor>
  <cdr:relSizeAnchor xmlns:cdr="http://schemas.openxmlformats.org/drawingml/2006/chartDrawing">
    <cdr:from>
      <cdr:x>0.75</cdr:x>
      <cdr:y>0.06033</cdr:y>
    </cdr:from>
    <cdr:to>
      <cdr:x>0.92928</cdr:x>
      <cdr:y>0.22684</cdr:y>
    </cdr:to>
    <cdr:sp macro="" textlink="">
      <cdr:nvSpPr>
        <cdr:cNvPr id="8" name="TextBox 1"/>
        <cdr:cNvSpPr txBox="1"/>
      </cdr:nvSpPr>
      <cdr:spPr>
        <a:xfrm xmlns:a="http://schemas.openxmlformats.org/drawingml/2006/main">
          <a:off x="4114800" y="202019"/>
          <a:ext cx="983583" cy="55753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50" baseline="0"/>
            <a:t>43 kg/year due to Storm Transport</a:t>
          </a:r>
          <a:endParaRPr lang="en-US" sz="1050"/>
        </a:p>
      </cdr:txBody>
    </cdr:sp>
  </cdr:relSizeAnchor>
  <cdr:relSizeAnchor xmlns:cdr="http://schemas.openxmlformats.org/drawingml/2006/chartDrawing">
    <cdr:from>
      <cdr:x>0.14583</cdr:x>
      <cdr:y>0.84547</cdr:y>
    </cdr:from>
    <cdr:to>
      <cdr:x>0.42885</cdr:x>
      <cdr:y>0.90913</cdr:y>
    </cdr:to>
    <cdr:sp macro="" textlink="">
      <cdr:nvSpPr>
        <cdr:cNvPr id="9" name="TextBox 3"/>
        <cdr:cNvSpPr txBox="1"/>
      </cdr:nvSpPr>
      <cdr:spPr>
        <a:xfrm xmlns:a="http://schemas.openxmlformats.org/drawingml/2006/main">
          <a:off x="800100" y="2830919"/>
          <a:ext cx="1552761" cy="21316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t>   J   F M A  M J </a:t>
          </a:r>
          <a:r>
            <a:rPr lang="en-US" sz="900" baseline="0"/>
            <a:t> </a:t>
          </a:r>
          <a:r>
            <a:rPr lang="en-US" sz="900"/>
            <a:t> J  A  S  O N D</a:t>
          </a:r>
        </a:p>
      </cdr:txBody>
    </cdr:sp>
  </cdr:relSizeAnchor>
  <cdr:relSizeAnchor xmlns:cdr="http://schemas.openxmlformats.org/drawingml/2006/chartDrawing">
    <cdr:from>
      <cdr:x>0.41616</cdr:x>
      <cdr:y>0.84628</cdr:y>
    </cdr:from>
    <cdr:to>
      <cdr:x>0.69918</cdr:x>
      <cdr:y>0.90995</cdr:y>
    </cdr:to>
    <cdr:sp macro="" textlink="">
      <cdr:nvSpPr>
        <cdr:cNvPr id="10" name="TextBox 3"/>
        <cdr:cNvSpPr txBox="1"/>
      </cdr:nvSpPr>
      <cdr:spPr>
        <a:xfrm xmlns:a="http://schemas.openxmlformats.org/drawingml/2006/main">
          <a:off x="2283195" y="2833658"/>
          <a:ext cx="1552761" cy="21316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t>  J   F M A  M J </a:t>
          </a:r>
          <a:r>
            <a:rPr lang="en-US" sz="900" baseline="0"/>
            <a:t> </a:t>
          </a:r>
          <a:r>
            <a:rPr lang="en-US" sz="900"/>
            <a:t> J  A  S  O N D</a:t>
          </a:r>
        </a:p>
      </cdr:txBody>
    </cdr:sp>
  </cdr:relSizeAnchor>
  <cdr:relSizeAnchor xmlns:cdr="http://schemas.openxmlformats.org/drawingml/2006/chartDrawing">
    <cdr:from>
      <cdr:x>0.68699</cdr:x>
      <cdr:y>0.84628</cdr:y>
    </cdr:from>
    <cdr:to>
      <cdr:x>0.97001</cdr:x>
      <cdr:y>0.90995</cdr:y>
    </cdr:to>
    <cdr:sp macro="" textlink="">
      <cdr:nvSpPr>
        <cdr:cNvPr id="11" name="TextBox 3"/>
        <cdr:cNvSpPr txBox="1"/>
      </cdr:nvSpPr>
      <cdr:spPr>
        <a:xfrm xmlns:a="http://schemas.openxmlformats.org/drawingml/2006/main">
          <a:off x="3769095" y="2833658"/>
          <a:ext cx="1552761" cy="21316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t>  J   F M A  M J </a:t>
          </a:r>
          <a:r>
            <a:rPr lang="en-US" sz="900" baseline="0"/>
            <a:t> </a:t>
          </a:r>
          <a:r>
            <a:rPr lang="en-US" sz="900"/>
            <a:t> J  A  S  O N D</a:t>
          </a:r>
        </a:p>
      </cdr:txBody>
    </cdr:sp>
  </cdr:relSizeAnchor>
</c:userShapes>
</file>

<file path=word/drawings/drawing2.xml><?xml version="1.0" encoding="utf-8"?>
<c:userShapes xmlns:c="http://schemas.openxmlformats.org/drawingml/2006/chart">
  <cdr:relSizeAnchor xmlns:cdr="http://schemas.openxmlformats.org/drawingml/2006/chartDrawing">
    <cdr:from>
      <cdr:x>0.10638</cdr:x>
      <cdr:y>0</cdr:y>
    </cdr:from>
    <cdr:to>
      <cdr:x>0.46439</cdr:x>
      <cdr:y>0.81349</cdr:y>
    </cdr:to>
    <cdr:sp macro="" textlink="">
      <cdr:nvSpPr>
        <cdr:cNvPr id="2" name="TextBox 3"/>
        <cdr:cNvSpPr txBox="1"/>
      </cdr:nvSpPr>
      <cdr:spPr>
        <a:xfrm xmlns:a="http://schemas.openxmlformats.org/drawingml/2006/main">
          <a:off x="571500" y="0"/>
          <a:ext cx="1923250" cy="2490876"/>
        </a:xfrm>
        <a:prstGeom xmlns:a="http://schemas.openxmlformats.org/drawingml/2006/main" prst="rect">
          <a:avLst/>
        </a:prstGeom>
        <a:solidFill xmlns:a="http://schemas.openxmlformats.org/drawingml/2006/main">
          <a:schemeClr val="bg2">
            <a:lumMod val="75000"/>
            <a:alpha val="37000"/>
          </a:schemeClr>
        </a:solidFill>
        <a:ln xmlns:a="http://schemas.openxmlformats.org/drawingml/2006/main" w="9525" cmpd="sng">
          <a:solidFill>
            <a:schemeClr val="bg2">
              <a:lumMod val="90000"/>
              <a:alpha val="1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t>Section 1</a:t>
          </a:r>
        </a:p>
      </cdr:txBody>
    </cdr:sp>
  </cdr:relSizeAnchor>
  <cdr:relSizeAnchor xmlns:cdr="http://schemas.openxmlformats.org/drawingml/2006/chartDrawing">
    <cdr:from>
      <cdr:x>0.7283</cdr:x>
      <cdr:y>0</cdr:y>
    </cdr:from>
    <cdr:to>
      <cdr:x>1</cdr:x>
      <cdr:y>0.81349</cdr:y>
    </cdr:to>
    <cdr:sp macro="" textlink="">
      <cdr:nvSpPr>
        <cdr:cNvPr id="3" name="TextBox 3"/>
        <cdr:cNvSpPr txBox="1"/>
      </cdr:nvSpPr>
      <cdr:spPr>
        <a:xfrm xmlns:a="http://schemas.openxmlformats.org/drawingml/2006/main">
          <a:off x="3912500" y="0"/>
          <a:ext cx="1459600" cy="2490876"/>
        </a:xfrm>
        <a:prstGeom xmlns:a="http://schemas.openxmlformats.org/drawingml/2006/main" prst="rect">
          <a:avLst/>
        </a:prstGeom>
        <a:solidFill xmlns:a="http://schemas.openxmlformats.org/drawingml/2006/main">
          <a:schemeClr val="bg2">
            <a:lumMod val="75000"/>
            <a:alpha val="37000"/>
          </a:schemeClr>
        </a:solidFill>
        <a:ln xmlns:a="http://schemas.openxmlformats.org/drawingml/2006/main" w="9525" cmpd="sng">
          <a:solidFill>
            <a:schemeClr val="bg2">
              <a:lumMod val="90000"/>
              <a:alpha val="1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t>Section 3</a:t>
          </a:r>
        </a:p>
      </cdr:txBody>
    </cdr:sp>
  </cdr:relSizeAnchor>
  <cdr:relSizeAnchor xmlns:cdr="http://schemas.openxmlformats.org/drawingml/2006/chartDrawing">
    <cdr:from>
      <cdr:x>0.50377</cdr:x>
      <cdr:y>0</cdr:y>
    </cdr:from>
    <cdr:to>
      <cdr:x>0.70943</cdr:x>
      <cdr:y>0.81349</cdr:y>
    </cdr:to>
    <cdr:sp macro="" textlink="">
      <cdr:nvSpPr>
        <cdr:cNvPr id="4" name="TextBox 3"/>
        <cdr:cNvSpPr txBox="1"/>
      </cdr:nvSpPr>
      <cdr:spPr>
        <a:xfrm xmlns:a="http://schemas.openxmlformats.org/drawingml/2006/main">
          <a:off x="2706303" y="0"/>
          <a:ext cx="1104826" cy="2490876"/>
        </a:xfrm>
        <a:prstGeom xmlns:a="http://schemas.openxmlformats.org/drawingml/2006/main" prst="rect">
          <a:avLst/>
        </a:prstGeom>
        <a:solidFill xmlns:a="http://schemas.openxmlformats.org/drawingml/2006/main">
          <a:schemeClr val="bg2">
            <a:lumMod val="75000"/>
            <a:alpha val="37000"/>
          </a:schemeClr>
        </a:solidFill>
        <a:ln xmlns:a="http://schemas.openxmlformats.org/drawingml/2006/main" w="9525" cmpd="sng">
          <a:solidFill>
            <a:schemeClr val="bg2">
              <a:lumMod val="90000"/>
              <a:alpha val="1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t>Section 2</a:t>
          </a:r>
        </a:p>
      </cdr:txBody>
    </cdr:sp>
  </cdr:relSizeAnchor>
</c:userShapes>
</file>

<file path=word/drawings/drawing3.xml><?xml version="1.0" encoding="utf-8"?>
<c:userShapes xmlns:c="http://schemas.openxmlformats.org/drawingml/2006/chart">
  <cdr:relSizeAnchor xmlns:cdr="http://schemas.openxmlformats.org/drawingml/2006/chartDrawing">
    <cdr:from>
      <cdr:x>0.14425</cdr:x>
      <cdr:y>0</cdr:y>
    </cdr:from>
    <cdr:to>
      <cdr:x>0.46856</cdr:x>
      <cdr:y>0.80968</cdr:y>
    </cdr:to>
    <cdr:sp macro="" textlink="">
      <cdr:nvSpPr>
        <cdr:cNvPr id="2" name="TextBox 3"/>
        <cdr:cNvSpPr txBox="1"/>
      </cdr:nvSpPr>
      <cdr:spPr>
        <a:xfrm xmlns:a="http://schemas.openxmlformats.org/drawingml/2006/main">
          <a:off x="734164" y="0"/>
          <a:ext cx="1650584" cy="2605176"/>
        </a:xfrm>
        <a:prstGeom xmlns:a="http://schemas.openxmlformats.org/drawingml/2006/main" prst="rect">
          <a:avLst/>
        </a:prstGeom>
        <a:solidFill xmlns:a="http://schemas.openxmlformats.org/drawingml/2006/main">
          <a:schemeClr val="bg2">
            <a:lumMod val="75000"/>
            <a:alpha val="37000"/>
          </a:schemeClr>
        </a:solidFill>
        <a:ln xmlns:a="http://schemas.openxmlformats.org/drawingml/2006/main" w="9525" cmpd="sng">
          <a:solidFill>
            <a:schemeClr val="bg2">
              <a:lumMod val="90000"/>
              <a:alpha val="1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t>Section 1</a:t>
          </a:r>
        </a:p>
      </cdr:txBody>
    </cdr:sp>
  </cdr:relSizeAnchor>
  <cdr:relSizeAnchor xmlns:cdr="http://schemas.openxmlformats.org/drawingml/2006/chartDrawing">
    <cdr:from>
      <cdr:x>0.7283</cdr:x>
      <cdr:y>0</cdr:y>
    </cdr:from>
    <cdr:to>
      <cdr:x>1</cdr:x>
      <cdr:y>0.80968</cdr:y>
    </cdr:to>
    <cdr:sp macro="" textlink="">
      <cdr:nvSpPr>
        <cdr:cNvPr id="3" name="TextBox 3"/>
        <cdr:cNvSpPr txBox="1"/>
      </cdr:nvSpPr>
      <cdr:spPr>
        <a:xfrm xmlns:a="http://schemas.openxmlformats.org/drawingml/2006/main">
          <a:off x="3706701" y="0"/>
          <a:ext cx="1382824" cy="2605176"/>
        </a:xfrm>
        <a:prstGeom xmlns:a="http://schemas.openxmlformats.org/drawingml/2006/main" prst="rect">
          <a:avLst/>
        </a:prstGeom>
        <a:solidFill xmlns:a="http://schemas.openxmlformats.org/drawingml/2006/main">
          <a:schemeClr val="bg2">
            <a:lumMod val="75000"/>
            <a:alpha val="37000"/>
          </a:schemeClr>
        </a:solidFill>
        <a:ln xmlns:a="http://schemas.openxmlformats.org/drawingml/2006/main" w="9525" cmpd="sng">
          <a:solidFill>
            <a:schemeClr val="bg2">
              <a:lumMod val="90000"/>
              <a:alpha val="1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t>Section 3</a:t>
          </a:r>
        </a:p>
      </cdr:txBody>
    </cdr:sp>
  </cdr:relSizeAnchor>
  <cdr:relSizeAnchor xmlns:cdr="http://schemas.openxmlformats.org/drawingml/2006/chartDrawing">
    <cdr:from>
      <cdr:x>0.49335</cdr:x>
      <cdr:y>0</cdr:y>
    </cdr:from>
    <cdr:to>
      <cdr:x>0.70833</cdr:x>
      <cdr:y>0.80968</cdr:y>
    </cdr:to>
    <cdr:sp macro="" textlink="">
      <cdr:nvSpPr>
        <cdr:cNvPr id="4" name="TextBox 3"/>
        <cdr:cNvSpPr txBox="1"/>
      </cdr:nvSpPr>
      <cdr:spPr>
        <a:xfrm xmlns:a="http://schemas.openxmlformats.org/drawingml/2006/main">
          <a:off x="2510917" y="0"/>
          <a:ext cx="1094146" cy="2605176"/>
        </a:xfrm>
        <a:prstGeom xmlns:a="http://schemas.openxmlformats.org/drawingml/2006/main" prst="rect">
          <a:avLst/>
        </a:prstGeom>
        <a:solidFill xmlns:a="http://schemas.openxmlformats.org/drawingml/2006/main">
          <a:schemeClr val="bg2">
            <a:lumMod val="75000"/>
            <a:alpha val="37000"/>
          </a:schemeClr>
        </a:solidFill>
        <a:ln xmlns:a="http://schemas.openxmlformats.org/drawingml/2006/main" w="9525" cmpd="sng">
          <a:solidFill>
            <a:schemeClr val="bg2">
              <a:lumMod val="90000"/>
              <a:alpha val="1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t>Section 2</a:t>
          </a:r>
        </a:p>
      </cdr:txBody>
    </cdr:sp>
  </cdr:relSizeAnchor>
</c:userShapes>
</file>

<file path=word/drawings/drawing4.xml><?xml version="1.0" encoding="utf-8"?>
<c:userShapes xmlns:c="http://schemas.openxmlformats.org/drawingml/2006/chart">
  <cdr:relSizeAnchor xmlns:cdr="http://schemas.openxmlformats.org/drawingml/2006/chartDrawing">
    <cdr:from>
      <cdr:x>0.13592</cdr:x>
      <cdr:y>0</cdr:y>
    </cdr:from>
    <cdr:to>
      <cdr:x>0.46023</cdr:x>
      <cdr:y>0.79843</cdr:y>
    </cdr:to>
    <cdr:sp macro="" textlink="">
      <cdr:nvSpPr>
        <cdr:cNvPr id="2" name="TextBox 3"/>
        <cdr:cNvSpPr txBox="1"/>
      </cdr:nvSpPr>
      <cdr:spPr>
        <a:xfrm xmlns:a="http://schemas.openxmlformats.org/drawingml/2006/main">
          <a:off x="691768" y="0"/>
          <a:ext cx="1650584" cy="2389516"/>
        </a:xfrm>
        <a:prstGeom xmlns:a="http://schemas.openxmlformats.org/drawingml/2006/main" prst="rect">
          <a:avLst/>
        </a:prstGeom>
        <a:solidFill xmlns:a="http://schemas.openxmlformats.org/drawingml/2006/main">
          <a:schemeClr val="bg2">
            <a:lumMod val="75000"/>
            <a:alpha val="37000"/>
          </a:schemeClr>
        </a:solidFill>
        <a:ln xmlns:a="http://schemas.openxmlformats.org/drawingml/2006/main" w="9525" cmpd="sng">
          <a:solidFill>
            <a:schemeClr val="bg2">
              <a:lumMod val="90000"/>
              <a:alpha val="1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t>Section 1</a:t>
          </a:r>
        </a:p>
      </cdr:txBody>
    </cdr:sp>
  </cdr:relSizeAnchor>
  <cdr:relSizeAnchor xmlns:cdr="http://schemas.openxmlformats.org/drawingml/2006/chartDrawing">
    <cdr:from>
      <cdr:x>0.7283</cdr:x>
      <cdr:y>0</cdr:y>
    </cdr:from>
    <cdr:to>
      <cdr:x>1</cdr:x>
      <cdr:y>0.79267</cdr:y>
    </cdr:to>
    <cdr:sp macro="" textlink="">
      <cdr:nvSpPr>
        <cdr:cNvPr id="3" name="TextBox 3"/>
        <cdr:cNvSpPr txBox="1"/>
      </cdr:nvSpPr>
      <cdr:spPr>
        <a:xfrm xmlns:a="http://schemas.openxmlformats.org/drawingml/2006/main">
          <a:off x="3706701" y="0"/>
          <a:ext cx="1382824" cy="2372264"/>
        </a:xfrm>
        <a:prstGeom xmlns:a="http://schemas.openxmlformats.org/drawingml/2006/main" prst="rect">
          <a:avLst/>
        </a:prstGeom>
        <a:solidFill xmlns:a="http://schemas.openxmlformats.org/drawingml/2006/main">
          <a:schemeClr val="bg2">
            <a:lumMod val="75000"/>
            <a:alpha val="37000"/>
          </a:schemeClr>
        </a:solidFill>
        <a:ln xmlns:a="http://schemas.openxmlformats.org/drawingml/2006/main" w="9525" cmpd="sng">
          <a:solidFill>
            <a:schemeClr val="bg2">
              <a:lumMod val="90000"/>
              <a:alpha val="1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t>Section 3</a:t>
          </a:r>
        </a:p>
      </cdr:txBody>
    </cdr:sp>
  </cdr:relSizeAnchor>
  <cdr:relSizeAnchor xmlns:cdr="http://schemas.openxmlformats.org/drawingml/2006/chartDrawing">
    <cdr:from>
      <cdr:x>0.49335</cdr:x>
      <cdr:y>0</cdr:y>
    </cdr:from>
    <cdr:to>
      <cdr:x>0.70833</cdr:x>
      <cdr:y>0.79555</cdr:y>
    </cdr:to>
    <cdr:sp macro="" textlink="">
      <cdr:nvSpPr>
        <cdr:cNvPr id="4" name="TextBox 3"/>
        <cdr:cNvSpPr txBox="1"/>
      </cdr:nvSpPr>
      <cdr:spPr>
        <a:xfrm xmlns:a="http://schemas.openxmlformats.org/drawingml/2006/main">
          <a:off x="2510917" y="0"/>
          <a:ext cx="1094146" cy="2380890"/>
        </a:xfrm>
        <a:prstGeom xmlns:a="http://schemas.openxmlformats.org/drawingml/2006/main" prst="rect">
          <a:avLst/>
        </a:prstGeom>
        <a:solidFill xmlns:a="http://schemas.openxmlformats.org/drawingml/2006/main">
          <a:schemeClr val="bg2">
            <a:lumMod val="75000"/>
            <a:alpha val="37000"/>
          </a:schemeClr>
        </a:solidFill>
        <a:ln xmlns:a="http://schemas.openxmlformats.org/drawingml/2006/main" w="9525" cmpd="sng">
          <a:solidFill>
            <a:schemeClr val="bg2">
              <a:lumMod val="90000"/>
              <a:alpha val="1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t>Section 2</a:t>
          </a:r>
        </a:p>
      </cdr:txBody>
    </cdr:sp>
  </cdr:relSizeAnchor>
</c:userShapes>
</file>

<file path=word/drawings/drawing5.xml><?xml version="1.0" encoding="utf-8"?>
<c:userShapes xmlns:c="http://schemas.openxmlformats.org/drawingml/2006/chart">
  <cdr:relSizeAnchor xmlns:cdr="http://schemas.openxmlformats.org/drawingml/2006/chartDrawing">
    <cdr:from>
      <cdr:x>0.10805</cdr:x>
      <cdr:y>0</cdr:y>
    </cdr:from>
    <cdr:to>
      <cdr:x>0.47481</cdr:x>
      <cdr:y>0.80132</cdr:y>
    </cdr:to>
    <cdr:sp macro="" textlink="">
      <cdr:nvSpPr>
        <cdr:cNvPr id="2" name="TextBox 3"/>
        <cdr:cNvSpPr txBox="1"/>
      </cdr:nvSpPr>
      <cdr:spPr>
        <a:xfrm xmlns:a="http://schemas.openxmlformats.org/drawingml/2006/main">
          <a:off x="567690" y="0"/>
          <a:ext cx="1926957" cy="2398154"/>
        </a:xfrm>
        <a:prstGeom xmlns:a="http://schemas.openxmlformats.org/drawingml/2006/main" prst="rect">
          <a:avLst/>
        </a:prstGeom>
        <a:solidFill xmlns:a="http://schemas.openxmlformats.org/drawingml/2006/main">
          <a:schemeClr val="bg2">
            <a:lumMod val="75000"/>
            <a:alpha val="37000"/>
          </a:schemeClr>
        </a:solidFill>
        <a:ln xmlns:a="http://schemas.openxmlformats.org/drawingml/2006/main" w="9525" cmpd="sng">
          <a:solidFill>
            <a:schemeClr val="bg2">
              <a:lumMod val="90000"/>
              <a:alpha val="1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t>Section 1</a:t>
          </a:r>
        </a:p>
      </cdr:txBody>
    </cdr:sp>
  </cdr:relSizeAnchor>
  <cdr:relSizeAnchor xmlns:cdr="http://schemas.openxmlformats.org/drawingml/2006/chartDrawing">
    <cdr:from>
      <cdr:x>0.7283</cdr:x>
      <cdr:y>0</cdr:y>
    </cdr:from>
    <cdr:to>
      <cdr:x>0.97825</cdr:x>
      <cdr:y>0.81285</cdr:y>
    </cdr:to>
    <cdr:sp macro="" textlink="">
      <cdr:nvSpPr>
        <cdr:cNvPr id="3" name="TextBox 3"/>
        <cdr:cNvSpPr txBox="1"/>
      </cdr:nvSpPr>
      <cdr:spPr>
        <a:xfrm xmlns:a="http://schemas.openxmlformats.org/drawingml/2006/main">
          <a:off x="3826481" y="0"/>
          <a:ext cx="1313209" cy="2432661"/>
        </a:xfrm>
        <a:prstGeom xmlns:a="http://schemas.openxmlformats.org/drawingml/2006/main" prst="rect">
          <a:avLst/>
        </a:prstGeom>
        <a:solidFill xmlns:a="http://schemas.openxmlformats.org/drawingml/2006/main">
          <a:schemeClr val="bg2">
            <a:lumMod val="75000"/>
            <a:alpha val="37000"/>
          </a:schemeClr>
        </a:solidFill>
        <a:ln xmlns:a="http://schemas.openxmlformats.org/drawingml/2006/main" w="9525" cmpd="sng">
          <a:solidFill>
            <a:schemeClr val="bg2">
              <a:lumMod val="90000"/>
              <a:alpha val="1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t>Section 3</a:t>
          </a:r>
        </a:p>
      </cdr:txBody>
    </cdr:sp>
  </cdr:relSizeAnchor>
  <cdr:relSizeAnchor xmlns:cdr="http://schemas.openxmlformats.org/drawingml/2006/chartDrawing">
    <cdr:from>
      <cdr:x>0.49335</cdr:x>
      <cdr:y>0</cdr:y>
    </cdr:from>
    <cdr:to>
      <cdr:x>0.70833</cdr:x>
      <cdr:y>0.8042</cdr:y>
    </cdr:to>
    <cdr:sp macro="" textlink="">
      <cdr:nvSpPr>
        <cdr:cNvPr id="4" name="TextBox 3"/>
        <cdr:cNvSpPr txBox="1"/>
      </cdr:nvSpPr>
      <cdr:spPr>
        <a:xfrm xmlns:a="http://schemas.openxmlformats.org/drawingml/2006/main">
          <a:off x="2429778" y="0"/>
          <a:ext cx="1058790" cy="2406770"/>
        </a:xfrm>
        <a:prstGeom xmlns:a="http://schemas.openxmlformats.org/drawingml/2006/main" prst="rect">
          <a:avLst/>
        </a:prstGeom>
        <a:solidFill xmlns:a="http://schemas.openxmlformats.org/drawingml/2006/main">
          <a:schemeClr val="bg2">
            <a:lumMod val="75000"/>
            <a:alpha val="37000"/>
          </a:schemeClr>
        </a:solidFill>
        <a:ln xmlns:a="http://schemas.openxmlformats.org/drawingml/2006/main" w="9525" cmpd="sng">
          <a:solidFill>
            <a:schemeClr val="bg2">
              <a:lumMod val="90000"/>
              <a:alpha val="1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lang="en-US" sz="1100"/>
            <a:t>Section 2</a:t>
          </a:r>
        </a:p>
      </cdr:txBody>
    </cdr:sp>
  </cdr:relSizeAnchor>
</c:userShapes>
</file>

<file path=word/drawings/drawing6.xml><?xml version="1.0" encoding="utf-8"?>
<c:userShapes xmlns:c="http://schemas.openxmlformats.org/drawingml/2006/chart">
  <cdr:relSizeAnchor xmlns:cdr="http://schemas.openxmlformats.org/drawingml/2006/chartDrawing">
    <cdr:from>
      <cdr:x>0.1388</cdr:x>
      <cdr:y>0.12939</cdr:y>
    </cdr:from>
    <cdr:to>
      <cdr:x>0.42971</cdr:x>
      <cdr:y>0.26669</cdr:y>
    </cdr:to>
    <cdr:sp macro="" textlink="">
      <cdr:nvSpPr>
        <cdr:cNvPr id="3" name="TextBox 2"/>
        <cdr:cNvSpPr txBox="1"/>
      </cdr:nvSpPr>
      <cdr:spPr>
        <a:xfrm xmlns:a="http://schemas.openxmlformats.org/drawingml/2006/main">
          <a:off x="754899" y="343857"/>
          <a:ext cx="1582194" cy="3648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2011</a:t>
          </a:r>
          <a:r>
            <a:rPr lang="en-US" sz="1100" baseline="0"/>
            <a:t> = 103 storms</a:t>
          </a:r>
          <a:endParaRPr lang="en-US" sz="1100"/>
        </a:p>
      </cdr:txBody>
    </cdr:sp>
  </cdr:relSizeAnchor>
  <cdr:relSizeAnchor xmlns:cdr="http://schemas.openxmlformats.org/drawingml/2006/chartDrawing">
    <cdr:from>
      <cdr:x>0.43313</cdr:x>
      <cdr:y>0.26265</cdr:y>
    </cdr:from>
    <cdr:to>
      <cdr:x>0.72403</cdr:x>
      <cdr:y>0.39996</cdr:y>
    </cdr:to>
    <cdr:sp macro="" textlink="">
      <cdr:nvSpPr>
        <cdr:cNvPr id="4" name="TextBox 1"/>
        <cdr:cNvSpPr txBox="1"/>
      </cdr:nvSpPr>
      <cdr:spPr>
        <a:xfrm xmlns:a="http://schemas.openxmlformats.org/drawingml/2006/main">
          <a:off x="2533076" y="768041"/>
          <a:ext cx="1701285" cy="40151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2012</a:t>
          </a:r>
          <a:r>
            <a:rPr lang="en-US" sz="1100" baseline="0"/>
            <a:t> = 73 storms</a:t>
          </a:r>
          <a:endParaRPr lang="en-US" sz="1100"/>
        </a:p>
      </cdr:txBody>
    </cdr:sp>
  </cdr:relSizeAnchor>
  <cdr:relSizeAnchor xmlns:cdr="http://schemas.openxmlformats.org/drawingml/2006/chartDrawing">
    <cdr:from>
      <cdr:x>0.70909</cdr:x>
      <cdr:y>0.04666</cdr:y>
    </cdr:from>
    <cdr:to>
      <cdr:x>1</cdr:x>
      <cdr:y>0.18396</cdr:y>
    </cdr:to>
    <cdr:sp macro="" textlink="">
      <cdr:nvSpPr>
        <cdr:cNvPr id="5" name="TextBox 1"/>
        <cdr:cNvSpPr txBox="1"/>
      </cdr:nvSpPr>
      <cdr:spPr>
        <a:xfrm xmlns:a="http://schemas.openxmlformats.org/drawingml/2006/main">
          <a:off x="4147007" y="136435"/>
          <a:ext cx="1701343" cy="4014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2013</a:t>
          </a:r>
          <a:r>
            <a:rPr lang="en-US" sz="1100" baseline="0"/>
            <a:t> = 134 storms</a:t>
          </a:r>
          <a:endParaRPr lang="en-US" sz="1100"/>
        </a:p>
      </cdr:txBody>
    </cdr:sp>
  </cdr:relSizeAnchor>
</c:userShapes>
</file>

<file path=word/drawings/drawing7.xml><?xml version="1.0" encoding="utf-8"?>
<c:userShapes xmlns:c="http://schemas.openxmlformats.org/drawingml/2006/chart">
  <cdr:relSizeAnchor xmlns:cdr="http://schemas.openxmlformats.org/drawingml/2006/chartDrawing">
    <cdr:from>
      <cdr:x>0.11948</cdr:x>
      <cdr:y>0.09321</cdr:y>
    </cdr:from>
    <cdr:to>
      <cdr:x>0.41039</cdr:x>
      <cdr:y>0.23051</cdr:y>
    </cdr:to>
    <cdr:sp macro="" textlink="">
      <cdr:nvSpPr>
        <cdr:cNvPr id="3" name="TextBox 2"/>
        <cdr:cNvSpPr txBox="1"/>
      </cdr:nvSpPr>
      <cdr:spPr>
        <a:xfrm xmlns:a="http://schemas.openxmlformats.org/drawingml/2006/main">
          <a:off x="655512" y="273438"/>
          <a:ext cx="1596049" cy="4027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2011</a:t>
          </a:r>
          <a:r>
            <a:rPr lang="en-US" sz="1100" baseline="0"/>
            <a:t> = 109.5 cm</a:t>
          </a:r>
          <a:endParaRPr lang="en-US" sz="1100"/>
        </a:p>
      </cdr:txBody>
    </cdr:sp>
  </cdr:relSizeAnchor>
  <cdr:relSizeAnchor xmlns:cdr="http://schemas.openxmlformats.org/drawingml/2006/chartDrawing">
    <cdr:from>
      <cdr:x>0.4342</cdr:x>
      <cdr:y>0.31489</cdr:y>
    </cdr:from>
    <cdr:to>
      <cdr:x>0.7251</cdr:x>
      <cdr:y>0.4522</cdr:y>
    </cdr:to>
    <cdr:sp macro="" textlink="">
      <cdr:nvSpPr>
        <cdr:cNvPr id="4" name="TextBox 1"/>
        <cdr:cNvSpPr txBox="1"/>
      </cdr:nvSpPr>
      <cdr:spPr>
        <a:xfrm xmlns:a="http://schemas.openxmlformats.org/drawingml/2006/main">
          <a:off x="2382201" y="923780"/>
          <a:ext cx="1595994" cy="40282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2012</a:t>
          </a:r>
          <a:r>
            <a:rPr lang="en-US" sz="1100" baseline="0"/>
            <a:t> = 89.5 cm</a:t>
          </a:r>
          <a:endParaRPr lang="en-US" sz="1100"/>
        </a:p>
      </cdr:txBody>
    </cdr:sp>
  </cdr:relSizeAnchor>
  <cdr:relSizeAnchor xmlns:cdr="http://schemas.openxmlformats.org/drawingml/2006/chartDrawing">
    <cdr:from>
      <cdr:x>0.72484</cdr:x>
      <cdr:y>0.25026</cdr:y>
    </cdr:from>
    <cdr:to>
      <cdr:x>0.97778</cdr:x>
      <cdr:y>0.38756</cdr:y>
    </cdr:to>
    <cdr:sp macro="" textlink="">
      <cdr:nvSpPr>
        <cdr:cNvPr id="5" name="TextBox 1"/>
        <cdr:cNvSpPr txBox="1"/>
      </cdr:nvSpPr>
      <cdr:spPr>
        <a:xfrm xmlns:a="http://schemas.openxmlformats.org/drawingml/2006/main">
          <a:off x="3728214" y="734188"/>
          <a:ext cx="1300985" cy="4027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2013</a:t>
          </a:r>
          <a:r>
            <a:rPr lang="en-US" sz="1100" baseline="0"/>
            <a:t> = 122.2 cm</a:t>
          </a:r>
          <a:endParaRPr lang="en-US" sz="1100"/>
        </a:p>
      </cdr:txBody>
    </cdr:sp>
  </cdr:relSizeAnchor>
</c:userShapes>
</file>

<file path=word/drawings/drawing8.xml><?xml version="1.0" encoding="utf-8"?>
<c:userShapes xmlns:c="http://schemas.openxmlformats.org/drawingml/2006/chart">
  <cdr:relSizeAnchor xmlns:cdr="http://schemas.openxmlformats.org/drawingml/2006/chartDrawing">
    <cdr:from>
      <cdr:x>0.1875</cdr:x>
      <cdr:y>0.07471</cdr:y>
    </cdr:from>
    <cdr:to>
      <cdr:x>0.37873</cdr:x>
      <cdr:y>0.31367</cdr:y>
    </cdr:to>
    <cdr:sp macro="" textlink="">
      <cdr:nvSpPr>
        <cdr:cNvPr id="2" name="TextBox 1"/>
        <cdr:cNvSpPr txBox="1"/>
      </cdr:nvSpPr>
      <cdr:spPr>
        <a:xfrm xmlns:a="http://schemas.openxmlformats.org/drawingml/2006/main">
          <a:off x="1028700" y="250166"/>
          <a:ext cx="1049164" cy="800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050"/>
            <a:t>797</a:t>
          </a:r>
          <a:r>
            <a:rPr lang="en-US" sz="1050" baseline="0"/>
            <a:t> kg/year due to Storm Transport</a:t>
          </a:r>
          <a:endParaRPr lang="en-US" sz="1050"/>
        </a:p>
      </cdr:txBody>
    </cdr:sp>
  </cdr:relSizeAnchor>
  <cdr:relSizeAnchor xmlns:cdr="http://schemas.openxmlformats.org/drawingml/2006/chartDrawing">
    <cdr:from>
      <cdr:x>0.14707</cdr:x>
      <cdr:y>0.83289</cdr:y>
    </cdr:from>
    <cdr:to>
      <cdr:x>0.43009</cdr:x>
      <cdr:y>0.89655</cdr:y>
    </cdr:to>
    <cdr:sp macro="" textlink="">
      <cdr:nvSpPr>
        <cdr:cNvPr id="4" name="TextBox 3"/>
        <cdr:cNvSpPr txBox="1"/>
      </cdr:nvSpPr>
      <cdr:spPr>
        <a:xfrm xmlns:a="http://schemas.openxmlformats.org/drawingml/2006/main">
          <a:off x="851727" y="2943247"/>
          <a:ext cx="1639025" cy="2249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  J   F M A  M J </a:t>
          </a:r>
          <a:r>
            <a:rPr lang="en-US" sz="900" baseline="0"/>
            <a:t> </a:t>
          </a:r>
          <a:r>
            <a:rPr lang="en-US" sz="900"/>
            <a:t> J  A  S  O N D</a:t>
          </a:r>
        </a:p>
      </cdr:txBody>
    </cdr:sp>
  </cdr:relSizeAnchor>
  <cdr:relSizeAnchor xmlns:cdr="http://schemas.openxmlformats.org/drawingml/2006/chartDrawing">
    <cdr:from>
      <cdr:x>0.47917</cdr:x>
      <cdr:y>0.07471</cdr:y>
    </cdr:from>
    <cdr:to>
      <cdr:x>0.6704</cdr:x>
      <cdr:y>0.24122</cdr:y>
    </cdr:to>
    <cdr:sp macro="" textlink="">
      <cdr:nvSpPr>
        <cdr:cNvPr id="7" name="TextBox 1"/>
        <cdr:cNvSpPr txBox="1"/>
      </cdr:nvSpPr>
      <cdr:spPr>
        <a:xfrm xmlns:a="http://schemas.openxmlformats.org/drawingml/2006/main">
          <a:off x="2628900" y="250166"/>
          <a:ext cx="1049165" cy="55753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50"/>
            <a:t>569</a:t>
          </a:r>
          <a:r>
            <a:rPr lang="en-US" sz="1050" baseline="0"/>
            <a:t> kg/year due to Storm Transport</a:t>
          </a:r>
          <a:endParaRPr lang="en-US" sz="1050"/>
        </a:p>
      </cdr:txBody>
    </cdr:sp>
  </cdr:relSizeAnchor>
  <cdr:relSizeAnchor xmlns:cdr="http://schemas.openxmlformats.org/drawingml/2006/chartDrawing">
    <cdr:from>
      <cdr:x>0.75</cdr:x>
      <cdr:y>0.07471</cdr:y>
    </cdr:from>
    <cdr:to>
      <cdr:x>0.94123</cdr:x>
      <cdr:y>0.24122</cdr:y>
    </cdr:to>
    <cdr:sp macro="" textlink="">
      <cdr:nvSpPr>
        <cdr:cNvPr id="8" name="TextBox 1"/>
        <cdr:cNvSpPr txBox="1"/>
      </cdr:nvSpPr>
      <cdr:spPr>
        <a:xfrm xmlns:a="http://schemas.openxmlformats.org/drawingml/2006/main">
          <a:off x="4114800" y="250166"/>
          <a:ext cx="1049165" cy="5575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50"/>
            <a:t>1028</a:t>
          </a:r>
          <a:r>
            <a:rPr lang="en-US" sz="1050" baseline="0"/>
            <a:t> kg/year due to Storm Transport</a:t>
          </a:r>
          <a:endParaRPr lang="en-US" sz="1050"/>
        </a:p>
      </cdr:txBody>
    </cdr:sp>
  </cdr:relSizeAnchor>
  <cdr:relSizeAnchor xmlns:cdr="http://schemas.openxmlformats.org/drawingml/2006/chartDrawing">
    <cdr:from>
      <cdr:x>0.41667</cdr:x>
      <cdr:y>0.82571</cdr:y>
    </cdr:from>
    <cdr:to>
      <cdr:x>0.69969</cdr:x>
      <cdr:y>0.88937</cdr:y>
    </cdr:to>
    <cdr:sp macro="" textlink="">
      <cdr:nvSpPr>
        <cdr:cNvPr id="9" name="TextBox 3"/>
        <cdr:cNvSpPr txBox="1"/>
      </cdr:nvSpPr>
      <cdr:spPr>
        <a:xfrm xmlns:a="http://schemas.openxmlformats.org/drawingml/2006/main">
          <a:off x="2286000" y="2764766"/>
          <a:ext cx="1552761" cy="21315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t>  J   F M A  M J </a:t>
          </a:r>
          <a:r>
            <a:rPr lang="en-US" sz="900" baseline="0"/>
            <a:t> </a:t>
          </a:r>
          <a:r>
            <a:rPr lang="en-US" sz="900"/>
            <a:t> J  A  S O  N D</a:t>
          </a:r>
        </a:p>
      </cdr:txBody>
    </cdr:sp>
  </cdr:relSizeAnchor>
  <cdr:relSizeAnchor xmlns:cdr="http://schemas.openxmlformats.org/drawingml/2006/chartDrawing">
    <cdr:from>
      <cdr:x>0.6875</cdr:x>
      <cdr:y>0.82571</cdr:y>
    </cdr:from>
    <cdr:to>
      <cdr:x>0.97052</cdr:x>
      <cdr:y>0.88937</cdr:y>
    </cdr:to>
    <cdr:sp macro="" textlink="">
      <cdr:nvSpPr>
        <cdr:cNvPr id="10" name="TextBox 3"/>
        <cdr:cNvSpPr txBox="1"/>
      </cdr:nvSpPr>
      <cdr:spPr>
        <a:xfrm xmlns:a="http://schemas.openxmlformats.org/drawingml/2006/main">
          <a:off x="3771900" y="2764766"/>
          <a:ext cx="1552761" cy="21315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t>  J  F M A  M J </a:t>
          </a:r>
          <a:r>
            <a:rPr lang="en-US" sz="900" baseline="0"/>
            <a:t> </a:t>
          </a:r>
          <a:r>
            <a:rPr lang="en-US" sz="900"/>
            <a:t> J  A  S O  N D</a:t>
          </a:r>
        </a:p>
      </cdr:txBody>
    </cdr:sp>
  </cdr:relSizeAnchor>
</c:userShapes>
</file>

<file path=word/drawings/drawing9.xml><?xml version="1.0" encoding="utf-8"?>
<c:userShapes xmlns:c="http://schemas.openxmlformats.org/drawingml/2006/chart">
  <cdr:relSizeAnchor xmlns:cdr="http://schemas.openxmlformats.org/drawingml/2006/chartDrawing">
    <cdr:from>
      <cdr:x>0.20782</cdr:x>
      <cdr:y>0.03967</cdr:y>
    </cdr:from>
    <cdr:to>
      <cdr:x>0.39532</cdr:x>
      <cdr:y>0.25053</cdr:y>
    </cdr:to>
    <cdr:sp macro="" textlink="">
      <cdr:nvSpPr>
        <cdr:cNvPr id="2" name="TextBox 1"/>
        <cdr:cNvSpPr txBox="1"/>
      </cdr:nvSpPr>
      <cdr:spPr>
        <a:xfrm xmlns:a="http://schemas.openxmlformats.org/drawingml/2006/main">
          <a:off x="1140195" y="129026"/>
          <a:ext cx="1028700" cy="685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050"/>
            <a:t>119</a:t>
          </a:r>
          <a:r>
            <a:rPr lang="en-US" sz="1050" baseline="0"/>
            <a:t> kg/year due to Storm Transport</a:t>
          </a:r>
          <a:endParaRPr lang="en-US" sz="1050"/>
        </a:p>
      </cdr:txBody>
    </cdr:sp>
  </cdr:relSizeAnchor>
  <cdr:relSizeAnchor xmlns:cdr="http://schemas.openxmlformats.org/drawingml/2006/chartDrawing">
    <cdr:from>
      <cdr:x>0.14532</cdr:x>
      <cdr:y>0.84795</cdr:y>
    </cdr:from>
    <cdr:to>
      <cdr:x>0.42834</cdr:x>
      <cdr:y>0.91349</cdr:y>
    </cdr:to>
    <cdr:sp macro="" textlink="">
      <cdr:nvSpPr>
        <cdr:cNvPr id="7" name="TextBox 3"/>
        <cdr:cNvSpPr txBox="1"/>
      </cdr:nvSpPr>
      <cdr:spPr>
        <a:xfrm xmlns:a="http://schemas.openxmlformats.org/drawingml/2006/main">
          <a:off x="797295" y="2757926"/>
          <a:ext cx="1552761" cy="21315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t>    J   F M A  M J </a:t>
          </a:r>
          <a:r>
            <a:rPr lang="en-US" sz="900" baseline="0"/>
            <a:t> </a:t>
          </a:r>
          <a:r>
            <a:rPr lang="en-US" sz="900"/>
            <a:t> J  A  S  O N D</a:t>
          </a:r>
        </a:p>
      </cdr:txBody>
    </cdr:sp>
  </cdr:relSizeAnchor>
  <cdr:relSizeAnchor xmlns:cdr="http://schemas.openxmlformats.org/drawingml/2006/chartDrawing">
    <cdr:from>
      <cdr:x>0.68699</cdr:x>
      <cdr:y>0.84795</cdr:y>
    </cdr:from>
    <cdr:to>
      <cdr:x>0.97001</cdr:x>
      <cdr:y>0.91349</cdr:y>
    </cdr:to>
    <cdr:sp macro="" textlink="">
      <cdr:nvSpPr>
        <cdr:cNvPr id="9" name="TextBox 3"/>
        <cdr:cNvSpPr txBox="1"/>
      </cdr:nvSpPr>
      <cdr:spPr>
        <a:xfrm xmlns:a="http://schemas.openxmlformats.org/drawingml/2006/main">
          <a:off x="3769095" y="2757926"/>
          <a:ext cx="1552761" cy="21315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t>    J   F M A  M J </a:t>
          </a:r>
          <a:r>
            <a:rPr lang="en-US" sz="900" baseline="0"/>
            <a:t> </a:t>
          </a:r>
          <a:r>
            <a:rPr lang="en-US" sz="900"/>
            <a:t> J  A  S  O N D</a:t>
          </a:r>
        </a:p>
      </cdr:txBody>
    </cdr:sp>
  </cdr:relSizeAnchor>
  <cdr:relSizeAnchor xmlns:cdr="http://schemas.openxmlformats.org/drawingml/2006/chartDrawing">
    <cdr:from>
      <cdr:x>0.41616</cdr:x>
      <cdr:y>0.84795</cdr:y>
    </cdr:from>
    <cdr:to>
      <cdr:x>0.69918</cdr:x>
      <cdr:y>0.91349</cdr:y>
    </cdr:to>
    <cdr:sp macro="" textlink="">
      <cdr:nvSpPr>
        <cdr:cNvPr id="10" name="TextBox 3"/>
        <cdr:cNvSpPr txBox="1"/>
      </cdr:nvSpPr>
      <cdr:spPr>
        <a:xfrm xmlns:a="http://schemas.openxmlformats.org/drawingml/2006/main">
          <a:off x="2283195" y="2757926"/>
          <a:ext cx="1552761" cy="21315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t>    J   F M A  M J </a:t>
          </a:r>
          <a:r>
            <a:rPr lang="en-US" sz="900" baseline="0"/>
            <a:t> </a:t>
          </a:r>
          <a:r>
            <a:rPr lang="en-US" sz="900"/>
            <a:t> J  A  S  O N D</a:t>
          </a:r>
        </a:p>
      </cdr:txBody>
    </cdr:sp>
  </cdr:relSizeAnchor>
  <cdr:relSizeAnchor xmlns:cdr="http://schemas.openxmlformats.org/drawingml/2006/chartDrawing">
    <cdr:from>
      <cdr:x>0.45782</cdr:x>
      <cdr:y>0.03967</cdr:y>
    </cdr:from>
    <cdr:to>
      <cdr:x>0.62449</cdr:x>
      <cdr:y>0.25053</cdr:y>
    </cdr:to>
    <cdr:sp macro="" textlink="">
      <cdr:nvSpPr>
        <cdr:cNvPr id="11" name="TextBox 1"/>
        <cdr:cNvSpPr txBox="1"/>
      </cdr:nvSpPr>
      <cdr:spPr>
        <a:xfrm xmlns:a="http://schemas.openxmlformats.org/drawingml/2006/main">
          <a:off x="2511795" y="129026"/>
          <a:ext cx="914400" cy="6858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50"/>
            <a:t>81</a:t>
          </a:r>
          <a:r>
            <a:rPr lang="en-US" sz="1050" baseline="0"/>
            <a:t> kg/year due to Storm Transport</a:t>
          </a:r>
          <a:endParaRPr lang="en-US" sz="1050"/>
        </a:p>
      </cdr:txBody>
    </cdr:sp>
  </cdr:relSizeAnchor>
  <cdr:relSizeAnchor xmlns:cdr="http://schemas.openxmlformats.org/drawingml/2006/chartDrawing">
    <cdr:from>
      <cdr:x>0.74949</cdr:x>
      <cdr:y>0.03967</cdr:y>
    </cdr:from>
    <cdr:to>
      <cdr:x>0.93699</cdr:x>
      <cdr:y>0.25053</cdr:y>
    </cdr:to>
    <cdr:sp macro="" textlink="">
      <cdr:nvSpPr>
        <cdr:cNvPr id="12" name="TextBox 1"/>
        <cdr:cNvSpPr txBox="1"/>
      </cdr:nvSpPr>
      <cdr:spPr>
        <a:xfrm xmlns:a="http://schemas.openxmlformats.org/drawingml/2006/main">
          <a:off x="4111995" y="129026"/>
          <a:ext cx="1028700" cy="6858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50"/>
            <a:t>156</a:t>
          </a:r>
          <a:r>
            <a:rPr lang="en-US" sz="1050" baseline="0"/>
            <a:t> kg/year due to Storm Transport</a:t>
          </a:r>
          <a:endParaRPr lang="en-US" sz="105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9516F-85AC-4B3E-A9A2-393AEF540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141</Pages>
  <Words>71203</Words>
  <Characters>405860</Characters>
  <Application>Microsoft Office Word</Application>
  <DocSecurity>0</DocSecurity>
  <Lines>3382</Lines>
  <Paragraphs>952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Oxenford</dc:creator>
  <cp:keywords/>
  <dc:description/>
  <cp:lastModifiedBy>libtech</cp:lastModifiedBy>
  <cp:revision>26</cp:revision>
  <cp:lastPrinted>2016-12-16T17:56:00Z</cp:lastPrinted>
  <dcterms:created xsi:type="dcterms:W3CDTF">2016-12-15T17:29:00Z</dcterms:created>
  <dcterms:modified xsi:type="dcterms:W3CDTF">2016-12-16T17:57:00Z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Unable to retrieve uuid - error: 0. Server error 'Network access is disabled.'</vt:lpwstr>
  </property>
  <property fmtid="{D5CDD505-2E9C-101B-9397-08002B2CF9AE}" pid="4" name="Mendeley Citation Style_1">
    <vt:lpwstr>http://www.zotero.org/styles/council-of-science-editors-author-date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http://www.zotero.org/styles/council-of-science-editors-author-date</vt:lpwstr>
  </property>
  <property fmtid="{D5CDD505-2E9C-101B-9397-08002B2CF9AE}" pid="16" name="Mendeley Recent Style Name 5_1">
    <vt:lpwstr>Council of Science Editors, Name-Year (author-date)</vt:lpwstr>
  </property>
  <property fmtid="{D5CDD505-2E9C-101B-9397-08002B2CF9AE}" pid="17" name="Mendeley Recent Style Id 6_1">
    <vt:lpwstr>http://www.zotero.org/styles/ecological-engineering</vt:lpwstr>
  </property>
  <property fmtid="{D5CDD505-2E9C-101B-9397-08002B2CF9AE}" pid="18" name="Mendeley Recent Style Name 6_1">
    <vt:lpwstr>Ecological Engineering</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