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A52C2B" w14:textId="77777777" w:rsidR="00F71A79" w:rsidRDefault="00F71A79" w:rsidP="00F71A79">
      <w:pPr>
        <w:spacing w:line="480" w:lineRule="auto"/>
        <w:jc w:val="center"/>
      </w:pPr>
    </w:p>
    <w:p w14:paraId="0D9C62F6" w14:textId="77777777" w:rsidR="00F71A79" w:rsidRDefault="00F71A79" w:rsidP="00F71A79">
      <w:pPr>
        <w:spacing w:line="480" w:lineRule="auto"/>
        <w:jc w:val="center"/>
      </w:pPr>
      <w:r>
        <w:t>UNIVERSITY OF OKLAHOMA</w:t>
      </w:r>
    </w:p>
    <w:p w14:paraId="438D3C14" w14:textId="77777777" w:rsidR="00F71A79" w:rsidRDefault="00F71A79" w:rsidP="00F71A79">
      <w:pPr>
        <w:spacing w:line="480" w:lineRule="auto"/>
        <w:jc w:val="center"/>
      </w:pPr>
      <w:r>
        <w:t>GRADUATE COLLEGE</w:t>
      </w:r>
    </w:p>
    <w:p w14:paraId="1C469466" w14:textId="77777777" w:rsidR="00F71A79" w:rsidRDefault="00F71A79" w:rsidP="00F71A79">
      <w:pPr>
        <w:spacing w:line="480" w:lineRule="auto"/>
        <w:jc w:val="center"/>
      </w:pPr>
    </w:p>
    <w:p w14:paraId="5AB7CB52" w14:textId="77777777" w:rsidR="00F71A79" w:rsidRDefault="00F71A79" w:rsidP="00F71A79">
      <w:pPr>
        <w:spacing w:line="480" w:lineRule="auto"/>
        <w:jc w:val="center"/>
      </w:pPr>
    </w:p>
    <w:p w14:paraId="57FFE074" w14:textId="77777777" w:rsidR="00F71A79" w:rsidRDefault="00F71A79" w:rsidP="00F71A79">
      <w:pPr>
        <w:spacing w:line="480" w:lineRule="auto"/>
        <w:jc w:val="center"/>
      </w:pPr>
    </w:p>
    <w:p w14:paraId="0E52AFEA" w14:textId="77777777" w:rsidR="00F71A79" w:rsidRDefault="00F71A79" w:rsidP="00F71A79">
      <w:pPr>
        <w:spacing w:line="480" w:lineRule="auto"/>
        <w:jc w:val="center"/>
      </w:pPr>
    </w:p>
    <w:p w14:paraId="60822C6E" w14:textId="77777777" w:rsidR="00D85605" w:rsidRDefault="00EC7385" w:rsidP="00F71A79">
      <w:pPr>
        <w:spacing w:line="480" w:lineRule="auto"/>
        <w:jc w:val="center"/>
      </w:pPr>
      <w:r>
        <w:t xml:space="preserve">COPING WITH DISCRIMINATORY STRESS: </w:t>
      </w:r>
    </w:p>
    <w:p w14:paraId="15335B75" w14:textId="0A696884" w:rsidR="00F71A79" w:rsidRDefault="00EC7385" w:rsidP="00F71A79">
      <w:pPr>
        <w:spacing w:line="480" w:lineRule="auto"/>
        <w:jc w:val="center"/>
      </w:pPr>
      <w:r>
        <w:t xml:space="preserve">OVEREATING AMONG </w:t>
      </w:r>
      <w:r w:rsidR="00D722AF">
        <w:t>RACIAL/ETHNIC</w:t>
      </w:r>
      <w:r>
        <w:t xml:space="preserve"> MINORITIES</w:t>
      </w:r>
    </w:p>
    <w:p w14:paraId="6E485ADD" w14:textId="77777777" w:rsidR="00F71A79" w:rsidRDefault="00F71A79" w:rsidP="00F71A79">
      <w:pPr>
        <w:spacing w:line="480" w:lineRule="auto"/>
        <w:jc w:val="center"/>
      </w:pPr>
    </w:p>
    <w:p w14:paraId="68D2B570" w14:textId="77777777" w:rsidR="00F71A79" w:rsidRDefault="00F71A79" w:rsidP="00F71A79">
      <w:pPr>
        <w:spacing w:line="480" w:lineRule="auto"/>
        <w:jc w:val="center"/>
      </w:pPr>
    </w:p>
    <w:p w14:paraId="4443F53B" w14:textId="77777777" w:rsidR="00F71A79" w:rsidRDefault="00F71A79" w:rsidP="00F71A79">
      <w:pPr>
        <w:spacing w:line="480" w:lineRule="auto"/>
        <w:jc w:val="center"/>
      </w:pPr>
    </w:p>
    <w:p w14:paraId="7E23B0C5" w14:textId="77777777" w:rsidR="00F71A79" w:rsidRDefault="00F71A79" w:rsidP="00F71A79">
      <w:pPr>
        <w:spacing w:line="480" w:lineRule="auto"/>
        <w:jc w:val="center"/>
      </w:pPr>
      <w:r>
        <w:t>A THESIS</w:t>
      </w:r>
    </w:p>
    <w:p w14:paraId="3A417BB0" w14:textId="77777777" w:rsidR="00F71A79" w:rsidRDefault="00F71A79" w:rsidP="00F71A79">
      <w:pPr>
        <w:spacing w:line="480" w:lineRule="auto"/>
        <w:jc w:val="center"/>
      </w:pPr>
      <w:r>
        <w:t>SUBMITTED TO THE GRADUATE FACULTY</w:t>
      </w:r>
    </w:p>
    <w:p w14:paraId="7D32EE2B" w14:textId="77777777" w:rsidR="00F71A79" w:rsidRDefault="00F71A79" w:rsidP="00F71A79">
      <w:pPr>
        <w:spacing w:line="480" w:lineRule="auto"/>
        <w:jc w:val="center"/>
      </w:pPr>
      <w:r>
        <w:t>in partial fulfillment of the requirements for the</w:t>
      </w:r>
    </w:p>
    <w:p w14:paraId="25E7E2A8" w14:textId="77777777" w:rsidR="00F71A79" w:rsidRDefault="00F71A79" w:rsidP="00F71A79">
      <w:pPr>
        <w:spacing w:line="480" w:lineRule="auto"/>
        <w:jc w:val="center"/>
      </w:pPr>
      <w:r>
        <w:t>Degree of</w:t>
      </w:r>
    </w:p>
    <w:p w14:paraId="4BEF0466" w14:textId="0FE28CFD" w:rsidR="00F71A79" w:rsidRDefault="00F71A79" w:rsidP="00F71A79">
      <w:pPr>
        <w:spacing w:line="480" w:lineRule="auto"/>
        <w:jc w:val="center"/>
      </w:pPr>
      <w:r>
        <w:t>MASTER OF SCIENCE</w:t>
      </w:r>
    </w:p>
    <w:p w14:paraId="2B888DD4" w14:textId="196EE6EC" w:rsidR="00F71A79" w:rsidRDefault="00F71A79" w:rsidP="00F71A79">
      <w:pPr>
        <w:spacing w:line="480" w:lineRule="auto"/>
        <w:jc w:val="center"/>
      </w:pPr>
    </w:p>
    <w:p w14:paraId="4E9D9AF0" w14:textId="77777777" w:rsidR="00282F2B" w:rsidRDefault="00282F2B" w:rsidP="00F71A79">
      <w:pPr>
        <w:spacing w:line="480" w:lineRule="auto"/>
        <w:jc w:val="center"/>
      </w:pPr>
    </w:p>
    <w:p w14:paraId="71682D89" w14:textId="3839B8AF" w:rsidR="00F71A79" w:rsidRDefault="00F71A79" w:rsidP="00F71A79">
      <w:pPr>
        <w:spacing w:line="480" w:lineRule="auto"/>
        <w:jc w:val="center"/>
      </w:pPr>
    </w:p>
    <w:p w14:paraId="44A7D702" w14:textId="77777777" w:rsidR="00F71A79" w:rsidRDefault="00F71A79" w:rsidP="00F71A79">
      <w:pPr>
        <w:spacing w:line="480" w:lineRule="auto"/>
        <w:jc w:val="center"/>
      </w:pPr>
      <w:r>
        <w:t>By</w:t>
      </w:r>
    </w:p>
    <w:p w14:paraId="75F0337A" w14:textId="77777777" w:rsidR="00F71A79" w:rsidRDefault="00F71A79" w:rsidP="00F71A79">
      <w:pPr>
        <w:jc w:val="center"/>
      </w:pPr>
      <w:r>
        <w:t>CALLIE DUNKERSON</w:t>
      </w:r>
    </w:p>
    <w:p w14:paraId="1AF3C1AA" w14:textId="77777777" w:rsidR="00F71A79" w:rsidRDefault="00F71A79" w:rsidP="00F71A79">
      <w:pPr>
        <w:jc w:val="center"/>
      </w:pPr>
      <w:r>
        <w:t>Norman, Oklahoma</w:t>
      </w:r>
    </w:p>
    <w:p w14:paraId="1459516E" w14:textId="77777777" w:rsidR="00F71A79" w:rsidRDefault="00F71A79" w:rsidP="00F71A79">
      <w:pPr>
        <w:jc w:val="center"/>
      </w:pPr>
      <w:r>
        <w:t>2021</w:t>
      </w:r>
    </w:p>
    <w:p w14:paraId="4195A50E" w14:textId="77777777" w:rsidR="00F71A79" w:rsidRDefault="00F71A79" w:rsidP="00F71A79">
      <w:pPr>
        <w:jc w:val="center"/>
      </w:pPr>
    </w:p>
    <w:p w14:paraId="24E9D77D" w14:textId="77777777" w:rsidR="00F71A79" w:rsidRDefault="00F71A79" w:rsidP="00F71A79">
      <w:pPr>
        <w:spacing w:line="480" w:lineRule="auto"/>
        <w:jc w:val="center"/>
      </w:pPr>
    </w:p>
    <w:p w14:paraId="332559FA" w14:textId="3B3C3A55" w:rsidR="00D85605" w:rsidRDefault="00EC7385" w:rsidP="00EC7385">
      <w:pPr>
        <w:spacing w:line="480" w:lineRule="auto"/>
        <w:jc w:val="center"/>
      </w:pPr>
      <w:r>
        <w:t>COPING WITH DISCRIMINATORY STRESS:</w:t>
      </w:r>
      <w:r w:rsidR="005F1C1C">
        <w:t xml:space="preserve"> </w:t>
      </w:r>
    </w:p>
    <w:p w14:paraId="48AA8E32" w14:textId="61A7C2BF" w:rsidR="00EC7385" w:rsidRDefault="00EC7385" w:rsidP="00EC7385">
      <w:pPr>
        <w:spacing w:line="480" w:lineRule="auto"/>
        <w:jc w:val="center"/>
      </w:pPr>
      <w:r>
        <w:t xml:space="preserve">OVEREATING AMONG </w:t>
      </w:r>
      <w:r w:rsidR="00D722AF">
        <w:t>RACIAL/ETHNIC</w:t>
      </w:r>
      <w:r>
        <w:t xml:space="preserve"> MINORITIES</w:t>
      </w:r>
    </w:p>
    <w:p w14:paraId="2BE8D11B" w14:textId="77777777" w:rsidR="00F71A79" w:rsidRDefault="00F71A79" w:rsidP="00F71A79">
      <w:pPr>
        <w:spacing w:line="480" w:lineRule="auto"/>
        <w:jc w:val="center"/>
      </w:pPr>
    </w:p>
    <w:p w14:paraId="1DAAD592" w14:textId="77777777" w:rsidR="00F71A79" w:rsidRDefault="00F71A79" w:rsidP="00F71A79">
      <w:pPr>
        <w:jc w:val="center"/>
      </w:pPr>
      <w:r>
        <w:t>A THESIS APPROVED FOR THE</w:t>
      </w:r>
    </w:p>
    <w:p w14:paraId="3DD016EF" w14:textId="03433761" w:rsidR="00F71A79" w:rsidRDefault="00457754" w:rsidP="00F71A79">
      <w:pPr>
        <w:jc w:val="center"/>
      </w:pPr>
      <w:r>
        <w:t xml:space="preserve">DEPARTMENT OF </w:t>
      </w:r>
      <w:r w:rsidR="00F71A79">
        <w:t xml:space="preserve">HEALTH </w:t>
      </w:r>
      <w:r w:rsidR="003E0A38">
        <w:t>AND</w:t>
      </w:r>
      <w:r w:rsidR="00F71A79">
        <w:t xml:space="preserve"> EXERCISE SCIENCE</w:t>
      </w:r>
    </w:p>
    <w:p w14:paraId="730CA0F1" w14:textId="77777777" w:rsidR="00F71A79" w:rsidRDefault="00F71A79" w:rsidP="00F71A79">
      <w:pPr>
        <w:spacing w:line="480" w:lineRule="auto"/>
        <w:jc w:val="center"/>
      </w:pPr>
    </w:p>
    <w:p w14:paraId="468740C0" w14:textId="77777777" w:rsidR="00F71A79" w:rsidRDefault="00F71A79" w:rsidP="00F71A79">
      <w:pPr>
        <w:spacing w:line="480" w:lineRule="auto"/>
        <w:jc w:val="center"/>
      </w:pPr>
    </w:p>
    <w:p w14:paraId="4DCBE1B0" w14:textId="77777777" w:rsidR="00F71A79" w:rsidRDefault="00F71A79" w:rsidP="00F71A79">
      <w:pPr>
        <w:spacing w:line="480" w:lineRule="auto"/>
        <w:jc w:val="center"/>
      </w:pPr>
    </w:p>
    <w:p w14:paraId="219DF1E9" w14:textId="77777777" w:rsidR="00F71A79" w:rsidRDefault="00F71A79" w:rsidP="00F71A79">
      <w:pPr>
        <w:spacing w:line="480" w:lineRule="auto"/>
        <w:jc w:val="center"/>
      </w:pPr>
    </w:p>
    <w:p w14:paraId="43562A5F" w14:textId="77777777" w:rsidR="00F71A79" w:rsidRDefault="00F71A79" w:rsidP="00F71A79">
      <w:pPr>
        <w:spacing w:line="480" w:lineRule="auto"/>
        <w:jc w:val="center"/>
      </w:pPr>
    </w:p>
    <w:p w14:paraId="5BA4573A" w14:textId="77777777" w:rsidR="00F71A79" w:rsidRDefault="00F71A79" w:rsidP="00F71A79">
      <w:pPr>
        <w:spacing w:line="480" w:lineRule="auto"/>
        <w:jc w:val="center"/>
      </w:pPr>
    </w:p>
    <w:p w14:paraId="561E292D" w14:textId="77777777" w:rsidR="00F71A79" w:rsidRDefault="00F71A79" w:rsidP="00F71A79">
      <w:pPr>
        <w:spacing w:line="480" w:lineRule="auto"/>
        <w:jc w:val="center"/>
      </w:pPr>
    </w:p>
    <w:p w14:paraId="5E1E9251" w14:textId="79F297AF" w:rsidR="00F71A79" w:rsidRDefault="00F71A79" w:rsidP="00F71A79">
      <w:pPr>
        <w:spacing w:line="480" w:lineRule="auto"/>
        <w:jc w:val="center"/>
      </w:pPr>
      <w:r>
        <w:t>BY</w:t>
      </w:r>
      <w:r w:rsidR="00D85605">
        <w:t xml:space="preserve"> THE COMMITTEE CONSISTING OF</w:t>
      </w:r>
    </w:p>
    <w:p w14:paraId="55E007A3" w14:textId="0F4DD3AA" w:rsidR="00F71A79" w:rsidRDefault="00F71A79" w:rsidP="00F71A79">
      <w:pPr>
        <w:spacing w:line="480" w:lineRule="auto"/>
        <w:jc w:val="center"/>
      </w:pPr>
    </w:p>
    <w:p w14:paraId="37BDD881" w14:textId="0927AC1A" w:rsidR="00282F2B" w:rsidRDefault="00282F2B" w:rsidP="00F71A79">
      <w:pPr>
        <w:spacing w:line="480" w:lineRule="auto"/>
        <w:jc w:val="center"/>
      </w:pPr>
    </w:p>
    <w:p w14:paraId="52020FC0" w14:textId="77777777" w:rsidR="00282F2B" w:rsidRDefault="00282F2B" w:rsidP="00F71A79">
      <w:pPr>
        <w:spacing w:line="480" w:lineRule="auto"/>
        <w:jc w:val="center"/>
      </w:pPr>
    </w:p>
    <w:p w14:paraId="0E91ECBB" w14:textId="77777777" w:rsidR="00F71A79" w:rsidRDefault="00F71A79" w:rsidP="00F71A79">
      <w:pPr>
        <w:spacing w:line="480" w:lineRule="auto"/>
        <w:jc w:val="center"/>
      </w:pPr>
    </w:p>
    <w:p w14:paraId="014FED7E" w14:textId="4138224D" w:rsidR="00F71A79" w:rsidRDefault="00FC71E0" w:rsidP="00F71A79">
      <w:pPr>
        <w:spacing w:line="480" w:lineRule="auto"/>
        <w:jc w:val="right"/>
      </w:pPr>
      <w:r>
        <w:tab/>
      </w:r>
      <w:r>
        <w:tab/>
      </w:r>
      <w:r>
        <w:tab/>
      </w:r>
      <w:r>
        <w:t>Dr. Lois Coleman, Co-</w:t>
      </w:r>
      <w:r w:rsidRPr="00E56734">
        <w:t>Chair</w:t>
      </w:r>
    </w:p>
    <w:p w14:paraId="0DB4BD4E" w14:textId="3AE0A251" w:rsidR="00F71A79" w:rsidRDefault="00FC71E0" w:rsidP="00F71A79">
      <w:pPr>
        <w:spacing w:line="480" w:lineRule="auto"/>
        <w:jc w:val="right"/>
      </w:pPr>
      <w:r>
        <w:t>Dr. Marshall Cheney, Co-Chair</w:t>
      </w:r>
    </w:p>
    <w:p w14:paraId="56BFE008" w14:textId="7F46264C" w:rsidR="00FC71E0" w:rsidRDefault="00FC71E0" w:rsidP="00F71A79">
      <w:pPr>
        <w:spacing w:line="480" w:lineRule="auto"/>
        <w:jc w:val="right"/>
      </w:pPr>
      <w:r>
        <w:t>Dr. Yu Lu</w:t>
      </w:r>
    </w:p>
    <w:p w14:paraId="69CF1354" w14:textId="77777777" w:rsidR="00F71A79" w:rsidRDefault="00F71A79" w:rsidP="00F71A79">
      <w:pPr>
        <w:jc w:val="center"/>
      </w:pPr>
    </w:p>
    <w:p w14:paraId="48256DFC" w14:textId="77777777" w:rsidR="00F71A79" w:rsidRDefault="00F71A79" w:rsidP="00F71A79">
      <w:pPr>
        <w:jc w:val="center"/>
      </w:pPr>
    </w:p>
    <w:p w14:paraId="5EF928AC" w14:textId="77777777" w:rsidR="00F71A79" w:rsidRDefault="00F71A79" w:rsidP="00F71A79">
      <w:pPr>
        <w:jc w:val="center"/>
      </w:pPr>
    </w:p>
    <w:p w14:paraId="179A3D4E" w14:textId="77777777" w:rsidR="00F71A79" w:rsidRDefault="00F71A79" w:rsidP="00F71A79">
      <w:pPr>
        <w:jc w:val="center"/>
      </w:pPr>
    </w:p>
    <w:p w14:paraId="132EA59E" w14:textId="77777777" w:rsidR="00F71A79" w:rsidRDefault="00F71A79" w:rsidP="00F71A79">
      <w:pPr>
        <w:jc w:val="center"/>
      </w:pPr>
    </w:p>
    <w:p w14:paraId="7F944E6D" w14:textId="77777777" w:rsidR="00F71A79" w:rsidRDefault="00F71A79" w:rsidP="00F71A79">
      <w:pPr>
        <w:jc w:val="center"/>
      </w:pPr>
    </w:p>
    <w:p w14:paraId="4ED10E22" w14:textId="77777777" w:rsidR="00BB2191" w:rsidRDefault="00BB2191" w:rsidP="00F71A79">
      <w:pPr>
        <w:jc w:val="center"/>
        <w:sectPr w:rsidR="00BB2191" w:rsidSect="00E3214E">
          <w:footerReference w:type="even" r:id="rId8"/>
          <w:pgSz w:w="12240" w:h="15840"/>
          <w:pgMar w:top="1440" w:right="1440" w:bottom="1440" w:left="1440" w:header="720" w:footer="720" w:gutter="0"/>
          <w:cols w:space="720"/>
          <w:docGrid w:linePitch="360"/>
        </w:sectPr>
      </w:pPr>
    </w:p>
    <w:p w14:paraId="779195FE" w14:textId="02D56003" w:rsidR="00F71A79" w:rsidRDefault="00F71A79" w:rsidP="00F71A79">
      <w:pPr>
        <w:jc w:val="center"/>
      </w:pPr>
    </w:p>
    <w:p w14:paraId="27342EC8" w14:textId="77777777" w:rsidR="00F71A79" w:rsidRDefault="00F71A79" w:rsidP="00F71A79">
      <w:pPr>
        <w:jc w:val="center"/>
      </w:pPr>
    </w:p>
    <w:p w14:paraId="17F36BBA" w14:textId="77777777" w:rsidR="00F71A79" w:rsidRDefault="00F71A79" w:rsidP="00F71A79">
      <w:pPr>
        <w:jc w:val="center"/>
      </w:pPr>
    </w:p>
    <w:p w14:paraId="70787378" w14:textId="77777777" w:rsidR="00F71A79" w:rsidRDefault="00F71A79" w:rsidP="00F71A79">
      <w:pPr>
        <w:pStyle w:val="NormalWeb"/>
        <w:jc w:val="center"/>
      </w:pPr>
    </w:p>
    <w:p w14:paraId="57F2A593" w14:textId="77777777" w:rsidR="00F71A79" w:rsidRDefault="00F71A79" w:rsidP="00F71A79">
      <w:pPr>
        <w:pStyle w:val="NormalWeb"/>
        <w:jc w:val="center"/>
      </w:pPr>
    </w:p>
    <w:p w14:paraId="12C6D04C" w14:textId="77777777" w:rsidR="00F71A79" w:rsidRDefault="00F71A79" w:rsidP="00F71A79">
      <w:pPr>
        <w:pStyle w:val="NormalWeb"/>
        <w:jc w:val="center"/>
      </w:pPr>
    </w:p>
    <w:p w14:paraId="7031A98E" w14:textId="77777777" w:rsidR="00F71A79" w:rsidRDefault="00F71A79" w:rsidP="00F71A79">
      <w:pPr>
        <w:pStyle w:val="NormalWeb"/>
        <w:jc w:val="center"/>
      </w:pPr>
    </w:p>
    <w:p w14:paraId="3C42A466" w14:textId="77777777" w:rsidR="00F71A79" w:rsidRDefault="00F71A79" w:rsidP="00F71A79">
      <w:pPr>
        <w:pStyle w:val="NormalWeb"/>
        <w:jc w:val="center"/>
      </w:pPr>
    </w:p>
    <w:p w14:paraId="63A9A19D" w14:textId="77777777" w:rsidR="00F71A79" w:rsidRDefault="00F71A79" w:rsidP="00F71A79">
      <w:pPr>
        <w:pStyle w:val="NormalWeb"/>
        <w:jc w:val="center"/>
      </w:pPr>
    </w:p>
    <w:p w14:paraId="7DA9E597" w14:textId="77777777" w:rsidR="00F71A79" w:rsidRDefault="00F71A79" w:rsidP="00F71A79">
      <w:pPr>
        <w:pStyle w:val="NormalWeb"/>
        <w:jc w:val="center"/>
      </w:pPr>
    </w:p>
    <w:p w14:paraId="79D9BEB9" w14:textId="77777777" w:rsidR="00F71A79" w:rsidRDefault="00F71A79" w:rsidP="00F71A79">
      <w:pPr>
        <w:pStyle w:val="NormalWeb"/>
        <w:jc w:val="center"/>
      </w:pPr>
    </w:p>
    <w:p w14:paraId="3176BC90" w14:textId="77777777" w:rsidR="00F71A79" w:rsidRDefault="00F71A79" w:rsidP="00F71A79">
      <w:pPr>
        <w:pStyle w:val="NormalWeb"/>
        <w:jc w:val="center"/>
      </w:pPr>
    </w:p>
    <w:p w14:paraId="332CB5CF" w14:textId="77777777" w:rsidR="00F71A79" w:rsidRDefault="00F71A79" w:rsidP="00F71A79">
      <w:pPr>
        <w:pStyle w:val="NormalWeb"/>
        <w:jc w:val="center"/>
      </w:pPr>
    </w:p>
    <w:p w14:paraId="55478357" w14:textId="77777777" w:rsidR="00F71A79" w:rsidRDefault="00F71A79" w:rsidP="00F71A79">
      <w:pPr>
        <w:pStyle w:val="NormalWeb"/>
        <w:jc w:val="center"/>
      </w:pPr>
    </w:p>
    <w:p w14:paraId="338682D6" w14:textId="77777777" w:rsidR="00F71A79" w:rsidRDefault="00F71A79" w:rsidP="00F71A79">
      <w:pPr>
        <w:pStyle w:val="NormalWeb"/>
        <w:jc w:val="center"/>
      </w:pPr>
    </w:p>
    <w:p w14:paraId="4A562A9A" w14:textId="77777777" w:rsidR="00F71A79" w:rsidRDefault="00F71A79" w:rsidP="00F71A79">
      <w:pPr>
        <w:pStyle w:val="NormalWeb"/>
        <w:jc w:val="center"/>
      </w:pPr>
    </w:p>
    <w:p w14:paraId="66AD2E22" w14:textId="77777777" w:rsidR="00F71A79" w:rsidRDefault="00F71A79" w:rsidP="00F71A79">
      <w:pPr>
        <w:pStyle w:val="NormalWeb"/>
        <w:jc w:val="center"/>
      </w:pPr>
    </w:p>
    <w:p w14:paraId="1CCFC68A" w14:textId="77777777" w:rsidR="00F71A79" w:rsidRDefault="00F71A79" w:rsidP="00F71A79">
      <w:pPr>
        <w:pStyle w:val="NormalWeb"/>
        <w:jc w:val="center"/>
      </w:pPr>
    </w:p>
    <w:p w14:paraId="6A005D18" w14:textId="77777777" w:rsidR="00F71A79" w:rsidRDefault="00F71A79" w:rsidP="00F71A79">
      <w:pPr>
        <w:pStyle w:val="NormalWeb"/>
        <w:jc w:val="center"/>
      </w:pPr>
    </w:p>
    <w:p w14:paraId="2B004E11" w14:textId="77777777" w:rsidR="00F71A79" w:rsidRDefault="00F71A79" w:rsidP="00F71A79">
      <w:pPr>
        <w:pStyle w:val="NormalWeb"/>
        <w:jc w:val="center"/>
      </w:pPr>
    </w:p>
    <w:p w14:paraId="45BFAEAD" w14:textId="77777777" w:rsidR="00F71A79" w:rsidRDefault="00F71A79" w:rsidP="00F71A79">
      <w:pPr>
        <w:pStyle w:val="NormalWeb"/>
        <w:jc w:val="center"/>
      </w:pPr>
    </w:p>
    <w:p w14:paraId="659D0E25" w14:textId="77777777" w:rsidR="00F71A79" w:rsidRDefault="00F71A79" w:rsidP="00F71A79">
      <w:pPr>
        <w:pStyle w:val="NormalWeb"/>
        <w:jc w:val="center"/>
      </w:pPr>
    </w:p>
    <w:p w14:paraId="55347F7A" w14:textId="077F6328" w:rsidR="00F71A79" w:rsidRDefault="00F71A79" w:rsidP="00F71A79">
      <w:pPr>
        <w:pStyle w:val="NormalWeb"/>
        <w:jc w:val="center"/>
      </w:pPr>
    </w:p>
    <w:p w14:paraId="3D0BAE2D" w14:textId="0425DA7B" w:rsidR="00F71A79" w:rsidRDefault="00F71A79" w:rsidP="00F71A79">
      <w:pPr>
        <w:pStyle w:val="NormalWeb"/>
        <w:jc w:val="center"/>
      </w:pPr>
    </w:p>
    <w:p w14:paraId="3B3B43E7" w14:textId="6BA8B6A1" w:rsidR="00F71A79" w:rsidRDefault="00F71A79" w:rsidP="00F71A79">
      <w:pPr>
        <w:pStyle w:val="NormalWeb"/>
        <w:jc w:val="center"/>
      </w:pPr>
    </w:p>
    <w:p w14:paraId="427323CB" w14:textId="5630EC66" w:rsidR="00F71A79" w:rsidRDefault="00F71A79" w:rsidP="00F71A79">
      <w:pPr>
        <w:pStyle w:val="NormalWeb"/>
        <w:jc w:val="center"/>
      </w:pPr>
    </w:p>
    <w:p w14:paraId="2DE9F41A" w14:textId="03464445" w:rsidR="00F71A79" w:rsidRDefault="00F71A79" w:rsidP="00F71A79">
      <w:pPr>
        <w:pStyle w:val="NormalWeb"/>
        <w:jc w:val="center"/>
      </w:pPr>
    </w:p>
    <w:p w14:paraId="39B5AEBC" w14:textId="09FD2776" w:rsidR="00F71A79" w:rsidRDefault="00F71A79" w:rsidP="00F71A79">
      <w:pPr>
        <w:pStyle w:val="NormalWeb"/>
        <w:jc w:val="center"/>
      </w:pPr>
    </w:p>
    <w:p w14:paraId="4FDF9715" w14:textId="4FB3E9D4" w:rsidR="00F71A79" w:rsidRDefault="00F71A79" w:rsidP="00F71A79">
      <w:pPr>
        <w:pStyle w:val="NormalWeb"/>
        <w:jc w:val="center"/>
      </w:pPr>
    </w:p>
    <w:p w14:paraId="441E44C1" w14:textId="584078AD" w:rsidR="00F71A79" w:rsidRDefault="00F71A79" w:rsidP="00F71A79">
      <w:pPr>
        <w:pStyle w:val="NormalWeb"/>
        <w:jc w:val="center"/>
      </w:pPr>
    </w:p>
    <w:p w14:paraId="3C627983" w14:textId="28DC6950" w:rsidR="00F71A79" w:rsidRDefault="00F71A79" w:rsidP="00F71A79">
      <w:pPr>
        <w:pStyle w:val="NormalWeb"/>
        <w:jc w:val="center"/>
      </w:pPr>
    </w:p>
    <w:p w14:paraId="2AC0E9EC" w14:textId="45DABDA1" w:rsidR="00F71A79" w:rsidRDefault="00F71A79" w:rsidP="00F71A79">
      <w:pPr>
        <w:pStyle w:val="NormalWeb"/>
        <w:jc w:val="center"/>
      </w:pPr>
    </w:p>
    <w:p w14:paraId="73A99A7C" w14:textId="4C986E73" w:rsidR="00F71A79" w:rsidRDefault="00F71A79" w:rsidP="00F71A79">
      <w:pPr>
        <w:pStyle w:val="NormalWeb"/>
        <w:jc w:val="center"/>
      </w:pPr>
    </w:p>
    <w:p w14:paraId="0ED1FEBB" w14:textId="29261451" w:rsidR="00F71A79" w:rsidRDefault="00F71A79" w:rsidP="00F71A79">
      <w:pPr>
        <w:pStyle w:val="NormalWeb"/>
        <w:jc w:val="center"/>
      </w:pPr>
    </w:p>
    <w:p w14:paraId="34E62CBC" w14:textId="7D4F02CF" w:rsidR="00F71A79" w:rsidRDefault="00F71A79" w:rsidP="00F71A79">
      <w:pPr>
        <w:pStyle w:val="NormalWeb"/>
        <w:jc w:val="center"/>
      </w:pPr>
    </w:p>
    <w:p w14:paraId="5B2BA939" w14:textId="3507CA72" w:rsidR="00F71A79" w:rsidRDefault="00F71A79" w:rsidP="00F71A79">
      <w:pPr>
        <w:pStyle w:val="NormalWeb"/>
        <w:jc w:val="center"/>
      </w:pPr>
    </w:p>
    <w:p w14:paraId="06EE4FFC" w14:textId="7F7F1E7B" w:rsidR="00F71A79" w:rsidRDefault="00F71A79" w:rsidP="00F71A79">
      <w:pPr>
        <w:pStyle w:val="NormalWeb"/>
        <w:jc w:val="center"/>
      </w:pPr>
    </w:p>
    <w:p w14:paraId="4AC14DC4" w14:textId="74D1466B" w:rsidR="00F71A79" w:rsidRDefault="00F71A79" w:rsidP="00F71A79">
      <w:pPr>
        <w:pStyle w:val="NormalWeb"/>
        <w:jc w:val="center"/>
      </w:pPr>
    </w:p>
    <w:p w14:paraId="1B877E7E" w14:textId="380C78EC" w:rsidR="00F71A79" w:rsidRDefault="00F71A79" w:rsidP="00F71A79">
      <w:pPr>
        <w:pStyle w:val="NormalWeb"/>
        <w:jc w:val="center"/>
      </w:pPr>
    </w:p>
    <w:p w14:paraId="5187C4B5" w14:textId="60923ED3" w:rsidR="00F71A79" w:rsidRDefault="00F71A79" w:rsidP="00F71A79">
      <w:pPr>
        <w:pStyle w:val="NormalWeb"/>
        <w:jc w:val="center"/>
      </w:pPr>
    </w:p>
    <w:p w14:paraId="65811425" w14:textId="23EEB412" w:rsidR="00F71A79" w:rsidRDefault="00F71A79" w:rsidP="00F71A79">
      <w:pPr>
        <w:pStyle w:val="NormalWeb"/>
        <w:jc w:val="center"/>
      </w:pPr>
    </w:p>
    <w:p w14:paraId="177EEE35" w14:textId="7B852EA8" w:rsidR="00F71A79" w:rsidRDefault="00F71A79" w:rsidP="00F71A79">
      <w:pPr>
        <w:pStyle w:val="NormalWeb"/>
        <w:jc w:val="center"/>
      </w:pPr>
    </w:p>
    <w:p w14:paraId="3F5BE735" w14:textId="77777777" w:rsidR="00F71A79" w:rsidRDefault="00F71A79" w:rsidP="00F71A79">
      <w:pPr>
        <w:pStyle w:val="NormalWeb"/>
        <w:jc w:val="center"/>
      </w:pPr>
    </w:p>
    <w:p w14:paraId="53B28E5E" w14:textId="77777777" w:rsidR="003E0A38" w:rsidRDefault="00F71A79" w:rsidP="00F71A79">
      <w:pPr>
        <w:jc w:val="center"/>
      </w:pPr>
      <w:r>
        <w:t>© Copyright by CALLIE DUNKERSON 2021</w:t>
      </w:r>
      <w:r w:rsidR="005F1C1C">
        <w:t xml:space="preserve">                                      </w:t>
      </w:r>
    </w:p>
    <w:p w14:paraId="46C29FAE" w14:textId="040C9AF9" w:rsidR="00F71A79" w:rsidRDefault="00F71A79" w:rsidP="00F71A79">
      <w:pPr>
        <w:jc w:val="center"/>
      </w:pPr>
      <w:r>
        <w:t>All Rights Reserve</w:t>
      </w:r>
      <w:r w:rsidR="00F27308">
        <w:t>d</w:t>
      </w:r>
      <w:r w:rsidR="003E0A38">
        <w:t>.</w:t>
      </w:r>
    </w:p>
    <w:p w14:paraId="054E2628" w14:textId="4EBC543E" w:rsidR="00BB2191" w:rsidRPr="00345D52" w:rsidRDefault="00BB2191" w:rsidP="00345D52">
      <w:r>
        <w:br w:type="page"/>
      </w:r>
    </w:p>
    <w:p w14:paraId="0D4610BB" w14:textId="77777777" w:rsidR="00F2128A" w:rsidRDefault="00F2128A" w:rsidP="00F2128A">
      <w:pPr>
        <w:spacing w:line="480" w:lineRule="auto"/>
        <w:jc w:val="center"/>
        <w:rPr>
          <w:b/>
          <w:bCs/>
        </w:rPr>
      </w:pPr>
      <w:r>
        <w:rPr>
          <w:b/>
          <w:bCs/>
        </w:rPr>
        <w:lastRenderedPageBreak/>
        <w:t>Table of Contents</w:t>
      </w:r>
    </w:p>
    <w:p w14:paraId="53FC9459" w14:textId="77777777" w:rsidR="00F2128A" w:rsidRDefault="00F2128A" w:rsidP="00F2128A">
      <w:pPr>
        <w:spacing w:line="480" w:lineRule="auto"/>
      </w:pPr>
      <w:r>
        <w:t>Abstract…………………………………………………………………………………………...vi</w:t>
      </w:r>
    </w:p>
    <w:p w14:paraId="1BD3FFF0" w14:textId="77777777" w:rsidR="00F2128A" w:rsidRPr="00345D52" w:rsidRDefault="00F2128A" w:rsidP="00F2128A">
      <w:pPr>
        <w:spacing w:line="480" w:lineRule="auto"/>
      </w:pPr>
      <w:r>
        <w:t>List of Tables.................................................................................................................................vii</w:t>
      </w:r>
    </w:p>
    <w:p w14:paraId="2F0E595A" w14:textId="77777777" w:rsidR="00F2128A" w:rsidRDefault="00F2128A" w:rsidP="00F2128A">
      <w:pPr>
        <w:spacing w:line="480" w:lineRule="auto"/>
      </w:pPr>
      <w:r>
        <w:t>Chapter 1: Introduction……………………………………………………………………………1</w:t>
      </w:r>
    </w:p>
    <w:p w14:paraId="5486B041" w14:textId="77777777" w:rsidR="00F2128A" w:rsidRDefault="00F2128A" w:rsidP="00F2128A">
      <w:pPr>
        <w:spacing w:line="480" w:lineRule="auto"/>
      </w:pPr>
      <w:r>
        <w:tab/>
        <w:t>Background……………………………………………………………………………</w:t>
      </w:r>
      <w:proofErr w:type="gramStart"/>
      <w:r>
        <w:t>…..</w:t>
      </w:r>
      <w:proofErr w:type="gramEnd"/>
      <w:r>
        <w:t>1</w:t>
      </w:r>
    </w:p>
    <w:p w14:paraId="4E24904B" w14:textId="77777777" w:rsidR="00F2128A" w:rsidRDefault="00F2128A" w:rsidP="00F2128A">
      <w:pPr>
        <w:spacing w:line="480" w:lineRule="auto"/>
      </w:pPr>
      <w:r>
        <w:tab/>
        <w:t>Purpose of Study………………………………………………………………………</w:t>
      </w:r>
      <w:proofErr w:type="gramStart"/>
      <w:r>
        <w:t>…..</w:t>
      </w:r>
      <w:proofErr w:type="gramEnd"/>
      <w:r>
        <w:t>3</w:t>
      </w:r>
    </w:p>
    <w:p w14:paraId="6BC06F8D" w14:textId="77777777" w:rsidR="00F2128A" w:rsidRDefault="00F2128A" w:rsidP="00F2128A">
      <w:pPr>
        <w:spacing w:line="480" w:lineRule="auto"/>
      </w:pPr>
      <w:r>
        <w:tab/>
        <w:t>Research Questions……………………………………………………………………</w:t>
      </w:r>
      <w:proofErr w:type="gramStart"/>
      <w:r>
        <w:t>…..</w:t>
      </w:r>
      <w:proofErr w:type="gramEnd"/>
      <w:r>
        <w:t>5</w:t>
      </w:r>
    </w:p>
    <w:p w14:paraId="50845A0D" w14:textId="77777777" w:rsidR="00F2128A" w:rsidRDefault="00F2128A" w:rsidP="00F2128A">
      <w:pPr>
        <w:spacing w:line="480" w:lineRule="auto"/>
      </w:pPr>
      <w:r>
        <w:tab/>
        <w:t>Significance……………………………………………………………………………</w:t>
      </w:r>
      <w:proofErr w:type="gramStart"/>
      <w:r>
        <w:t>…..</w:t>
      </w:r>
      <w:proofErr w:type="gramEnd"/>
      <w:r>
        <w:t>7</w:t>
      </w:r>
    </w:p>
    <w:p w14:paraId="007F78DF" w14:textId="77777777" w:rsidR="00F2128A" w:rsidRDefault="00F2128A" w:rsidP="00F2128A">
      <w:pPr>
        <w:spacing w:line="480" w:lineRule="auto"/>
      </w:pPr>
      <w:r>
        <w:tab/>
        <w:t>Delimitations and Limitations…………………………………………………………</w:t>
      </w:r>
      <w:proofErr w:type="gramStart"/>
      <w:r>
        <w:t>…..</w:t>
      </w:r>
      <w:proofErr w:type="gramEnd"/>
      <w:r>
        <w:t>8</w:t>
      </w:r>
    </w:p>
    <w:p w14:paraId="354CB5D0" w14:textId="77777777" w:rsidR="00F2128A" w:rsidRDefault="00F2128A" w:rsidP="00F2128A">
      <w:pPr>
        <w:spacing w:line="480" w:lineRule="auto"/>
      </w:pPr>
      <w:r>
        <w:tab/>
        <w:t>Assumptions……………………………………………………………………………….8</w:t>
      </w:r>
    </w:p>
    <w:p w14:paraId="5AE7CC3F" w14:textId="77777777" w:rsidR="00F2128A" w:rsidRDefault="00F2128A" w:rsidP="00F2128A">
      <w:pPr>
        <w:spacing w:line="480" w:lineRule="auto"/>
      </w:pPr>
      <w:r>
        <w:tab/>
        <w:t>Operational Definitions……………………………………………………………………9</w:t>
      </w:r>
    </w:p>
    <w:p w14:paraId="09937082" w14:textId="77777777" w:rsidR="00F2128A" w:rsidRDefault="00F2128A" w:rsidP="00F2128A">
      <w:pPr>
        <w:spacing w:line="480" w:lineRule="auto"/>
      </w:pPr>
      <w:r>
        <w:t>Chapter 2: Review of Literature………………………………………………………………....11</w:t>
      </w:r>
    </w:p>
    <w:p w14:paraId="784FDE53" w14:textId="20329C20" w:rsidR="00F2128A" w:rsidRDefault="00F2128A" w:rsidP="00F2128A">
      <w:pPr>
        <w:spacing w:line="480" w:lineRule="auto"/>
      </w:pPr>
      <w:r>
        <w:tab/>
      </w:r>
      <w:r w:rsidR="00CA740E">
        <w:t xml:space="preserve"> </w:t>
      </w:r>
      <w:r>
        <w:t>Overeating and Binge Eating……………………………………………………………12</w:t>
      </w:r>
    </w:p>
    <w:p w14:paraId="2B1111B6" w14:textId="77777777" w:rsidR="00F2128A" w:rsidRDefault="00F2128A" w:rsidP="00F2128A">
      <w:pPr>
        <w:spacing w:line="480" w:lineRule="auto"/>
      </w:pPr>
      <w:r>
        <w:tab/>
        <w:t>Eating Behaviors among Racial/Ethnic Minorities………………………………….......14</w:t>
      </w:r>
    </w:p>
    <w:p w14:paraId="48E13AD3" w14:textId="77777777" w:rsidR="00F2128A" w:rsidRDefault="00F2128A" w:rsidP="00F2128A">
      <w:pPr>
        <w:spacing w:line="480" w:lineRule="auto"/>
      </w:pPr>
      <w:r>
        <w:tab/>
        <w:t>Stress and Overeating……………………………………………………………………16</w:t>
      </w:r>
    </w:p>
    <w:p w14:paraId="039A83FA" w14:textId="6F416F29" w:rsidR="00F2128A" w:rsidRDefault="00F2128A" w:rsidP="00F2128A">
      <w:pPr>
        <w:spacing w:line="480" w:lineRule="auto"/>
      </w:pPr>
      <w:r>
        <w:tab/>
        <w:t>Discriminatory Stress among Racial/</w:t>
      </w:r>
      <w:r w:rsidR="00CA740E">
        <w:t>E</w:t>
      </w:r>
      <w:r>
        <w:t>thnic Minorities……………………………........18</w:t>
      </w:r>
    </w:p>
    <w:p w14:paraId="59C5C0B2" w14:textId="77777777" w:rsidR="00F2128A" w:rsidRDefault="00F2128A" w:rsidP="00F2128A">
      <w:pPr>
        <w:spacing w:line="480" w:lineRule="auto"/>
      </w:pPr>
      <w:r>
        <w:tab/>
        <w:t>Discriminatory Stress and Health……………………………………..............................20</w:t>
      </w:r>
    </w:p>
    <w:p w14:paraId="127E5352" w14:textId="77777777" w:rsidR="00F2128A" w:rsidRDefault="00F2128A" w:rsidP="00F2128A">
      <w:pPr>
        <w:spacing w:line="480" w:lineRule="auto"/>
      </w:pPr>
      <w:r>
        <w:tab/>
        <w:t>Discriminatory Stress and Eating Behaviors…………………………………….............23</w:t>
      </w:r>
    </w:p>
    <w:p w14:paraId="134F1E6C" w14:textId="77777777" w:rsidR="00F2128A" w:rsidRDefault="00F2128A" w:rsidP="00F2128A">
      <w:pPr>
        <w:spacing w:line="480" w:lineRule="auto"/>
      </w:pPr>
      <w:r>
        <w:tab/>
      </w:r>
      <w:r w:rsidRPr="004C6247">
        <w:t>Summary</w:t>
      </w:r>
      <w:r>
        <w:t>............................................................................................................................25</w:t>
      </w:r>
    </w:p>
    <w:p w14:paraId="5D4EE076" w14:textId="77777777" w:rsidR="00F2128A" w:rsidRDefault="00F2128A" w:rsidP="00F2128A">
      <w:pPr>
        <w:spacing w:line="480" w:lineRule="auto"/>
      </w:pPr>
      <w:r>
        <w:t>Chapter 3: Methodology…………………………………………………………………………26</w:t>
      </w:r>
    </w:p>
    <w:p w14:paraId="3605F6CB" w14:textId="77777777" w:rsidR="00F2128A" w:rsidRDefault="00F2128A" w:rsidP="00F2128A">
      <w:pPr>
        <w:spacing w:line="480" w:lineRule="auto"/>
      </w:pPr>
      <w:r>
        <w:tab/>
        <w:t>Participant Characteristics……………………………………………………………….26</w:t>
      </w:r>
    </w:p>
    <w:p w14:paraId="1DD9A11D" w14:textId="77777777" w:rsidR="00F2128A" w:rsidRDefault="00F2128A" w:rsidP="00F2128A">
      <w:pPr>
        <w:spacing w:line="480" w:lineRule="auto"/>
      </w:pPr>
      <w:r>
        <w:tab/>
        <w:t>Sampling Procedures……………………………………………………………….........26</w:t>
      </w:r>
    </w:p>
    <w:p w14:paraId="4106A76F" w14:textId="77777777" w:rsidR="00F2128A" w:rsidRDefault="00F2128A" w:rsidP="00F2128A">
      <w:pPr>
        <w:spacing w:line="480" w:lineRule="auto"/>
      </w:pPr>
      <w:r>
        <w:tab/>
        <w:t>Research Design………………………………………………………………................27</w:t>
      </w:r>
    </w:p>
    <w:p w14:paraId="37521542" w14:textId="77777777" w:rsidR="00F2128A" w:rsidRDefault="00F2128A" w:rsidP="00F2128A">
      <w:pPr>
        <w:spacing w:line="480" w:lineRule="auto"/>
      </w:pPr>
      <w:r>
        <w:lastRenderedPageBreak/>
        <w:tab/>
        <w:t>Measures………………………………………………………………............................28</w:t>
      </w:r>
    </w:p>
    <w:p w14:paraId="630646D6" w14:textId="77777777" w:rsidR="00F2128A" w:rsidRDefault="00F2128A" w:rsidP="00F2128A">
      <w:pPr>
        <w:spacing w:line="480" w:lineRule="auto"/>
      </w:pPr>
      <w:r>
        <w:tab/>
        <w:t>Data Analysis……………………………………………………………….....................31</w:t>
      </w:r>
    </w:p>
    <w:p w14:paraId="02D872FC" w14:textId="77777777" w:rsidR="00F2128A" w:rsidRDefault="00F2128A" w:rsidP="00F2128A">
      <w:pPr>
        <w:spacing w:line="480" w:lineRule="auto"/>
      </w:pPr>
      <w:r>
        <w:t>Chapter 4: Results…………………………………………………………………………..........34</w:t>
      </w:r>
    </w:p>
    <w:p w14:paraId="44BFEEF6" w14:textId="77777777" w:rsidR="00F2128A" w:rsidRDefault="00F2128A" w:rsidP="00F2128A">
      <w:pPr>
        <w:spacing w:line="480" w:lineRule="auto"/>
      </w:pPr>
      <w:r>
        <w:tab/>
        <w:t>Participants.......................……………………………………………………………</w:t>
      </w:r>
      <w:proofErr w:type="gramStart"/>
      <w:r>
        <w:t>…..</w:t>
      </w:r>
      <w:proofErr w:type="gramEnd"/>
      <w:r>
        <w:t>34</w:t>
      </w:r>
    </w:p>
    <w:p w14:paraId="123F1CCD" w14:textId="77777777" w:rsidR="00F2128A" w:rsidRDefault="00F2128A" w:rsidP="00F2128A">
      <w:pPr>
        <w:spacing w:line="480" w:lineRule="auto"/>
      </w:pPr>
      <w:r>
        <w:tab/>
        <w:t>Discriminatory Stress……………………………………………………………….........36</w:t>
      </w:r>
    </w:p>
    <w:p w14:paraId="1A40AF41" w14:textId="77777777" w:rsidR="00F2128A" w:rsidRDefault="00F2128A" w:rsidP="00F2128A">
      <w:pPr>
        <w:spacing w:line="480" w:lineRule="auto"/>
      </w:pPr>
      <w:r>
        <w:tab/>
        <w:t>Overeating………………………………………………………………..........................43</w:t>
      </w:r>
    </w:p>
    <w:p w14:paraId="3E900EBB" w14:textId="77777777" w:rsidR="00F2128A" w:rsidRDefault="00F2128A" w:rsidP="00F2128A">
      <w:pPr>
        <w:spacing w:line="480" w:lineRule="auto"/>
      </w:pPr>
      <w:r>
        <w:tab/>
        <w:t>Binge Eating……………………………………………………………….......................44</w:t>
      </w:r>
    </w:p>
    <w:p w14:paraId="3791E5AA" w14:textId="77777777" w:rsidR="00F2128A" w:rsidRDefault="00F2128A" w:rsidP="00F2128A">
      <w:pPr>
        <w:spacing w:line="480" w:lineRule="auto"/>
      </w:pPr>
      <w:r>
        <w:tab/>
        <w:t>Discriminatory Stress and Overeating...............................................................................44</w:t>
      </w:r>
    </w:p>
    <w:p w14:paraId="73247A67" w14:textId="77777777" w:rsidR="00F2128A" w:rsidRDefault="00F2128A" w:rsidP="00F2128A">
      <w:pPr>
        <w:spacing w:line="480" w:lineRule="auto"/>
      </w:pPr>
      <w:r>
        <w:t>Chapter 5: Discussion…………………………………………………………………………....45</w:t>
      </w:r>
    </w:p>
    <w:p w14:paraId="5978C4D7" w14:textId="77777777" w:rsidR="00F2128A" w:rsidRDefault="00F2128A" w:rsidP="00F2128A">
      <w:pPr>
        <w:spacing w:line="480" w:lineRule="auto"/>
      </w:pPr>
      <w:r>
        <w:tab/>
        <w:t>Clinical Significance………………………………………………………………..........51</w:t>
      </w:r>
    </w:p>
    <w:p w14:paraId="09245D07" w14:textId="77777777" w:rsidR="00F2128A" w:rsidRDefault="00F2128A" w:rsidP="00F2128A">
      <w:pPr>
        <w:spacing w:line="480" w:lineRule="auto"/>
      </w:pPr>
      <w:r>
        <w:tab/>
        <w:t>Limitations……………………………………………………………….........................54</w:t>
      </w:r>
    </w:p>
    <w:p w14:paraId="53117EC1" w14:textId="77777777" w:rsidR="00F2128A" w:rsidRDefault="00F2128A" w:rsidP="00F2128A">
      <w:pPr>
        <w:spacing w:line="480" w:lineRule="auto"/>
      </w:pPr>
      <w:r>
        <w:tab/>
        <w:t>Conclusions………………………………………………………………........................55</w:t>
      </w:r>
    </w:p>
    <w:p w14:paraId="61388834" w14:textId="77777777" w:rsidR="00F2128A" w:rsidRDefault="00F2128A" w:rsidP="00F2128A">
      <w:pPr>
        <w:spacing w:line="480" w:lineRule="auto"/>
      </w:pPr>
      <w:r>
        <w:t>References………………………………………………………………......................................57</w:t>
      </w:r>
    </w:p>
    <w:p w14:paraId="50CE27C7" w14:textId="6606835B" w:rsidR="00F2128A" w:rsidRDefault="00F2128A" w:rsidP="00F2128A">
      <w:pPr>
        <w:spacing w:line="480" w:lineRule="auto"/>
      </w:pPr>
      <w:r>
        <w:t>Appendix A: IRB Approval Letter................................................................................................71</w:t>
      </w:r>
    </w:p>
    <w:p w14:paraId="0FD8E4EC" w14:textId="77777777" w:rsidR="00F2128A" w:rsidRPr="00345D52" w:rsidRDefault="00F2128A" w:rsidP="00F2128A">
      <w:pPr>
        <w:spacing w:line="480" w:lineRule="auto"/>
      </w:pPr>
      <w:r>
        <w:t>Appendix B: Survey.......................................................................................................................72</w:t>
      </w:r>
    </w:p>
    <w:p w14:paraId="4018885E" w14:textId="77777777" w:rsidR="00345D52" w:rsidRDefault="00345D52" w:rsidP="00F71A79">
      <w:pPr>
        <w:jc w:val="center"/>
        <w:rPr>
          <w:b/>
          <w:bCs/>
        </w:rPr>
      </w:pPr>
    </w:p>
    <w:p w14:paraId="25D6AE14" w14:textId="77777777" w:rsidR="00BB2191" w:rsidRDefault="00BB2191" w:rsidP="00F71A79">
      <w:pPr>
        <w:jc w:val="center"/>
        <w:rPr>
          <w:b/>
          <w:bCs/>
        </w:rPr>
      </w:pPr>
    </w:p>
    <w:p w14:paraId="4F77D734" w14:textId="77777777" w:rsidR="00BB2191" w:rsidRDefault="00BB2191" w:rsidP="00F71A79">
      <w:pPr>
        <w:jc w:val="center"/>
        <w:rPr>
          <w:b/>
          <w:bCs/>
        </w:rPr>
      </w:pPr>
    </w:p>
    <w:p w14:paraId="4D205495" w14:textId="77777777" w:rsidR="00BB2191" w:rsidRDefault="00BB2191" w:rsidP="00F71A79">
      <w:pPr>
        <w:jc w:val="center"/>
        <w:rPr>
          <w:b/>
          <w:bCs/>
        </w:rPr>
      </w:pPr>
    </w:p>
    <w:p w14:paraId="4A632DDE" w14:textId="77777777" w:rsidR="00BB2191" w:rsidRDefault="00BB2191" w:rsidP="00F71A79">
      <w:pPr>
        <w:jc w:val="center"/>
        <w:rPr>
          <w:b/>
          <w:bCs/>
        </w:rPr>
      </w:pPr>
    </w:p>
    <w:p w14:paraId="04665F5D" w14:textId="77777777" w:rsidR="00BB2191" w:rsidRDefault="00BB2191" w:rsidP="00F71A79">
      <w:pPr>
        <w:jc w:val="center"/>
        <w:rPr>
          <w:b/>
          <w:bCs/>
        </w:rPr>
      </w:pPr>
    </w:p>
    <w:p w14:paraId="5356D48B" w14:textId="77777777" w:rsidR="00BB2191" w:rsidRDefault="00BB2191" w:rsidP="00F71A79">
      <w:pPr>
        <w:jc w:val="center"/>
        <w:rPr>
          <w:b/>
          <w:bCs/>
        </w:rPr>
      </w:pPr>
    </w:p>
    <w:p w14:paraId="2CC05492" w14:textId="77777777" w:rsidR="00BB2191" w:rsidRDefault="00BB2191" w:rsidP="00F71A79">
      <w:pPr>
        <w:jc w:val="center"/>
        <w:rPr>
          <w:b/>
          <w:bCs/>
        </w:rPr>
      </w:pPr>
    </w:p>
    <w:p w14:paraId="67F2F780" w14:textId="77777777" w:rsidR="00BB2191" w:rsidRDefault="00BB2191" w:rsidP="00F71A79">
      <w:pPr>
        <w:jc w:val="center"/>
        <w:rPr>
          <w:b/>
          <w:bCs/>
        </w:rPr>
      </w:pPr>
    </w:p>
    <w:p w14:paraId="7FB51F22" w14:textId="77777777" w:rsidR="00BB2191" w:rsidRDefault="00BB2191" w:rsidP="00F71A79">
      <w:pPr>
        <w:jc w:val="center"/>
        <w:rPr>
          <w:b/>
          <w:bCs/>
        </w:rPr>
      </w:pPr>
    </w:p>
    <w:p w14:paraId="3EE72220" w14:textId="77777777" w:rsidR="00BB2191" w:rsidRDefault="00BB2191" w:rsidP="00F71A79">
      <w:pPr>
        <w:jc w:val="center"/>
        <w:rPr>
          <w:b/>
          <w:bCs/>
        </w:rPr>
      </w:pPr>
    </w:p>
    <w:p w14:paraId="74AD68FE" w14:textId="77777777" w:rsidR="00BB2191" w:rsidRDefault="00BB2191" w:rsidP="00F71A79">
      <w:pPr>
        <w:jc w:val="center"/>
        <w:rPr>
          <w:b/>
          <w:bCs/>
        </w:rPr>
      </w:pPr>
    </w:p>
    <w:p w14:paraId="4C566258" w14:textId="77777777" w:rsidR="00BB2191" w:rsidRDefault="00BB2191" w:rsidP="00F71A79">
      <w:pPr>
        <w:jc w:val="center"/>
        <w:rPr>
          <w:b/>
          <w:bCs/>
        </w:rPr>
      </w:pPr>
    </w:p>
    <w:p w14:paraId="2515AE85" w14:textId="77777777" w:rsidR="00BB2191" w:rsidRDefault="00BB2191" w:rsidP="00F71A79">
      <w:pPr>
        <w:jc w:val="center"/>
        <w:rPr>
          <w:b/>
          <w:bCs/>
        </w:rPr>
      </w:pPr>
    </w:p>
    <w:p w14:paraId="426C95A1" w14:textId="77777777" w:rsidR="00BB2191" w:rsidRDefault="00BB2191" w:rsidP="00F71A79">
      <w:pPr>
        <w:jc w:val="center"/>
        <w:rPr>
          <w:b/>
          <w:bCs/>
        </w:rPr>
      </w:pPr>
    </w:p>
    <w:p w14:paraId="67063120" w14:textId="77777777" w:rsidR="00BB2191" w:rsidRDefault="00BB2191" w:rsidP="00F71A79">
      <w:pPr>
        <w:jc w:val="center"/>
        <w:rPr>
          <w:b/>
          <w:bCs/>
        </w:rPr>
      </w:pPr>
    </w:p>
    <w:p w14:paraId="3BFA0634" w14:textId="77777777" w:rsidR="00BB2191" w:rsidRDefault="00BB2191">
      <w:pPr>
        <w:jc w:val="center"/>
        <w:rPr>
          <w:b/>
          <w:bCs/>
        </w:rPr>
      </w:pPr>
      <w:r>
        <w:rPr>
          <w:b/>
          <w:bCs/>
        </w:rPr>
        <w:lastRenderedPageBreak/>
        <w:t>Abstract</w:t>
      </w:r>
    </w:p>
    <w:p w14:paraId="38610EB5" w14:textId="77777777" w:rsidR="00F31CFB" w:rsidRDefault="00F31CFB" w:rsidP="00F71A79">
      <w:pPr>
        <w:jc w:val="center"/>
        <w:rPr>
          <w:b/>
          <w:bCs/>
        </w:rPr>
      </w:pPr>
    </w:p>
    <w:p w14:paraId="1E80A1C3" w14:textId="29AFD007" w:rsidR="00F31CFB" w:rsidRDefault="0080124D" w:rsidP="00F31CFB">
      <w:pPr>
        <w:spacing w:line="480" w:lineRule="auto"/>
      </w:pPr>
      <w:r w:rsidRPr="003E0A38">
        <w:rPr>
          <w:b/>
          <w:bCs/>
        </w:rPr>
        <w:t>Introduction</w:t>
      </w:r>
      <w:r w:rsidR="00046461" w:rsidRPr="003E0A38">
        <w:rPr>
          <w:b/>
          <w:bCs/>
        </w:rPr>
        <w:t>:</w:t>
      </w:r>
      <w:r w:rsidR="00046461">
        <w:t xml:space="preserve"> </w:t>
      </w:r>
      <w:r w:rsidR="00F31CFB">
        <w:t xml:space="preserve">The purpose of the current study </w:t>
      </w:r>
      <w:r w:rsidR="00365444">
        <w:t>was</w:t>
      </w:r>
      <w:r w:rsidR="00F31CFB">
        <w:t xml:space="preserve"> to investigate the relationship between overeating and discriminatory stress among </w:t>
      </w:r>
      <w:r w:rsidR="00F31CFB" w:rsidRPr="00327996">
        <w:t>racial</w:t>
      </w:r>
      <w:r w:rsidR="003E0A38" w:rsidRPr="00327996">
        <w:t>/</w:t>
      </w:r>
      <w:r w:rsidR="00F31CFB" w:rsidRPr="00327996">
        <w:t>ethnic minorities</w:t>
      </w:r>
      <w:r w:rsidR="00F31CFB">
        <w:t>.</w:t>
      </w:r>
      <w:r w:rsidR="005F1C1C">
        <w:t xml:space="preserve"> </w:t>
      </w:r>
      <w:r w:rsidR="00F31CFB">
        <w:t>The potential association between these two variables would help unlock new</w:t>
      </w:r>
      <w:r w:rsidR="005A2A4A">
        <w:t xml:space="preserve"> </w:t>
      </w:r>
      <w:r w:rsidR="00F31CFB">
        <w:t>contributing factors to the obesity disparity to further direct health promotion interventions.</w:t>
      </w:r>
      <w:r w:rsidR="005F1C1C">
        <w:t xml:space="preserve"> </w:t>
      </w:r>
      <w:r w:rsidRPr="003E0A38">
        <w:rPr>
          <w:b/>
          <w:bCs/>
        </w:rPr>
        <w:t>Methods:</w:t>
      </w:r>
      <w:r>
        <w:t xml:space="preserve"> </w:t>
      </w:r>
      <w:r w:rsidR="00F31CFB">
        <w:t>A sample of African American</w:t>
      </w:r>
      <w:r w:rsidR="00E006B6">
        <w:t>/Black</w:t>
      </w:r>
      <w:r w:rsidR="00F31CFB">
        <w:t xml:space="preserve">, American Indian, </w:t>
      </w:r>
      <w:r w:rsidR="00615138">
        <w:t xml:space="preserve">and </w:t>
      </w:r>
      <w:r w:rsidR="00F31CFB">
        <w:t>Hispanic</w:t>
      </w:r>
      <w:r w:rsidR="000409D6">
        <w:t>/</w:t>
      </w:r>
      <w:r w:rsidR="00F31CFB">
        <w:t>Latino</w:t>
      </w:r>
      <w:r w:rsidR="000409D6">
        <w:t>(a)/</w:t>
      </w:r>
      <w:r w:rsidR="00F31CFB">
        <w:t>Spanish American adults</w:t>
      </w:r>
      <w:r w:rsidR="00365444">
        <w:t xml:space="preserve"> (</w:t>
      </w:r>
      <w:r w:rsidR="00365444">
        <w:rPr>
          <w:i/>
          <w:iCs/>
        </w:rPr>
        <w:t>N</w:t>
      </w:r>
      <w:r w:rsidR="00365444">
        <w:t xml:space="preserve"> = 222)</w:t>
      </w:r>
      <w:r w:rsidR="00F31CFB">
        <w:t xml:space="preserve"> </w:t>
      </w:r>
      <w:r w:rsidR="00365444">
        <w:t>were</w:t>
      </w:r>
      <w:r w:rsidR="00F31CFB">
        <w:t xml:space="preserve"> recruited to participate in an online, survey-based, cross-sectional study.</w:t>
      </w:r>
      <w:r w:rsidR="005F1C1C">
        <w:t xml:space="preserve"> </w:t>
      </w:r>
      <w:r w:rsidR="00F31CFB">
        <w:t>The 64-item survey consist</w:t>
      </w:r>
      <w:r w:rsidR="00365444">
        <w:t>ed</w:t>
      </w:r>
      <w:r w:rsidR="00F31CFB">
        <w:t xml:space="preserve"> of </w:t>
      </w:r>
      <w:r w:rsidR="00D011D6">
        <w:t xml:space="preserve">the </w:t>
      </w:r>
      <w:r w:rsidR="00F31CFB">
        <w:t>Schedule of Racist Events</w:t>
      </w:r>
      <w:r w:rsidR="000409D6">
        <w:t>-</w:t>
      </w:r>
      <w:r w:rsidR="00F31CFB">
        <w:t>Generic</w:t>
      </w:r>
      <w:r w:rsidR="005E513A">
        <w:t>, q</w:t>
      </w:r>
      <w:r w:rsidR="00F31CFB">
        <w:t>uestions from the Eating Disorder Examination Questionnaire, and demographic questions.</w:t>
      </w:r>
      <w:r w:rsidR="005F1C1C">
        <w:t xml:space="preserve">  </w:t>
      </w:r>
      <w:r w:rsidR="00615138" w:rsidRPr="003E0A38">
        <w:rPr>
          <w:b/>
          <w:bCs/>
        </w:rPr>
        <w:t>Results:</w:t>
      </w:r>
      <w:r w:rsidR="00615138">
        <w:t xml:space="preserve"> </w:t>
      </w:r>
      <w:r w:rsidR="005F1C1C">
        <w:t>African American/Black</w:t>
      </w:r>
      <w:r w:rsidR="00E006B6">
        <w:t xml:space="preserve"> participants</w:t>
      </w:r>
      <w:r w:rsidR="00365444">
        <w:t xml:space="preserve"> reported more discriminatory events</w:t>
      </w:r>
      <w:r w:rsidR="00E006B6">
        <w:t xml:space="preserve"> throughout their lifetime</w:t>
      </w:r>
      <w:r w:rsidR="00365444">
        <w:t xml:space="preserve"> and </w:t>
      </w:r>
      <w:r w:rsidR="00615138">
        <w:t xml:space="preserve">also </w:t>
      </w:r>
      <w:r w:rsidR="00365444">
        <w:t>apprais</w:t>
      </w:r>
      <w:r w:rsidR="00615138">
        <w:t>ed those e</w:t>
      </w:r>
      <w:r w:rsidR="00E006B6">
        <w:t>vent</w:t>
      </w:r>
      <w:r w:rsidR="00615138">
        <w:t>s as more stressful</w:t>
      </w:r>
      <w:r w:rsidR="00365444">
        <w:t xml:space="preserve"> </w:t>
      </w:r>
      <w:r w:rsidR="00615138">
        <w:t xml:space="preserve">in </w:t>
      </w:r>
      <w:r w:rsidR="00365444">
        <w:t>compar</w:t>
      </w:r>
      <w:r w:rsidR="00615138">
        <w:t>ison</w:t>
      </w:r>
      <w:r w:rsidR="00365444">
        <w:t xml:space="preserve"> to both American Indian and Hispanic/Latino(a)/Spanish American</w:t>
      </w:r>
      <w:r w:rsidR="00E006B6">
        <w:t xml:space="preserve"> participants.</w:t>
      </w:r>
      <w:r w:rsidR="00C247C2">
        <w:t xml:space="preserve"> </w:t>
      </w:r>
      <w:r w:rsidR="00E006B6">
        <w:t xml:space="preserve">Similarly, </w:t>
      </w:r>
      <w:r w:rsidR="00365444">
        <w:t>past year experiences with discrimination w</w:t>
      </w:r>
      <w:r w:rsidR="009B16AF">
        <w:t>ere</w:t>
      </w:r>
      <w:r w:rsidR="00365444">
        <w:t xml:space="preserve"> also higher for </w:t>
      </w:r>
      <w:r w:rsidR="005F1C1C">
        <w:t>African American/Black</w:t>
      </w:r>
      <w:r w:rsidR="009B16AF">
        <w:t xml:space="preserve"> participants</w:t>
      </w:r>
      <w:r w:rsidR="00365444">
        <w:t xml:space="preserve"> compared to Hispanic/Latino(a)/Spanish American participants.</w:t>
      </w:r>
      <w:r w:rsidR="005F1C1C">
        <w:t xml:space="preserve"> </w:t>
      </w:r>
      <w:r w:rsidR="00365444">
        <w:t>However, there were no racial/ethnic differences in reports of overeating.</w:t>
      </w:r>
      <w:r w:rsidR="005F1C1C">
        <w:t xml:space="preserve"> </w:t>
      </w:r>
      <w:r w:rsidR="00365444">
        <w:t>There was a weak</w:t>
      </w:r>
      <w:r w:rsidR="00A64538">
        <w:t>,</w:t>
      </w:r>
      <w:r w:rsidR="00365444">
        <w:t xml:space="preserve"> positive correlation between overeating and all three subscales for the Schedule of Racist Events</w:t>
      </w:r>
      <w:r w:rsidR="008B7EC7">
        <w:t>-Generic</w:t>
      </w:r>
      <w:r w:rsidR="00100984">
        <w:t>—</w:t>
      </w:r>
      <w:r w:rsidR="00365444">
        <w:t>incidences of overeating increased as</w:t>
      </w:r>
      <w:r w:rsidR="00525FF5">
        <w:t xml:space="preserve"> frequency of reported racial discrimination and related</w:t>
      </w:r>
      <w:r w:rsidR="00FB15BA">
        <w:t xml:space="preserve"> </w:t>
      </w:r>
      <w:r w:rsidR="00365444">
        <w:t>stress increased.</w:t>
      </w:r>
      <w:r w:rsidR="005F1C1C">
        <w:t xml:space="preserve"> </w:t>
      </w:r>
      <w:r w:rsidR="00FB15BA" w:rsidRPr="003E0A38">
        <w:rPr>
          <w:b/>
          <w:bCs/>
        </w:rPr>
        <w:t>Conclusion:</w:t>
      </w:r>
      <w:r w:rsidR="00FB15BA">
        <w:t xml:space="preserve"> </w:t>
      </w:r>
      <w:r w:rsidR="00365444">
        <w:t xml:space="preserve">This study illustrates another potential link to the obesity health disparity that may be impairing the health of </w:t>
      </w:r>
      <w:r w:rsidR="00365444" w:rsidRPr="00327996">
        <w:t>racial/ethnic minorities</w:t>
      </w:r>
      <w:r w:rsidR="00365444">
        <w:t>.</w:t>
      </w:r>
      <w:r w:rsidR="005F1C1C">
        <w:t xml:space="preserve"> </w:t>
      </w:r>
      <w:r w:rsidR="00365444">
        <w:t>The results can be used to create more effective interventions to alleviate health inequities and improve the health of racial/ethnic minority populations.</w:t>
      </w:r>
    </w:p>
    <w:p w14:paraId="67E29098" w14:textId="77777777" w:rsidR="00F23119" w:rsidRDefault="00F23119" w:rsidP="00F31CFB">
      <w:pPr>
        <w:spacing w:line="480" w:lineRule="auto"/>
      </w:pPr>
    </w:p>
    <w:p w14:paraId="7980A889" w14:textId="3CDFEF75" w:rsidR="00F23119" w:rsidRDefault="00F23119" w:rsidP="00F31CFB">
      <w:pPr>
        <w:spacing w:line="480" w:lineRule="auto"/>
      </w:pPr>
    </w:p>
    <w:p w14:paraId="75F23B09" w14:textId="77777777" w:rsidR="00F509AD" w:rsidRDefault="00F509AD" w:rsidP="00F31CFB">
      <w:pPr>
        <w:spacing w:line="480" w:lineRule="auto"/>
      </w:pPr>
    </w:p>
    <w:p w14:paraId="392403FA" w14:textId="77777777" w:rsidR="00F2128A" w:rsidRDefault="00F2128A" w:rsidP="00F2128A">
      <w:pPr>
        <w:spacing w:line="480" w:lineRule="auto"/>
        <w:jc w:val="center"/>
        <w:rPr>
          <w:b/>
          <w:bCs/>
        </w:rPr>
      </w:pPr>
      <w:r>
        <w:rPr>
          <w:b/>
          <w:bCs/>
        </w:rPr>
        <w:lastRenderedPageBreak/>
        <w:t>List of Tables</w:t>
      </w:r>
    </w:p>
    <w:p w14:paraId="35B96244" w14:textId="1EC5AAB5" w:rsidR="00F2128A" w:rsidRDefault="00F2128A" w:rsidP="00F2128A">
      <w:pPr>
        <w:spacing w:line="480" w:lineRule="auto"/>
      </w:pPr>
      <w:r>
        <w:t>Table 1. Participant Characteristics...............................................................................................35</w:t>
      </w:r>
    </w:p>
    <w:p w14:paraId="23FB9961" w14:textId="77777777" w:rsidR="00F2128A" w:rsidRDefault="00F2128A" w:rsidP="00F2128A">
      <w:pPr>
        <w:spacing w:line="480" w:lineRule="auto"/>
      </w:pPr>
      <w:r>
        <w:t>Table 2. Percentage of Sample Reporting Specific Discriminatory Events (Recent)....................37</w:t>
      </w:r>
    </w:p>
    <w:p w14:paraId="0637ED71" w14:textId="77777777" w:rsidR="00F2128A" w:rsidRDefault="00F2128A" w:rsidP="00F2128A">
      <w:pPr>
        <w:spacing w:line="480" w:lineRule="auto"/>
      </w:pPr>
      <w:r>
        <w:t>Table 3. Percentage of Sample Reporting Specific Discriminatory Events (Lifetime).................38</w:t>
      </w:r>
    </w:p>
    <w:p w14:paraId="2A9CBB4E" w14:textId="77777777" w:rsidR="00F2128A" w:rsidRDefault="00F2128A" w:rsidP="00F2128A">
      <w:pPr>
        <w:spacing w:line="480" w:lineRule="auto"/>
      </w:pPr>
      <w:r>
        <w:t>Table 4. Appraisal of Racist Events Over Lifetime and Previous Year (In Percentages).............39</w:t>
      </w:r>
    </w:p>
    <w:p w14:paraId="1EF1D579" w14:textId="3FCDA34E" w:rsidR="00CA2BD5" w:rsidRDefault="00F2128A" w:rsidP="00F2128A">
      <w:pPr>
        <w:rPr>
          <w:color w:val="000000" w:themeColor="text1"/>
        </w:rPr>
      </w:pPr>
      <w:r>
        <w:t xml:space="preserve">Table 5. </w:t>
      </w:r>
      <w:r w:rsidRPr="007901CB">
        <w:rPr>
          <w:color w:val="000000" w:themeColor="text1"/>
        </w:rPr>
        <w:t xml:space="preserve">Median Differences in </w:t>
      </w:r>
      <w:r w:rsidR="00CA2BD5">
        <w:rPr>
          <w:color w:val="000000" w:themeColor="text1"/>
        </w:rPr>
        <w:t>Schedule of Racist</w:t>
      </w:r>
      <w:r w:rsidR="00523637">
        <w:rPr>
          <w:color w:val="000000" w:themeColor="text1"/>
        </w:rPr>
        <w:t xml:space="preserve"> Events</w:t>
      </w:r>
      <w:r w:rsidR="00CA2BD5">
        <w:rPr>
          <w:color w:val="000000" w:themeColor="text1"/>
        </w:rPr>
        <w:t>-Generic Scores</w:t>
      </w:r>
      <w:r w:rsidRPr="007901CB">
        <w:rPr>
          <w:color w:val="000000" w:themeColor="text1"/>
        </w:rPr>
        <w:t xml:space="preserve"> Across </w:t>
      </w:r>
      <w:r w:rsidR="00523637">
        <w:rPr>
          <w:color w:val="000000" w:themeColor="text1"/>
        </w:rPr>
        <w:t>Demographic</w:t>
      </w:r>
    </w:p>
    <w:p w14:paraId="59CA5C1A" w14:textId="4D3933A5" w:rsidR="00F2128A" w:rsidRPr="007901CB" w:rsidRDefault="00CA2BD5" w:rsidP="00F2128A">
      <w:pPr>
        <w:rPr>
          <w:i/>
          <w:iCs/>
          <w:color w:val="000000" w:themeColor="text1"/>
        </w:rPr>
        <w:sectPr w:rsidR="00F2128A" w:rsidRPr="007901CB" w:rsidSect="00BB2191">
          <w:footerReference w:type="default" r:id="rId9"/>
          <w:pgSz w:w="12240" w:h="15840"/>
          <w:pgMar w:top="1440" w:right="1440" w:bottom="1440" w:left="1440" w:header="720" w:footer="720" w:gutter="0"/>
          <w:pgNumType w:fmt="lowerRoman" w:start="3"/>
          <w:cols w:space="720"/>
          <w:titlePg/>
          <w:docGrid w:linePitch="360"/>
        </w:sectPr>
      </w:pPr>
      <w:r>
        <w:rPr>
          <w:color w:val="000000" w:themeColor="text1"/>
        </w:rPr>
        <w:t xml:space="preserve">              Measures</w:t>
      </w:r>
      <w:r w:rsidR="00523637">
        <w:rPr>
          <w:color w:val="000000" w:themeColor="text1"/>
        </w:rPr>
        <w:t xml:space="preserve"> </w:t>
      </w:r>
      <w:r w:rsidR="00F2128A">
        <w:rPr>
          <w:color w:val="000000" w:themeColor="text1"/>
        </w:rPr>
        <w:t>......................................................................................</w:t>
      </w:r>
      <w:r w:rsidR="00F2128A">
        <w:t>..........................</w:t>
      </w:r>
      <w:r>
        <w:t>.........</w:t>
      </w:r>
      <w:r w:rsidR="00F2128A">
        <w:t>42</w:t>
      </w:r>
    </w:p>
    <w:p w14:paraId="33D2962E" w14:textId="77777777" w:rsidR="00A2596F" w:rsidRPr="005F7995" w:rsidRDefault="00A2596F" w:rsidP="00A2596F">
      <w:pPr>
        <w:spacing w:line="480" w:lineRule="auto"/>
        <w:jc w:val="center"/>
        <w:rPr>
          <w:b/>
          <w:bCs/>
        </w:rPr>
      </w:pPr>
      <w:r>
        <w:rPr>
          <w:b/>
          <w:bCs/>
        </w:rPr>
        <w:lastRenderedPageBreak/>
        <w:t>CHAPTER 1: INTRODUCTION</w:t>
      </w:r>
    </w:p>
    <w:p w14:paraId="30D8379B" w14:textId="77777777" w:rsidR="00A2596F" w:rsidRPr="00E56734" w:rsidRDefault="00A2596F" w:rsidP="00A2596F">
      <w:pPr>
        <w:spacing w:line="480" w:lineRule="auto"/>
        <w:rPr>
          <w:b/>
          <w:bCs/>
        </w:rPr>
      </w:pPr>
      <w:r>
        <w:rPr>
          <w:b/>
          <w:bCs/>
        </w:rPr>
        <w:t>Background</w:t>
      </w:r>
    </w:p>
    <w:p w14:paraId="71DA076D" w14:textId="4975B1C3" w:rsidR="00A2596F" w:rsidRDefault="00A2596F" w:rsidP="00A2596F">
      <w:pPr>
        <w:spacing w:line="480" w:lineRule="auto"/>
      </w:pPr>
      <w:r>
        <w:tab/>
        <w:t>Current obesity rates within the United States are concerning.</w:t>
      </w:r>
      <w:r w:rsidR="005F1C1C">
        <w:t xml:space="preserve"> </w:t>
      </w:r>
      <w:r>
        <w:t xml:space="preserve">Based on the 2017 to 2018 cycle of the National Health and Nutrition Examination Survey, over 40% of all U.S. adults are considered obese </w:t>
      </w:r>
      <w:r>
        <w:fldChar w:fldCharType="begin"/>
      </w:r>
      <w:r w:rsidR="00B22514">
        <w:instrText xml:space="preserve"> ADDIN ZOTERO_ITEM CSL_CITATION {"citationID":"EMITwe7T","properties":{"formattedCitation":"(Hales, 2020)","plainCitation":"(Hales, 2020)","dontUpdate":true,"noteIndex":0},"citationItems":[{"id":164,"uris":["http://zotero.org/users/local/aUK5ZLEi/items/NVYCQ52Y"],"uri":["http://zotero.org/users/local/aUK5ZLEi/items/NVYCQ52Y"],"itemData":{"id":164,"type":"article-journal","abstract":"The age-adjusted prevalence of obesity was 42.4%, and the age-adjusted prevalence of severe obesity was 9.2% among adults aged 20 and over in the United States in 2017–2018. The overall prevalence of obesity was similar among men and women, but the prevalence of severe obesity was higher among women. Adults aged 40–59 had the highest prevalence of severe obesity.","issue":"360","language":"en","page":"8","source":"Zotero","title":"Prevalence of Obesity and Severe Obesity Among Adults: United States, 2017–2018","author":[{"family":"Hales","given":"Craig M"}],"issued":{"date-parts":[["2020"]]}}}],"schema":"https://github.com/citation-style-language/schema/raw/master/csl-citation.json"} </w:instrText>
      </w:r>
      <w:r>
        <w:fldChar w:fldCharType="separate"/>
      </w:r>
      <w:r>
        <w:rPr>
          <w:noProof/>
        </w:rPr>
        <w:t>(Hales et al., 2020)</w:t>
      </w:r>
      <w:r>
        <w:fldChar w:fldCharType="end"/>
      </w:r>
      <w:r>
        <w:t>.</w:t>
      </w:r>
      <w:r w:rsidR="005F1C1C">
        <w:t xml:space="preserve"> </w:t>
      </w:r>
      <w:r>
        <w:t xml:space="preserve">Obesity trends have continued to climb since 1999 (from 30.5% to </w:t>
      </w:r>
      <w:r w:rsidRPr="009C1E78">
        <w:t>42.4%</w:t>
      </w:r>
      <w:r w:rsidR="003E0A38">
        <w:t xml:space="preserve">; </w:t>
      </w:r>
      <w:r>
        <w:t>Hales et al., 2020)</w:t>
      </w:r>
      <w:r w:rsidRPr="009C1E78">
        <w:t>,</w:t>
      </w:r>
      <w:r>
        <w:t xml:space="preserve"> and if these trends continue, obesity will affect approximately half of all U.S. adults by 2030 </w:t>
      </w:r>
      <w:r>
        <w:fldChar w:fldCharType="begin"/>
      </w:r>
      <w:r>
        <w:instrText xml:space="preserve"> ADDIN ZOTERO_ITEM CSL_CITATION {"citationID":"NJOtCaYO","properties":{"formattedCitation":"(Finkelstein et al., 2012)","plainCitation":"(Finkelstein et al., 2012)","noteIndex":0},"citationItems":[{"id":166,"uris":["http://zotero.org/users/local/aUK5ZLEi/items/33YNZGBG"],"uri":["http://zotero.org/users/local/aUK5ZLEi/items/33YNZGBG"],"itemData":{"id":166,"type":"article-journal","abstract":"Background: Previous efforts to forecast future trends in obesity applied linear forecasts assuming that the rise in obesity would continue unabated. However, evidence suggests that obesity prevalence may be leveling off.\nPurpose: This study presents estimates of adult obesity and severe obesity prevalence through 2030 based on nonlinear regression models. The forecasted results are then used to simulate the savings that could be achieved through modestly successful obesity prevention efforts.\nMethods: The study was conducted in 2009 –2010 and used data from the 1990 through 2008 Behavioral Risk Factor Surveillance System (BRFSS). The analysis sample included nonpregnant adults aged Ն18 years. The individual-level BRFSS variables were supplemented with state-level variables from the U.S. Bureau of Labor Statistics, the American Chamber of Commerce Research Association, and the Census of Retail Trade. Future obesity and severe obesity prevalence were estimated through regression modeling by projecting trends in explanatory variables expected to influence obesity prevalence.\nResults: Linear time trend forecasts suggest that by 2030, 51% of the population will be obese. The model estimates a much lower obesity prevalence of 42% and severe obesity prevalence of 11%. If obesity were to remain at 2010 levels, the combined savings in medical expenditures over the next 2 decades would be $549.5 billion.\nConclusions: The study estimates a 33% increase in obesity prevalence and a 130% increase in severe obesity prevalence over the next 2 decades. If these forecasts prove accurate, this will further hinder efforts for healthcare cost containment.","container-title":"American Journal of Preventive Medicine","DOI":"10.1016/j.amepre.2011.10.026","ISSN":"07493797","issue":"6","journalAbbreviation":"American Journal of Preventive Medicine","language":"en","page":"563-570","source":"DOI.org (Crossref)","title":"Obesity and Severe Obesity Forecasts Through 2030","volume":"42","author":[{"family":"Finkelstein","given":"Eric A."},{"family":"Khavjou","given":"Olga A."},{"family":"Thompson","given":"Hope"},{"family":"Trogdon","given":"Justin G."},{"family":"Pan","given":"Liping"},{"family":"Sherry","given":"Bettylou"},{"family":"Dietz","given":"William"}],"issued":{"date-parts":[["2012",6]]}}}],"schema":"https://github.com/citation-style-language/schema/raw/master/csl-citation.json"} </w:instrText>
      </w:r>
      <w:r>
        <w:fldChar w:fldCharType="separate"/>
      </w:r>
      <w:r>
        <w:rPr>
          <w:noProof/>
        </w:rPr>
        <w:t>(Finkelstein et al., 2012)</w:t>
      </w:r>
      <w:r>
        <w:fldChar w:fldCharType="end"/>
      </w:r>
      <w:r>
        <w:t>.</w:t>
      </w:r>
      <w:r w:rsidR="005F1C1C">
        <w:t xml:space="preserve"> </w:t>
      </w:r>
      <w:r>
        <w:t>Although obesity is a national epidemic, some members of society are affected more than others.</w:t>
      </w:r>
      <w:r w:rsidR="005F1C1C">
        <w:t xml:space="preserve"> </w:t>
      </w:r>
      <w:r>
        <w:t xml:space="preserve">In </w:t>
      </w:r>
      <w:r w:rsidRPr="009C1E78">
        <w:t>201</w:t>
      </w:r>
      <w:r>
        <w:t>7</w:t>
      </w:r>
      <w:r w:rsidR="003E0A38">
        <w:t>–2</w:t>
      </w:r>
      <w:r w:rsidRPr="009C1E78">
        <w:t>01</w:t>
      </w:r>
      <w:r>
        <w:t>8, Hispanic and non-Hispanic black adults had the highest rates of obesity; at 44.8% and 49.6% respectively, both groups experienced higher levels of obesity compared to non-Hispanic whites (</w:t>
      </w:r>
      <w:r w:rsidRPr="009C1E78">
        <w:t>42.2%</w:t>
      </w:r>
      <w:r w:rsidR="00DB53D2">
        <w:t xml:space="preserve">; </w:t>
      </w:r>
      <w:r>
        <w:t>Hales et al., 2020).</w:t>
      </w:r>
      <w:r w:rsidR="005F1C1C">
        <w:t xml:space="preserve"> </w:t>
      </w:r>
    </w:p>
    <w:p w14:paraId="545BE3CC" w14:textId="71506324" w:rsidR="00A2596F" w:rsidRDefault="00A2596F" w:rsidP="00A2596F">
      <w:pPr>
        <w:spacing w:line="480" w:lineRule="auto"/>
      </w:pPr>
      <w:r>
        <w:tab/>
        <w:t>Obesity is not merely excess weight but excess fat that threatens the health status of an individual (World Health Organization [WHO], 2020).</w:t>
      </w:r>
      <w:r w:rsidR="005F1C1C">
        <w:t xml:space="preserve"> </w:t>
      </w:r>
      <w:r>
        <w:t>The unnecessary accumulation of adipose tissue increases the risk for many health problems, such as insulin resistance, type II diabetes mellitus, cardiovascular disease, hypertension, some cancers, mental disorders (</w:t>
      </w:r>
      <w:r w:rsidR="00D33538">
        <w:t>e.g.,</w:t>
      </w:r>
      <w:r>
        <w:t xml:space="preserve"> depression and anxiety), and osteoarthritis (</w:t>
      </w:r>
      <w:proofErr w:type="spellStart"/>
      <w:r w:rsidR="00E9008E">
        <w:t>Jastreboff</w:t>
      </w:r>
      <w:proofErr w:type="spellEnd"/>
      <w:r w:rsidR="000409D6">
        <w:t xml:space="preserve"> </w:t>
      </w:r>
      <w:r>
        <w:t>et al., 2018).</w:t>
      </w:r>
      <w:r w:rsidR="005F1C1C">
        <w:t xml:space="preserve"> </w:t>
      </w:r>
      <w:r>
        <w:t xml:space="preserve">With such dire consequences, it is crucial that the United States remedy the </w:t>
      </w:r>
      <w:r w:rsidR="00D722AF">
        <w:t>racial/ethnic</w:t>
      </w:r>
      <w:r>
        <w:t xml:space="preserve"> health gap of obesity.</w:t>
      </w:r>
    </w:p>
    <w:p w14:paraId="643EE50B" w14:textId="5FD78E6E" w:rsidR="00A2596F" w:rsidRDefault="00A2596F" w:rsidP="00A2596F">
      <w:pPr>
        <w:spacing w:line="480" w:lineRule="auto"/>
      </w:pPr>
      <w:r>
        <w:tab/>
        <w:t>Among the leading causes of obesity, dietary intake remains a primary contributor to the epidemic.</w:t>
      </w:r>
      <w:r w:rsidR="005F1C1C">
        <w:t xml:space="preserve"> </w:t>
      </w:r>
      <w:r>
        <w:t>When caloric intake exceeds what the body uses for energy, the body is left with excess calories that are stored as fat.</w:t>
      </w:r>
      <w:r w:rsidR="005F1C1C">
        <w:t xml:space="preserve"> </w:t>
      </w:r>
      <w:r>
        <w:t xml:space="preserve">Caloric expenditure is based on both </w:t>
      </w:r>
      <w:r w:rsidR="00140C2D">
        <w:t>physical</w:t>
      </w:r>
      <w:r>
        <w:t xml:space="preserve"> activity</w:t>
      </w:r>
      <w:r w:rsidR="00140C2D">
        <w:t xml:space="preserve"> level</w:t>
      </w:r>
      <w:r>
        <w:t xml:space="preserve"> and food ingestion.</w:t>
      </w:r>
      <w:r w:rsidR="005F1C1C">
        <w:t xml:space="preserve"> </w:t>
      </w:r>
      <w:r>
        <w:t>However, overeating increases the probability of tipping the scale in favor of caloric surplus.</w:t>
      </w:r>
      <w:r w:rsidR="005F1C1C">
        <w:t xml:space="preserve"> </w:t>
      </w:r>
      <w:r>
        <w:t xml:space="preserve">The act of overeating </w:t>
      </w:r>
      <w:r w:rsidR="00140C2D">
        <w:t>has been defined as</w:t>
      </w:r>
      <w:r>
        <w:t xml:space="preserve"> eating a large portion of food in a short amount of time </w:t>
      </w:r>
      <w:r>
        <w:fldChar w:fldCharType="begin"/>
      </w:r>
      <w:r>
        <w:instrText xml:space="preserve"> ADDIN ZOTERO_ITEM CSL_CITATION {"citationID":"AvEdhwOV","properties":{"formattedCitation":"(Apolzan et al., 2014)","plainCitation":"(Apolzan et al., 2014)","noteIndex":0},"citationItems":[{"id":139,"uris":["http://zotero.org/users/local/aUK5ZLEi/items/CEJBWTKC"],"uri":["http://zotero.org/users/local/aUK5ZLEi/items/CEJBWTKC"],"itemData":{"id":139,"type":"article-journal","abstract":"Objective—To evaluate the effects of overeating (140% of energy requirements) a high-fat lowenergy density diet (HF/LED, 1.05kcal/g), high-fat high-energy density diet (HF/HED, 1.60kcal/g), and high-carbohydrate (HC) LED (1.05kcal/g) for 2-days on subsequent 4-day energy intake (EI), activity levels, appetite, and mood. Design and Methods—Using a randomized cross-over design, energy expenditure and EI were standardized during overeating.\nResults—In 20 adults with a mean±SD BMI of 30.7±4.6kg/m2, EI was not suppressed until the second day after overeating and accounted for ~30% of the excess EI. Reductions in EI did not differ among the 3 diets or across days. Overeating had no effect on subsequent energy expenditure but steps/day decreased after the HC/LED and HF/HED. Sleep time was increased after the HF/HED compared to both LEDs. After overeating a HF/HED vs. HF/LED, carbohydrate cravings, hunger, prospective food consumption, and sadness increased and satisfaction, relaxation, and tranquility decreased.\nConclusions—Diet type, time, or their interaction had no impact on compensation over 4 days. No adaptive thermogenesis was observed. The HF/HED vs. HF/LED had detrimental effects on food cravings, appetite, and mood. These results suggest short-term overeating is associated with incomplete compensation.","container-title":"Obesity","DOI":"10.1002/oby.20587","ISSN":"19307381","issue":"1","journalAbbreviation":"Obesity","language":"en","page":"119-130","source":"DOI.org (Crossref)","title":"Short-term overeating results in incomplete energy intake compensation regardless of energy density or macronutrient composition: Overeating, Energy Density, and High-Fat Diet","title-short":"Short-term overeating results in incomplete energy intake compensation regardless of energy density or macronutrient composition","volume":"22","author":[{"family":"Apolzan","given":"John W."},{"family":"Bray","given":"George A."},{"family":"Hamilton","given":"Marc T."},{"family":"Zderic","given":"Theodore W."},{"family":"Han","given":"Hongmei"},{"family":"Champagne","given":"Catherine M."},{"family":"Shepard","given":"Desti"},{"family":"Martin","given":"Corby K."}],"issued":{"date-parts":[["2014",1]]}}}],"schema":"https://github.com/citation-style-language/schema/raw/master/csl-citation.json"} </w:instrText>
      </w:r>
      <w:r>
        <w:fldChar w:fldCharType="separate"/>
      </w:r>
      <w:r>
        <w:rPr>
          <w:noProof/>
        </w:rPr>
        <w:t>(Apolzan et al., 2014)</w:t>
      </w:r>
      <w:r>
        <w:fldChar w:fldCharType="end"/>
      </w:r>
      <w:r>
        <w:t>.</w:t>
      </w:r>
      <w:r w:rsidR="005F1C1C">
        <w:t xml:space="preserve"> </w:t>
      </w:r>
      <w:r>
        <w:t xml:space="preserve">Left unhindered, the continual act of overeating without </w:t>
      </w:r>
      <w:r>
        <w:lastRenderedPageBreak/>
        <w:t>physically compensating increases the accumulation of body fat, which will eventually lead to obesity (</w:t>
      </w:r>
      <w:proofErr w:type="spellStart"/>
      <w:r>
        <w:t>Boutelle</w:t>
      </w:r>
      <w:proofErr w:type="spellEnd"/>
      <w:r>
        <w:t xml:space="preserve"> et al., 2011).</w:t>
      </w:r>
      <w:r w:rsidR="005F1C1C">
        <w:t xml:space="preserve"> </w:t>
      </w:r>
      <w:r>
        <w:t>Consequently, overeating is a significant risk factor for obesity.</w:t>
      </w:r>
    </w:p>
    <w:p w14:paraId="5BE5D254" w14:textId="57D29F97" w:rsidR="00A2596F" w:rsidRDefault="00A2596F" w:rsidP="00A2596F">
      <w:pPr>
        <w:spacing w:line="480" w:lineRule="auto"/>
      </w:pPr>
      <w:r>
        <w:rPr>
          <w:rStyle w:val="CommentReference"/>
          <w:rFonts w:eastAsiaTheme="minorEastAsia"/>
        </w:rPr>
        <w:tab/>
      </w:r>
      <w:r>
        <w:t>Amongst other factors, stress has been evidenced as a key contributor to overeating.</w:t>
      </w:r>
      <w:r w:rsidR="005F1C1C">
        <w:t xml:space="preserve"> </w:t>
      </w:r>
      <w:r>
        <w:t>There is a significant, positive relationship between the two</w:t>
      </w:r>
      <w:r w:rsidR="00924CF6">
        <w:t>—</w:t>
      </w:r>
      <w:r w:rsidR="003E0A38">
        <w:t>a</w:t>
      </w:r>
      <w:r>
        <w:t>s stress levels increase, food intake also increases (O’Connor et al., 2008).</w:t>
      </w:r>
      <w:r w:rsidR="005F1C1C">
        <w:t xml:space="preserve"> </w:t>
      </w:r>
      <w:r>
        <w:t>Research has also illustrated stress’ link to obesity.</w:t>
      </w:r>
      <w:r w:rsidR="005F1C1C">
        <w:t xml:space="preserve"> </w:t>
      </w:r>
      <w:r>
        <w:t xml:space="preserve">Among </w:t>
      </w:r>
      <w:r w:rsidR="005C0179">
        <w:t xml:space="preserve">individuals who are </w:t>
      </w:r>
      <w:r>
        <w:t xml:space="preserve">overweight </w:t>
      </w:r>
      <w:r w:rsidR="000409D6">
        <w:t xml:space="preserve">or are affected by </w:t>
      </w:r>
      <w:r>
        <w:t>obes</w:t>
      </w:r>
      <w:r w:rsidR="000409D6">
        <w:t>ity</w:t>
      </w:r>
      <w:r>
        <w:t xml:space="preserve">, acute encounters with stress increases ghrelin levels to subsequently drive food intake, regardless of hunger or satiety </w:t>
      </w:r>
      <w:r>
        <w:fldChar w:fldCharType="begin"/>
      </w:r>
      <w:r>
        <w:instrText xml:space="preserve"> ADDIN ZOTERO_ITEM CSL_CITATION {"citationID":"oPbgxJAW","properties":{"formattedCitation":"(Sinha et al., 2019)","plainCitation":"(Sinha et al., 2019)","noteIndex":0},"citationItems":[{"id":27,"uris":["http://zotero.org/users/local/aUK5ZLEi/items/IDGUI8DC"],"uri":["http://zotero.org/users/local/aUK5ZLEi/items/IDGUI8DC"],"itemData":{"id":27,"type":"article-journal","abstract":"Overeating of highly palatable (HP) foods in the ubiquitous HP food cue environment and under stress is associated with weight gain and contributes to the global obesity epidemic. However, subjective and biobehavioral processes that may increase HP overeating are not clear. Using a novel experimental approach, we examined HP food motivation and intake and neuroendocrine responses in the context of food cues, stress and a control neutral relaxing cue exposure in healthy individuals. Methods: Twenty individuals (12 M; 8F; ages 18–45) with body mass index (BMI) in the lean (LN: N = 8; 3/8 female BMI: 18–24.9) or overweight/obese (OW: N = 12; 5/ 12 female; BMI: 25–37) range were enrolled in a controlled, hospital-based, 3-day laboratory experiment. On each day, subjects were exposed to a brief 5-min individualized guided imagery of stress, food cue or an active neutral-relaxing control cue script, followed by a food snack test (FST), with one imagery condition per day and order of imagery exposure randomized and counterbalanced across subjects. Subjective HP food craving and caloric intake, anxiety, cortisol and total ghrelin was assessed repeatedly during each test day. Results: Significant condition and condition × group effects for food craving, anxiety and HP calorie intake were observed, with food cue relative to neutral condition increasing HP food craving and intake across all subjects (p &lt; .001), but stress relative to neutral condition increased HP food craving and intake in the OW but not LN group (p &lt; .01). Pre-snack increases in food craving after exposure to food cues and to stress predicted greater subsequent HP food intake (p's &lt; 0.01). Furthermore, ghrelin increased in the food cue and stress conditions (p &lt; .01), but stress-induced increases in ghrelin was associated with HP food intake only in the OW/OB condition (p &lt; .01). Finally, cortisol increased during food cue exposure and increased cortisol responses were associated with greater HP food caving and with intake (p's &lt; 0.05). Conclusions: These findings, while preliminary, validate a laboratory model of HP food motivation and intake and identify specific subjective and neuroendocrine responses that may play a role in HP snacking with implications for weight gain and obesity risk. (342 words).","container-title":"Physiology &amp; Behavior","DOI":"10.1016/j.physbeh.2019.112563","ISSN":"00319384","journalAbbreviation":"Physiology &amp; Behavior","language":"en","page":"112563","source":"DOI.org (Crossref)","title":"Food craving, cortisol and ghrelin responses in modeling highly palatable snack intake in the laboratory","volume":"208","author":[{"family":"Sinha","given":"Rajita"},{"family":"Gu","given":"Peihua"},{"family":"Hart","given":"Rachel"},{"family":"Guarnaccia","given":"J.B."}],"issued":{"date-parts":[["2019",9]]}}}],"schema":"https://github.com/citation-style-language/schema/raw/master/csl-citation.json"} </w:instrText>
      </w:r>
      <w:r>
        <w:fldChar w:fldCharType="separate"/>
      </w:r>
      <w:r>
        <w:rPr>
          <w:noProof/>
        </w:rPr>
        <w:t>(Sinha et al., 2019)</w:t>
      </w:r>
      <w:r>
        <w:fldChar w:fldCharType="end"/>
      </w:r>
      <w:r>
        <w:t>.</w:t>
      </w:r>
      <w:r w:rsidR="005F1C1C">
        <w:t xml:space="preserve"> </w:t>
      </w:r>
      <w:r>
        <w:t xml:space="preserve">Consequently, </w:t>
      </w:r>
      <w:r w:rsidR="000409D6">
        <w:t xml:space="preserve">individuals with obesity or excess weight </w:t>
      </w:r>
      <w:r>
        <w:t xml:space="preserve">may be susceptible to overeat when faced with stress. </w:t>
      </w:r>
    </w:p>
    <w:p w14:paraId="1AC2B99C" w14:textId="59A5ABBA" w:rsidR="00A2596F" w:rsidRDefault="00A2596F" w:rsidP="00A2596F">
      <w:pPr>
        <w:spacing w:line="480" w:lineRule="auto"/>
      </w:pPr>
      <w:r>
        <w:tab/>
        <w:t xml:space="preserve">Among </w:t>
      </w:r>
      <w:r w:rsidR="00D722AF">
        <w:t>racial/ethnic</w:t>
      </w:r>
      <w:r>
        <w:t xml:space="preserve"> minorities, discrimination and racism are significantly related to stress levels (</w:t>
      </w:r>
      <w:r w:rsidR="00BB2191">
        <w:t>Kogan et al., 20</w:t>
      </w:r>
      <w:r w:rsidR="003E0A38">
        <w:t>14;</w:t>
      </w:r>
      <w:r w:rsidR="00BB2191">
        <w:t xml:space="preserve"> </w:t>
      </w:r>
      <w:r>
        <w:t xml:space="preserve">Pascoe </w:t>
      </w:r>
      <w:r w:rsidR="003E0A38">
        <w:t xml:space="preserve">&amp; </w:t>
      </w:r>
      <w:r>
        <w:t>Richman, 2009).</w:t>
      </w:r>
      <w:r w:rsidR="005F1C1C">
        <w:t xml:space="preserve"> </w:t>
      </w:r>
      <w:r>
        <w:t xml:space="preserve">Due to society’s racial structures, non-white minorities are often treated as inferior to whites; as a result, </w:t>
      </w:r>
      <w:r w:rsidR="00355709">
        <w:t>these individuals</w:t>
      </w:r>
      <w:r>
        <w:t xml:space="preserve"> experience both intentional and unintentional forms of racism and discrimination (Ford </w:t>
      </w:r>
      <w:r w:rsidR="003E0A38">
        <w:t xml:space="preserve">&amp; </w:t>
      </w:r>
      <w:proofErr w:type="spellStart"/>
      <w:r w:rsidR="000409D6" w:rsidRPr="000409D6">
        <w:t>Airhihenbuwa</w:t>
      </w:r>
      <w:proofErr w:type="spellEnd"/>
      <w:r>
        <w:t>, 2010b).</w:t>
      </w:r>
      <w:r w:rsidR="005F1C1C">
        <w:t xml:space="preserve"> </w:t>
      </w:r>
      <w:r>
        <w:t>For many, the regular encounter with racism and discrimination is appraised as a stressor, and consequently, discriminatory or race-related stress is a chronic deterrent to this population.</w:t>
      </w:r>
      <w:r w:rsidR="005F1C1C">
        <w:t xml:space="preserve"> </w:t>
      </w:r>
      <w:r>
        <w:t>Discriminatory stress has been linked to poor mental health (Kogan et al., 2014) and engagement in risky behaviors (Metzger et al., 2018).</w:t>
      </w:r>
      <w:r w:rsidR="005F1C1C">
        <w:t xml:space="preserve"> </w:t>
      </w:r>
      <w:r>
        <w:t xml:space="preserve">Discriminatory stress could also, perhaps, play a role in </w:t>
      </w:r>
      <w:r w:rsidR="00F41CCF">
        <w:t xml:space="preserve">overeating and </w:t>
      </w:r>
      <w:r>
        <w:t>the obesity health disparity.</w:t>
      </w:r>
    </w:p>
    <w:p w14:paraId="3B574806" w14:textId="3446E18E" w:rsidR="00A2596F" w:rsidRDefault="00A2596F" w:rsidP="00A2596F">
      <w:pPr>
        <w:spacing w:line="480" w:lineRule="auto"/>
      </w:pPr>
      <w:r>
        <w:tab/>
        <w:t>Although research has failed to establish an association between overeating and discriminatory stress, many researchers have investigated a form of overeating (binge eating), and they have found a link between discriminatory stress and binge eating among Latina</w:t>
      </w:r>
      <w:r w:rsidR="003E0A38">
        <w:t>s</w:t>
      </w:r>
      <w:r>
        <w:t xml:space="preserve"> (Higgins-</w:t>
      </w:r>
      <w:proofErr w:type="spellStart"/>
      <w:r>
        <w:t>Neyland</w:t>
      </w:r>
      <w:proofErr w:type="spellEnd"/>
      <w:r>
        <w:t xml:space="preserve"> </w:t>
      </w:r>
      <w:r w:rsidR="00932390">
        <w:t>&amp;</w:t>
      </w:r>
      <w:r w:rsidR="00C30036">
        <w:t xml:space="preserve"> </w:t>
      </w:r>
      <w:proofErr w:type="spellStart"/>
      <w:r w:rsidR="00C30036">
        <w:t>Bardone</w:t>
      </w:r>
      <w:proofErr w:type="spellEnd"/>
      <w:r w:rsidR="00D5266F">
        <w:t>-</w:t>
      </w:r>
      <w:r w:rsidR="00C30036">
        <w:t>Cone</w:t>
      </w:r>
      <w:r>
        <w:t>., 2017), Native American women (Clark et al., 2012), and African American women (Harrington et al., 2006).</w:t>
      </w:r>
      <w:r w:rsidR="005F1C1C">
        <w:t xml:space="preserve"> </w:t>
      </w:r>
      <w:r>
        <w:t xml:space="preserve">Binge eating is a distinct category of </w:t>
      </w:r>
      <w:r>
        <w:lastRenderedPageBreak/>
        <w:t xml:space="preserve">overeating characterized by consuming an excess quantity of food in a short bout of time coupled with a feeling of loss of control </w:t>
      </w:r>
      <w:r>
        <w:fldChar w:fldCharType="begin"/>
      </w:r>
      <w:r>
        <w:instrText xml:space="preserve"> ADDIN ZOTERO_ITEM CSL_CITATION {"citationID":"aS8hGUk8","properties":{"formattedCitation":"(White &amp; Grilo, 2011)","plainCitation":"(White &amp; Grilo, 2011)","noteIndex":0},"citationItems":[{"id":167,"uris":["http://zotero.org/users/local/aUK5ZLEi/items/KZQFTCQC"],"uri":["http://zotero.org/users/local/aUK5ZLEi/items/KZQFTCQC"],"itemData":{"id":167,"type":"article-journal","abstract":"Objective: Research has examined various aspects of the validity of the research criteria for binge eating disorder (BED) but has yet to evaluate the utility of the 5 Diagnostic and Statistical Manual of Mental Disorders (4th ed.; DSM–IV; American Psychiatric Association, 1994) “indicators for impaired control” specified to help determine loss of control while overeating (i.e., binge eating). We examined the diagnostic efficiency of these indicators proposed as part of the research criteria for BED (eating until uncomfortably full; eating when not hungry; eating more rapidly than usual; eating in secret; and feeling disgust, shame, or depression after the episode). Method: A total of 916 community volunteers completed a battery of measures including questions about each of the indicators. Participants were categorized into 3 groups: BED (N = 164), bulimia nervosa (BN; N = 83), and non-binge-eating controls (N = 669). Four conditional probabilities (sensitivity, specificity, positive predictive power [PPP], and negative predictive power [NPP]) as well as total predictive value (TPV) and kappa coefficients were calculated for each indicator criterion in separate analyses comparing BED, BN, and combined BED + BN groups relative to controls. Results: PPPs and NPPs suggest all of the indicators have predictive value, with eating alone because embarrassed (PPP = .80) and feeling disgusted (NPP = .93) performing as the best inclusion and exclusion criteria, respectively. The best overall indicators for correctly identifying binge eating (based on TPV and kappa) were eating when not hungry and eating alone because embarrassed. Conclusions: All 5 proposed indicators for impaired control for determining binge eating have utility, and the diagnostic efficiency statistics provide guidance for clinicians and the DSM–5 regarding their usefulness for inclusion or exclusion. (PsycINFO Database Record (c) 2016 APA, all rights reserved) (Source: journal abstract)","container-title":"Journal of Consulting and Clinical Psychology","DOI":"http://dx.doi.org.ezproxy.lib.ou.edu/10.1037/a0022210","ISSN":"0022-006X","issue":"1","language":"English","page":"75-83","source":"ProQuest","title":"Diagnostic efficiency of DSM– IV indicators for binge eating episodes","volume":"79","author":[{"family":"White","given":"Marney A."},{"family":"Grilo","given":"Carlos M."}],"issued":{"date-parts":[["2011",2]]}}}],"schema":"https://github.com/citation-style-language/schema/raw/master/csl-citation.json"} </w:instrText>
      </w:r>
      <w:r>
        <w:fldChar w:fldCharType="separate"/>
      </w:r>
      <w:r>
        <w:rPr>
          <w:noProof/>
        </w:rPr>
        <w:t>(White &amp; Grilo, 2011)</w:t>
      </w:r>
      <w:r>
        <w:fldChar w:fldCharType="end"/>
      </w:r>
      <w:r>
        <w:t>.</w:t>
      </w:r>
      <w:r w:rsidR="005F1C1C">
        <w:t xml:space="preserve"> </w:t>
      </w:r>
      <w:r>
        <w:t>In addition, there is a clinical and psychological component.</w:t>
      </w:r>
      <w:r w:rsidR="005F1C1C">
        <w:t xml:space="preserve"> </w:t>
      </w:r>
      <w:r>
        <w:t>If binge eating persists</w:t>
      </w:r>
      <w:r w:rsidR="00EA1F19">
        <w:t xml:space="preserve"> without treatment</w:t>
      </w:r>
      <w:r>
        <w:t xml:space="preserve">, it can develop into an eating disorder </w:t>
      </w:r>
      <w:r>
        <w:fldChar w:fldCharType="begin"/>
      </w:r>
      <w:r>
        <w:instrText xml:space="preserve"> ADDIN ZOTERO_ITEM CSL_CITATION {"citationID":"oM7A0gqA","properties":{"formattedCitation":"(Stice et al., 2002; White &amp; Grilo, 2011)","plainCitation":"(Stice et al., 2002; White &amp; Grilo, 2011)","noteIndex":0},"citationItems":[{"id":159,"uris":["http://zotero.org/users/local/aUK5ZLEi/items/5H9DR4U4"],"uri":["http://zotero.org/users/local/aUK5ZLEi/items/5H9DR4U4"],"itemData":{"id":159,"type":"article-journal","abstract":"Because little is known about the predictors of binge eating (a risk factor for obesity), a set of putative risk factors for binge eating was investigated in a longitudinal study of adolescent girls. Results verified that binge eating predicted obesity onset. Elevated dieting, pressure to be thin, modeling of eating disturbances, appearance overvaluation, body dissatisfaction, depressive symptoms, emotional eating, body mass, and low self-esteem and social support predicted binge eating onset with 92% accuracy, Classification tree analysis revealed an interaction between appearance overvaluation, body mass, dieting, and depressive symptoms, suggesting qualitatively different pathways to binge eating and identifying subgroups at extreme risk for this outcome. Results support the assertion that these psychosocial and biological factors increase risk for binge eating. (PsycINFO Database Record (c) 2016 APA, all rights reserved)","container-title":"Health Psychology","DOI":"http://dx.doi.org.ezproxy.lib.ou.edu/10.1037/0278-6133.21.2.131","ISSN":"0278-6133","issue":"2","language":"English","page":"131-138","source":"ProQuest","title":"Risk factors for binge eating onset in adolescent girls: A 2-year prospective investigation","title-short":"Risk factors for binge eating onset in adolescent girls","volume":"21","author":[{"family":"Stice","given":"Eric"},{"family":"Presnell","given":"Katherine"},{"family":"Spangler","given":"Diane"}],"issued":{"date-parts":[["2002",3]]}}},{"id":167,"uris":["http://zotero.org/users/local/aUK5ZLEi/items/KZQFTCQC"],"uri":["http://zotero.org/users/local/aUK5ZLEi/items/KZQFTCQC"],"itemData":{"id":167,"type":"article-journal","abstract":"Objective: Research has examined various aspects of the validity of the research criteria for binge eating disorder (BED) but has yet to evaluate the utility of the 5 Diagnostic and Statistical Manual of Mental Disorders (4th ed.; DSM–IV; American Psychiatric Association, 1994) “indicators for impaired control” specified to help determine loss of control while overeating (i.e., binge eating). We examined the diagnostic efficiency of these indicators proposed as part of the research criteria for BED (eating until uncomfortably full; eating when not hungry; eating more rapidly than usual; eating in secret; and feeling disgust, shame, or depression after the episode). Method: A total of 916 community volunteers completed a battery of measures including questions about each of the indicators. Participants were categorized into 3 groups: BED (N = 164), bulimia nervosa (BN; N = 83), and non-binge-eating controls (N = 669). Four conditional probabilities (sensitivity, specificity, positive predictive power [PPP], and negative predictive power [NPP]) as well as total predictive value (TPV) and kappa coefficients were calculated for each indicator criterion in separate analyses comparing BED, BN, and combined BED + BN groups relative to controls. Results: PPPs and NPPs suggest all of the indicators have predictive value, with eating alone because embarrassed (PPP = .80) and feeling disgusted (NPP = .93) performing as the best inclusion and exclusion criteria, respectively. The best overall indicators for correctly identifying binge eating (based on TPV and kappa) were eating when not hungry and eating alone because embarrassed. Conclusions: All 5 proposed indicators for impaired control for determining binge eating have utility, and the diagnostic efficiency statistics provide guidance for clinicians and the DSM–5 regarding their usefulness for inclusion or exclusion. (PsycINFO Database Record (c) 2016 APA, all rights reserved) (Source: journal abstract)","container-title":"Journal of Consulting and Clinical Psychology","DOI":"http://dx.doi.org.ezproxy.lib.ou.edu/10.1037/a0022210","ISSN":"0022-006X","issue":"1","language":"English","page":"75-83","source":"ProQuest","title":"Diagnostic efficiency of DSM– IV indicators for binge eating episodes","volume":"79","author":[{"family":"White","given":"Marney A."},{"family":"Grilo","given":"Carlos M."}],"issued":{"date-parts":[["2011",2]]}}}],"schema":"https://github.com/citation-style-language/schema/raw/master/csl-citation.json"} </w:instrText>
      </w:r>
      <w:r>
        <w:fldChar w:fldCharType="separate"/>
      </w:r>
      <w:r>
        <w:rPr>
          <w:noProof/>
        </w:rPr>
        <w:t>(Stice et al., 2002; White &amp; Grilo, 2011)</w:t>
      </w:r>
      <w:r>
        <w:fldChar w:fldCharType="end"/>
      </w:r>
      <w:r>
        <w:t>.</w:t>
      </w:r>
    </w:p>
    <w:p w14:paraId="1E72EA6B" w14:textId="5A163A81" w:rsidR="00A2596F" w:rsidRDefault="00A2596F" w:rsidP="00A2596F">
      <w:pPr>
        <w:spacing w:line="480" w:lineRule="auto"/>
      </w:pPr>
      <w:r>
        <w:tab/>
        <w:t xml:space="preserve">Extensive research has examined </w:t>
      </w:r>
      <w:r w:rsidR="00BB2191">
        <w:t>overeating</w:t>
      </w:r>
      <w:r>
        <w:t xml:space="preserve"> in relation to </w:t>
      </w:r>
      <w:r w:rsidR="00BB2191">
        <w:t>stress</w:t>
      </w:r>
      <w:r>
        <w:t xml:space="preserve"> among white women (</w:t>
      </w:r>
      <w:proofErr w:type="spellStart"/>
      <w:r>
        <w:t>Christaki</w:t>
      </w:r>
      <w:proofErr w:type="spellEnd"/>
      <w:r>
        <w:t xml:space="preserve"> et al., 2013; Manzoni et al., 2009; </w:t>
      </w:r>
      <w:proofErr w:type="spellStart"/>
      <w:r>
        <w:t>Vieten</w:t>
      </w:r>
      <w:proofErr w:type="spellEnd"/>
      <w:r>
        <w:t xml:space="preserve"> et al., 2018; Webber et al., 2018).</w:t>
      </w:r>
      <w:r w:rsidR="005F1C1C">
        <w:t xml:space="preserve"> </w:t>
      </w:r>
      <w:r>
        <w:t>Likewise, many studies have investigated binge eating in relation to discriminatory stress among racial</w:t>
      </w:r>
      <w:r w:rsidR="000409D6">
        <w:t>/</w:t>
      </w:r>
      <w:r>
        <w:t xml:space="preserve">ethnic minority women (Clark et al., 2012; </w:t>
      </w:r>
      <w:r w:rsidR="00BB2191">
        <w:t xml:space="preserve">Harrington et al. 2006; </w:t>
      </w:r>
      <w:r>
        <w:t>Higgins</w:t>
      </w:r>
      <w:r w:rsidR="00932390">
        <w:t>-</w:t>
      </w:r>
      <w:proofErr w:type="spellStart"/>
      <w:r>
        <w:t>Neyland</w:t>
      </w:r>
      <w:proofErr w:type="spellEnd"/>
      <w:r w:rsidR="00C30036">
        <w:t xml:space="preserve"> </w:t>
      </w:r>
      <w:r w:rsidR="00932390">
        <w:t>&amp;</w:t>
      </w:r>
      <w:r w:rsidR="00C30036">
        <w:t xml:space="preserve"> </w:t>
      </w:r>
      <w:proofErr w:type="spellStart"/>
      <w:r w:rsidR="00C30036">
        <w:t>Bardone</w:t>
      </w:r>
      <w:proofErr w:type="spellEnd"/>
      <w:r w:rsidR="00C30036">
        <w:t>-Cone</w:t>
      </w:r>
      <w:r>
        <w:t>, 2017).</w:t>
      </w:r>
      <w:r w:rsidR="005F1C1C">
        <w:t xml:space="preserve"> </w:t>
      </w:r>
      <w:r>
        <w:t>However, there is a substantial lack of research regarding overeating among racial</w:t>
      </w:r>
      <w:r w:rsidR="000409D6">
        <w:t>/</w:t>
      </w:r>
      <w:r>
        <w:t>ethnic minority men and women.</w:t>
      </w:r>
      <w:r w:rsidR="005F1C1C">
        <w:t xml:space="preserve"> </w:t>
      </w:r>
      <w:r>
        <w:t>Since obesity rates are highest among these populations, it is likely that overeating is also a significant problem among them.</w:t>
      </w:r>
      <w:r w:rsidR="005F1C1C">
        <w:t xml:space="preserve"> </w:t>
      </w:r>
      <w:r>
        <w:t>Discriminatory stress has been evidenced to impair the health status of these populations; therefore, it may also be linked to the obesity health disparity.</w:t>
      </w:r>
    </w:p>
    <w:p w14:paraId="3997D55A" w14:textId="77777777" w:rsidR="00A2596F" w:rsidRPr="00C632EB" w:rsidRDefault="00A2596F" w:rsidP="00A2596F">
      <w:pPr>
        <w:spacing w:line="480" w:lineRule="auto"/>
        <w:rPr>
          <w:b/>
          <w:bCs/>
        </w:rPr>
      </w:pPr>
      <w:r w:rsidRPr="00C632EB">
        <w:rPr>
          <w:b/>
          <w:bCs/>
        </w:rPr>
        <w:t>Purpose of Study</w:t>
      </w:r>
      <w:r w:rsidRPr="00C632EB">
        <w:rPr>
          <w:b/>
          <w:bCs/>
        </w:rPr>
        <w:tab/>
      </w:r>
    </w:p>
    <w:p w14:paraId="10E0A64E" w14:textId="60DBB2B1" w:rsidR="00A2596F" w:rsidRPr="00C632EB" w:rsidRDefault="00A2596F" w:rsidP="00A2596F">
      <w:pPr>
        <w:spacing w:line="480" w:lineRule="auto"/>
        <w:ind w:firstLine="720"/>
      </w:pPr>
      <w:r>
        <w:t xml:space="preserve">The purpose of the current study </w:t>
      </w:r>
      <w:r w:rsidR="00B6069E">
        <w:t>wa</w:t>
      </w:r>
      <w:r>
        <w:t>s to investigate the relationship between discriminatory stress and overeating among racial</w:t>
      </w:r>
      <w:r w:rsidR="000409D6">
        <w:t>/</w:t>
      </w:r>
      <w:r>
        <w:t>ethnic minority men and women.</w:t>
      </w:r>
      <w:r w:rsidR="005F1C1C">
        <w:t xml:space="preserve"> </w:t>
      </w:r>
      <w:r>
        <w:t>The findings of this study may be used to expand the knowledge of the health field in order to create more effective interventions that target obesity among racial</w:t>
      </w:r>
      <w:r w:rsidR="000409D6">
        <w:t>/</w:t>
      </w:r>
      <w:r>
        <w:t xml:space="preserve">ethnic minorities. </w:t>
      </w:r>
    </w:p>
    <w:p w14:paraId="1558B230" w14:textId="44BAC408" w:rsidR="00A2596F" w:rsidRDefault="00A2596F" w:rsidP="00A2596F">
      <w:pPr>
        <w:spacing w:line="480" w:lineRule="auto"/>
      </w:pPr>
      <w:r>
        <w:tab/>
        <w:t xml:space="preserve">The primary research goal </w:t>
      </w:r>
      <w:r w:rsidR="00B6069E">
        <w:t>wa</w:t>
      </w:r>
      <w:r>
        <w:t>s to determine whether discriminatory stress is related to overeating among racial</w:t>
      </w:r>
      <w:r w:rsidR="000409D6">
        <w:t>/</w:t>
      </w:r>
      <w:r>
        <w:t>ethnic minorities.</w:t>
      </w:r>
      <w:r w:rsidR="005F1C1C">
        <w:t xml:space="preserve"> </w:t>
      </w:r>
      <w:r>
        <w:t xml:space="preserve">According to the Critical Race Theory, discrimination plays a significant role in determining the health status of minority populations (Ford </w:t>
      </w:r>
      <w:r w:rsidR="003E0A38">
        <w:t xml:space="preserve">&amp; </w:t>
      </w:r>
      <w:proofErr w:type="spellStart"/>
      <w:r w:rsidR="000409D6" w:rsidRPr="000409D6">
        <w:t>Airhihenbuwa</w:t>
      </w:r>
      <w:proofErr w:type="spellEnd"/>
      <w:r>
        <w:t>, 2010a).</w:t>
      </w:r>
      <w:r w:rsidR="005F1C1C">
        <w:t xml:space="preserve"> </w:t>
      </w:r>
      <w:r>
        <w:t xml:space="preserve">Several studies have evidenced an association between negative eating behaviors and discriminatory stress (Harrington et al., 2006; Longmire-Avital &amp; McQueen, </w:t>
      </w:r>
      <w:r>
        <w:lastRenderedPageBreak/>
        <w:t>2019).</w:t>
      </w:r>
      <w:r w:rsidR="005F1C1C">
        <w:t xml:space="preserve"> </w:t>
      </w:r>
      <w:r>
        <w:t xml:space="preserve">Therefore, it </w:t>
      </w:r>
      <w:r w:rsidR="00B6069E">
        <w:t>wa</w:t>
      </w:r>
      <w:r>
        <w:t>s hypothesized that discriminatory stress w</w:t>
      </w:r>
      <w:r w:rsidR="00B6069E">
        <w:t>ou</w:t>
      </w:r>
      <w:r>
        <w:t>l</w:t>
      </w:r>
      <w:r w:rsidR="00B6069E">
        <w:t>d</w:t>
      </w:r>
      <w:r>
        <w:t xml:space="preserve"> be significantly related to overeating among racial</w:t>
      </w:r>
      <w:r w:rsidR="000409D6">
        <w:t>/</w:t>
      </w:r>
      <w:r>
        <w:t>ethnic minorities.</w:t>
      </w:r>
    </w:p>
    <w:p w14:paraId="06B8A997" w14:textId="60A19E0F" w:rsidR="00A2596F" w:rsidRDefault="00A2596F" w:rsidP="00A2596F">
      <w:pPr>
        <w:spacing w:line="480" w:lineRule="auto"/>
      </w:pPr>
      <w:r>
        <w:tab/>
        <w:t xml:space="preserve">An association between discriminatory stress and binge eating has already been established (Clark et al., 2012; </w:t>
      </w:r>
      <w:r w:rsidR="00BB2191">
        <w:t xml:space="preserve">Harrington et al. 2006; </w:t>
      </w:r>
      <w:r w:rsidR="00932390">
        <w:t>Higgins-</w:t>
      </w:r>
      <w:proofErr w:type="spellStart"/>
      <w:r w:rsidR="00932390">
        <w:t>Neyland</w:t>
      </w:r>
      <w:proofErr w:type="spellEnd"/>
      <w:r>
        <w:t xml:space="preserve"> </w:t>
      </w:r>
      <w:r w:rsidR="00932390">
        <w:t>&amp;</w:t>
      </w:r>
      <w:r w:rsidR="00C30036">
        <w:t xml:space="preserve"> </w:t>
      </w:r>
      <w:proofErr w:type="spellStart"/>
      <w:r w:rsidR="00C30036">
        <w:t>Bardone</w:t>
      </w:r>
      <w:proofErr w:type="spellEnd"/>
      <w:r w:rsidR="00C30036">
        <w:t>-Cone</w:t>
      </w:r>
      <w:r>
        <w:t>, 2017).</w:t>
      </w:r>
      <w:r w:rsidR="005F1C1C">
        <w:t xml:space="preserve"> </w:t>
      </w:r>
      <w:r>
        <w:t xml:space="preserve">Many studies have also compared and contrasted differences in binge eating and overeating among adolescents </w:t>
      </w:r>
      <w:r>
        <w:fldChar w:fldCharType="begin"/>
      </w:r>
      <w:r>
        <w:instrText xml:space="preserve"> ADDIN ZOTERO_ITEM CSL_CITATION {"citationID":"epx9vCoN","properties":{"formattedCitation":"(Goldschmidt et al., 2016)","plainCitation":"(Goldschmidt et al., 2016)","noteIndex":0},"citationItems":[{"id":134,"uris":["http://zotero.org/users/local/aUK5ZLEi/items/LUBRDHDP"],"uri":["http://zotero.org/users/local/aUK5ZLEi/items/LUBRDHDP"],"itemData":{"id":134,"type":"article-journal","abstract":"Overeating (eating an unusually large amount of food) and binge eating (overeating with loss of control [LOC]) predict adverse health consequences in adolescence. We aimed to characterize the stability of and risk factors for these distinct but interrelated constructs during critical developmental transitions. We used a population-based sample (n = 1,902) that completed surveys at 5-year intervals spanning adolescence and young adulthood. The trajectories of no overeating, overeating, binge eating, and binge eating disorder (BED; recurrent binge eating with associated distress) were characterized using cross-tabulations. Body mass index, depressive symptoms, self-esteem, and body satisfaction were examined as risk factors for no overeating, overeating, and binge eating (including BED) 5-years later using multinomial logistic regression. We found that all overeating categories tended to remit to no overeating at 5-year follow-up. Although overeating had the lowest remittance rates at each time-point, binge eating and BED showed higher rates of persistence or worsening of symptoms during the transition from late adolescence/early young adulthood to early/middle young adulthood. Overeating and binge eating had similar risk factors, although for females, depressive symptoms, body satisfaction, and self-esteem in late adolescence/early young adulthood differentially predicted binge eating versus overeating in early/middle young adulthood (ps &lt; .05). While overeating with or without LOC tends to remit over time, problematic eating persists for a subset of individuals. Greater psychosocial problems in late adolescence/early young adulthood predicted greater odds of binge eating relative to overeating in early/middle young adulthood among females, indicating that poorer psychosocial functioning in this developmental stage portends more severe eating-related psychopathology later in life. (PsycINFO Database Record (c) 2016 APA, all rights reserved) (Source: journal abstract)","container-title":"Developmental Psychology","DOI":"http://dx.doi.org.ezproxy.lib.ou.edu/10.1037/dev0000086","ISSN":"0012-1649","issue":"3","language":"English","page":"475-483","source":"ProQuest","title":"Overeating and binge eating in emerging adulthood: 10-year stability and risk factors","title-short":"Overeating and binge eating in emerging adulthood","volume":"52","author":[{"family":"Goldschmidt","given":"Andrea B."},{"family":"Wall","given":"Melanie M."},{"family":"Zhang","given":"Jun"},{"family":"Loth","given":"Katie A."},{"family":"Neumark-Sztainer","given":"Dianne"}],"issued":{"date-parts":[["2016",3]]}}}],"schema":"https://github.com/citation-style-language/schema/raw/master/csl-citation.json"} </w:instrText>
      </w:r>
      <w:r>
        <w:fldChar w:fldCharType="separate"/>
      </w:r>
      <w:r>
        <w:rPr>
          <w:noProof/>
        </w:rPr>
        <w:t>(Goldschmidt et al., 2016)</w:t>
      </w:r>
      <w:r>
        <w:fldChar w:fldCharType="end"/>
      </w:r>
      <w:r>
        <w:t xml:space="preserve"> and college females </w:t>
      </w:r>
      <w:r>
        <w:fldChar w:fldCharType="begin"/>
      </w:r>
      <w:r>
        <w:instrText xml:space="preserve"> ADDIN ZOTERO_ITEM CSL_CITATION {"citationID":"mFhEl3MY","properties":{"formattedCitation":"(Mailloux et al., 2014)","plainCitation":"(Mailloux et al., 2014)","noteIndex":0},"citationItems":[{"id":136,"uris":["http://zotero.org/users/local/aUK5ZLEi/items/YZSZQ8SK"],"uri":["http://zotero.org/users/local/aUK5ZLEi/items/YZSZQ8SK"],"itemData":{"id":136,"type":"article-journal","abstract":"Background: Binge eating (BE) has long been identified as a correlate of overweight and obesity. However, less empirical attention has been given to overeating with and without loss of control (LOC) in nonclinical samples. Purpose: The goal of the present study was to examine the association of (1) established correlates of BE, namely, weight and shape concerns, dietary restraint, and negative affect, and (2) three additional correlates, disinhibition, hunger, and interoceptive awareness (IA), to overeating in a nonclinical sample of college women. Method: Female students ( n = 1,447) aged 18 to 21 years recruited from colleges in three Canadian metropolitan areas completed self-report questionnaires in class to assess sociodemographic and anthropomorphic characteristics, overeating, LOC, dietary restraint, negative affect, weight and shape concerns, IA, disinhibition, and hunger. Results: The established correlates of BE were significant correlates of all types of overeating and explained 33 % of the variance. Disinhibition was the most strongly associated correlate of overeating. Conclusions: Findings suggest that established correlates of BE are associated with other types of overeating such as objective overeating (OOE), as are disinhibition and hunger.","container-title":"International Journal of Behavioral Medicine","DOI":"10.1007/s12529-013-9306-1","ISSN":"1070-5503","issue":"2","journalAbbreviation":"International Journal of Behavioral Medicine","page":"375-384","source":"EBSCOhost","title":"Examining the Associations Between Overeating, Disinhibition, and Hunger in a Nonclinical Sample of College Women","volume":"21","author":[{"family":"Mailloux","given":"Geneviève"},{"family":"Bergeron","given":"Sophie"},{"family":"Meilleur","given":"Dominique"},{"family":"D'Antono","given":"Bianca"},{"family":"Dubé","given":"Isabelle"}],"issued":{"date-parts":[["2014",4]]}}}],"schema":"https://github.com/citation-style-language/schema/raw/master/csl-citation.json"} </w:instrText>
      </w:r>
      <w:r>
        <w:fldChar w:fldCharType="separate"/>
      </w:r>
      <w:r>
        <w:rPr>
          <w:noProof/>
        </w:rPr>
        <w:t>(Mailloux et al., 2014)</w:t>
      </w:r>
      <w:r>
        <w:fldChar w:fldCharType="end"/>
      </w:r>
      <w:r>
        <w:t>.</w:t>
      </w:r>
      <w:r w:rsidR="005F1C1C">
        <w:t xml:space="preserve"> </w:t>
      </w:r>
      <w:r>
        <w:t>The current study aim</w:t>
      </w:r>
      <w:r w:rsidR="00B6069E">
        <w:t>ed</w:t>
      </w:r>
      <w:r>
        <w:t xml:space="preserve"> to examine potential differences in overeating</w:t>
      </w:r>
      <w:r w:rsidR="00F00CCD">
        <w:t xml:space="preserve"> and binge eating</w:t>
      </w:r>
      <w:r>
        <w:t xml:space="preserve"> among a sample of racial</w:t>
      </w:r>
      <w:r w:rsidR="000409D6">
        <w:t>/</w:t>
      </w:r>
      <w:r>
        <w:t>ethnic minority adults.</w:t>
      </w:r>
    </w:p>
    <w:p w14:paraId="0CA1A7CF" w14:textId="081F15F0" w:rsidR="003E0A38" w:rsidRDefault="00DB53D2" w:rsidP="00A2596F">
      <w:pPr>
        <w:spacing w:line="480" w:lineRule="auto"/>
      </w:pPr>
      <w:r>
        <w:tab/>
      </w:r>
      <w:r w:rsidRPr="00AF01CD">
        <w:t>Research has</w:t>
      </w:r>
      <w:r w:rsidR="00661069">
        <w:t xml:space="preserve"> also</w:t>
      </w:r>
      <w:r w:rsidRPr="00AF01CD">
        <w:t xml:space="preserve"> linked B</w:t>
      </w:r>
      <w:r w:rsidR="00661069">
        <w:t xml:space="preserve">ody </w:t>
      </w:r>
      <w:r w:rsidRPr="00AF01CD">
        <w:t>M</w:t>
      </w:r>
      <w:r w:rsidR="00661069">
        <w:t xml:space="preserve">ass </w:t>
      </w:r>
      <w:r w:rsidRPr="00AF01CD">
        <w:t>I</w:t>
      </w:r>
      <w:r w:rsidR="00661069">
        <w:t>ndex</w:t>
      </w:r>
      <w:r w:rsidR="00F84E00">
        <w:t xml:space="preserve"> (BMI)</w:t>
      </w:r>
      <w:r w:rsidRPr="00AF01CD">
        <w:t xml:space="preserve"> to overeating.</w:t>
      </w:r>
      <w:r w:rsidR="005F1C1C">
        <w:t xml:space="preserve"> </w:t>
      </w:r>
      <w:r w:rsidRPr="00AF01CD">
        <w:t>Those who are considered overweight or obese may be more vulnerable to overeating (</w:t>
      </w:r>
      <w:r w:rsidR="00BB2191" w:rsidRPr="00AF01CD">
        <w:t>Buscemi et al., 2014</w:t>
      </w:r>
      <w:r w:rsidR="00BB2191">
        <w:t xml:space="preserve">; </w:t>
      </w:r>
      <w:proofErr w:type="spellStart"/>
      <w:r w:rsidRPr="00AF01CD">
        <w:t>Poelman</w:t>
      </w:r>
      <w:proofErr w:type="spellEnd"/>
      <w:r w:rsidRPr="00AF01CD">
        <w:t xml:space="preserve"> et al., 2013).</w:t>
      </w:r>
      <w:r w:rsidR="005F1C1C">
        <w:t xml:space="preserve"> </w:t>
      </w:r>
      <w:r w:rsidRPr="00AF01CD">
        <w:t xml:space="preserve">Normal or healthy weight individuals may be less susceptible to overeating </w:t>
      </w:r>
      <w:r w:rsidRPr="00AF01CD">
        <w:fldChar w:fldCharType="begin"/>
      </w:r>
      <w:r w:rsidRPr="00AF01CD">
        <w:instrText xml:space="preserve"> ADDIN ZOTERO_ITEM CSL_CITATION {"citationID":"eTZBp9FV","properties":{"formattedCitation":"(Sinha et al., 2019)","plainCitation":"(Sinha et al., 2019)","noteIndex":0},"citationItems":[{"id":27,"uris":["http://zotero.org/users/local/aUK5ZLEi/items/IDGUI8DC"],"uri":["http://zotero.org/users/local/aUK5ZLEi/items/IDGUI8DC"],"itemData":{"id":27,"type":"article-journal","abstract":"Overeating of highly palatable (HP) foods in the ubiquitous HP food cue environment and under stress is associated with weight gain and contributes to the global obesity epidemic. However, subjective and biobehavioral processes that may increase HP overeating are not clear. Using a novel experimental approach, we examined HP food motivation and intake and neuroendocrine responses in the context of food cues, stress and a control neutral relaxing cue exposure in healthy individuals. Methods: Twenty individuals (12 M; 8F; ages 18–45) with body mass index (BMI) in the lean (LN: N = 8; 3/8 female BMI: 18–24.9) or overweight/obese (OW: N = 12; 5/ 12 female; BMI: 25–37) range were enrolled in a controlled, hospital-based, 3-day laboratory experiment. On each day, subjects were exposed to a brief 5-min individualized guided imagery of stress, food cue or an active neutral-relaxing control cue script, followed by a food snack test (FST), with one imagery condition per day and order of imagery exposure randomized and counterbalanced across subjects. Subjective HP food craving and caloric intake, anxiety, cortisol and total ghrelin was assessed repeatedly during each test day. Results: Significant condition and condition × group effects for food craving, anxiety and HP calorie intake were observed, with food cue relative to neutral condition increasing HP food craving and intake across all subjects (p &lt; .001), but stress relative to neutral condition increased HP food craving and intake in the OW but not LN group (p &lt; .01). Pre-snack increases in food craving after exposure to food cues and to stress predicted greater subsequent HP food intake (p's &lt; 0.01). Furthermore, ghrelin increased in the food cue and stress conditions (p &lt; .01), but stress-induced increases in ghrelin was associated with HP food intake only in the OW/OB condition (p &lt; .01). Finally, cortisol increased during food cue exposure and increased cortisol responses were associated with greater HP food caving and with intake (p's &lt; 0.05). Conclusions: These findings, while preliminary, validate a laboratory model of HP food motivation and intake and identify specific subjective and neuroendocrine responses that may play a role in HP snacking with implications for weight gain and obesity risk. (342 words).","container-title":"Physiology &amp; Behavior","DOI":"10.1016/j.physbeh.2019.112563","ISSN":"00319384","journalAbbreviation":"Physiology &amp; Behavior","language":"en","page":"112563","source":"DOI.org (Crossref)","title":"Food craving, cortisol and ghrelin responses in modeling highly palatable snack intake in the laboratory","volume":"208","author":[{"family":"Sinha","given":"Rajita"},{"family":"Gu","given":"Peihua"},{"family":"Hart","given":"Rachel"},{"family":"Guarnaccia","given":"J.B."}],"issued":{"date-parts":[["2019",9]]}}}],"schema":"https://github.com/citation-style-language/schema/raw/master/csl-citation.json"} </w:instrText>
      </w:r>
      <w:r w:rsidRPr="00AF01CD">
        <w:fldChar w:fldCharType="separate"/>
      </w:r>
      <w:r w:rsidRPr="00AF01CD">
        <w:rPr>
          <w:noProof/>
        </w:rPr>
        <w:t>(Sinha et al., 2019)</w:t>
      </w:r>
      <w:r w:rsidRPr="00AF01CD">
        <w:fldChar w:fldCharType="end"/>
      </w:r>
      <w:r w:rsidRPr="00AF01CD">
        <w:t>.</w:t>
      </w:r>
      <w:r w:rsidR="005F1C1C">
        <w:t xml:space="preserve"> </w:t>
      </w:r>
      <w:r w:rsidRPr="00AF01CD">
        <w:t xml:space="preserve">However, </w:t>
      </w:r>
      <w:r w:rsidR="00475D8D">
        <w:t xml:space="preserve">to my knowledge, </w:t>
      </w:r>
      <w:r w:rsidRPr="00AF01CD">
        <w:t xml:space="preserve">these associations have yet to be made among racial </w:t>
      </w:r>
      <w:r w:rsidR="000409D6">
        <w:t>/</w:t>
      </w:r>
      <w:r w:rsidRPr="00AF01CD">
        <w:t>ethnic minorities.</w:t>
      </w:r>
      <w:r w:rsidR="005F1C1C">
        <w:t xml:space="preserve"> </w:t>
      </w:r>
      <w:r w:rsidRPr="00AF01CD">
        <w:t xml:space="preserve">A secondary objective, therefore, </w:t>
      </w:r>
      <w:r w:rsidR="00B6069E">
        <w:t>wa</w:t>
      </w:r>
      <w:r w:rsidRPr="00AF01CD">
        <w:t xml:space="preserve">s to assess differences in overeating between </w:t>
      </w:r>
      <w:r w:rsidR="003E0A38">
        <w:t xml:space="preserve">individuals </w:t>
      </w:r>
      <w:r w:rsidR="000409D6">
        <w:t>who are normal weight, overweight, and obese</w:t>
      </w:r>
      <w:r w:rsidR="003E0A38">
        <w:t>.</w:t>
      </w:r>
    </w:p>
    <w:p w14:paraId="754ECAA3" w14:textId="23FFAF92" w:rsidR="00A2596F" w:rsidRDefault="00A2596F" w:rsidP="00A2596F">
      <w:pPr>
        <w:spacing w:line="480" w:lineRule="auto"/>
      </w:pPr>
      <w:r>
        <w:tab/>
        <w:t>Overeating research traditionally focuses on females more than males because females are more at risk for overeating (Kemps et al., 2014).</w:t>
      </w:r>
      <w:r w:rsidR="005F1C1C">
        <w:t xml:space="preserve"> </w:t>
      </w:r>
      <w:r w:rsidRPr="00DB53D2">
        <w:t xml:space="preserve">Therefore, another objective for the current study </w:t>
      </w:r>
      <w:r w:rsidR="00B6069E">
        <w:t>wa</w:t>
      </w:r>
      <w:r w:rsidRPr="00DB53D2">
        <w:t>s to investigate potential differences in overeating between males and females</w:t>
      </w:r>
      <w:r>
        <w:t>.</w:t>
      </w:r>
      <w:r w:rsidR="005F1C1C">
        <w:t xml:space="preserve"> </w:t>
      </w:r>
      <w:r>
        <w:t>In addition to sex-related differences, the current study aim</w:t>
      </w:r>
      <w:r w:rsidR="00B6069E">
        <w:t>ed</w:t>
      </w:r>
      <w:r>
        <w:t xml:space="preserve"> to determine potential differences across races and ethnicities in both overeating and discriminatory stress.</w:t>
      </w:r>
      <w:r w:rsidR="005F1C1C">
        <w:t xml:space="preserve"> </w:t>
      </w:r>
    </w:p>
    <w:p w14:paraId="40779758" w14:textId="77777777" w:rsidR="00345D52" w:rsidRDefault="00345D52" w:rsidP="00A2596F">
      <w:pPr>
        <w:spacing w:line="480" w:lineRule="auto"/>
        <w:rPr>
          <w:b/>
          <w:bCs/>
        </w:rPr>
      </w:pPr>
    </w:p>
    <w:p w14:paraId="73ADC39A" w14:textId="77777777" w:rsidR="005F1C1C" w:rsidRDefault="005F1C1C" w:rsidP="00A2596F">
      <w:pPr>
        <w:spacing w:line="480" w:lineRule="auto"/>
        <w:rPr>
          <w:b/>
          <w:bCs/>
        </w:rPr>
      </w:pPr>
    </w:p>
    <w:p w14:paraId="3B259893" w14:textId="77777777" w:rsidR="000409D6" w:rsidRDefault="000409D6" w:rsidP="00A2596F">
      <w:pPr>
        <w:spacing w:line="480" w:lineRule="auto"/>
        <w:rPr>
          <w:b/>
          <w:bCs/>
        </w:rPr>
      </w:pPr>
    </w:p>
    <w:p w14:paraId="3F17C35C" w14:textId="77777777" w:rsidR="000409D6" w:rsidRDefault="000409D6" w:rsidP="00A2596F">
      <w:pPr>
        <w:spacing w:line="480" w:lineRule="auto"/>
        <w:rPr>
          <w:b/>
          <w:bCs/>
        </w:rPr>
      </w:pPr>
    </w:p>
    <w:p w14:paraId="6AC0C5AD" w14:textId="2C5B2143" w:rsidR="00A2596F" w:rsidRPr="00867DA9" w:rsidRDefault="00A2596F" w:rsidP="00A2596F">
      <w:pPr>
        <w:spacing w:line="480" w:lineRule="auto"/>
        <w:rPr>
          <w:b/>
          <w:bCs/>
        </w:rPr>
      </w:pPr>
      <w:r w:rsidRPr="00867DA9">
        <w:rPr>
          <w:b/>
          <w:bCs/>
        </w:rPr>
        <w:lastRenderedPageBreak/>
        <w:t>Research Questions</w:t>
      </w:r>
    </w:p>
    <w:p w14:paraId="006C5E6F" w14:textId="696984A8" w:rsidR="00A2596F" w:rsidRPr="00834729" w:rsidRDefault="00BB2191" w:rsidP="00A2596F">
      <w:pPr>
        <w:pStyle w:val="ListParagraph"/>
        <w:numPr>
          <w:ilvl w:val="0"/>
          <w:numId w:val="1"/>
        </w:numPr>
        <w:spacing w:line="480" w:lineRule="auto"/>
        <w:rPr>
          <w:rFonts w:ascii="Times New Roman" w:hAnsi="Times New Roman" w:cs="Times New Roman"/>
          <w:i/>
          <w:iCs/>
        </w:rPr>
      </w:pPr>
      <w:r>
        <w:rPr>
          <w:rFonts w:ascii="Times New Roman" w:hAnsi="Times New Roman" w:cs="Times New Roman"/>
          <w:i/>
          <w:iCs/>
        </w:rPr>
        <w:t xml:space="preserve">Is there a relationship </w:t>
      </w:r>
      <w:r w:rsidR="00A2596F" w:rsidRPr="00834729">
        <w:rPr>
          <w:rFonts w:ascii="Times New Roman" w:hAnsi="Times New Roman" w:cs="Times New Roman"/>
          <w:i/>
          <w:iCs/>
        </w:rPr>
        <w:t>between discriminatory stress and overeating among racia</w:t>
      </w:r>
      <w:r>
        <w:rPr>
          <w:rFonts w:ascii="Times New Roman" w:hAnsi="Times New Roman" w:cs="Times New Roman"/>
          <w:i/>
          <w:iCs/>
        </w:rPr>
        <w:t>l/</w:t>
      </w:r>
      <w:r w:rsidR="00A2596F" w:rsidRPr="00834729">
        <w:rPr>
          <w:rFonts w:ascii="Times New Roman" w:hAnsi="Times New Roman" w:cs="Times New Roman"/>
          <w:i/>
          <w:iCs/>
        </w:rPr>
        <w:t>ethnic minorities?</w:t>
      </w:r>
    </w:p>
    <w:p w14:paraId="586F80F8" w14:textId="34BAF7AD" w:rsidR="00A2596F" w:rsidRDefault="00A2596F" w:rsidP="00A2596F">
      <w:pPr>
        <w:spacing w:line="480" w:lineRule="auto"/>
      </w:pPr>
      <w:r>
        <w:rPr>
          <w:i/>
          <w:iCs/>
        </w:rPr>
        <w:t>H1</w:t>
      </w:r>
      <w:r>
        <w:t>:</w:t>
      </w:r>
      <w:r w:rsidR="005F1C1C">
        <w:t xml:space="preserve"> </w:t>
      </w:r>
      <w:r w:rsidR="00BB2191">
        <w:t>There will be a relationship between discriminatory stress and</w:t>
      </w:r>
      <w:r>
        <w:t xml:space="preserve"> overeating among racial</w:t>
      </w:r>
      <w:r w:rsidR="00BB2191">
        <w:t>/</w:t>
      </w:r>
      <w:r>
        <w:t>ethnic minorities.</w:t>
      </w:r>
    </w:p>
    <w:p w14:paraId="48B39039" w14:textId="76A86743" w:rsidR="00A2596F" w:rsidRDefault="00A2596F" w:rsidP="00A2596F">
      <w:pPr>
        <w:spacing w:line="480" w:lineRule="auto"/>
      </w:pPr>
      <w:r>
        <w:rPr>
          <w:i/>
          <w:iCs/>
        </w:rPr>
        <w:t>H0:</w:t>
      </w:r>
      <w:r w:rsidR="005F1C1C">
        <w:t xml:space="preserve"> </w:t>
      </w:r>
      <w:r>
        <w:t>There will be no relationship between discriminatory stress and overeating among racia</w:t>
      </w:r>
      <w:r w:rsidR="00BB2191">
        <w:t>l/</w:t>
      </w:r>
      <w:r>
        <w:t>ethnic minorities.</w:t>
      </w:r>
    </w:p>
    <w:p w14:paraId="2960844E" w14:textId="77777777" w:rsidR="00396CFF" w:rsidRPr="00CC4EFA" w:rsidRDefault="00396CFF" w:rsidP="00396CFF">
      <w:pPr>
        <w:pStyle w:val="ListParagraph"/>
        <w:numPr>
          <w:ilvl w:val="0"/>
          <w:numId w:val="1"/>
        </w:numPr>
        <w:spacing w:line="480" w:lineRule="auto"/>
        <w:rPr>
          <w:rFonts w:ascii="Times New Roman" w:hAnsi="Times New Roman" w:cs="Times New Roman"/>
          <w:i/>
          <w:iCs/>
        </w:rPr>
      </w:pPr>
      <w:r>
        <w:rPr>
          <w:rFonts w:ascii="Times New Roman" w:hAnsi="Times New Roman" w:cs="Times New Roman"/>
          <w:i/>
          <w:iCs/>
        </w:rPr>
        <w:t>Is there a</w:t>
      </w:r>
      <w:r w:rsidRPr="00834729">
        <w:rPr>
          <w:rFonts w:ascii="Times New Roman" w:hAnsi="Times New Roman" w:cs="Times New Roman"/>
          <w:i/>
          <w:iCs/>
        </w:rPr>
        <w:t xml:space="preserve"> difference in </w:t>
      </w:r>
      <w:r>
        <w:rPr>
          <w:rFonts w:ascii="Times New Roman" w:hAnsi="Times New Roman" w:cs="Times New Roman"/>
          <w:i/>
          <w:iCs/>
        </w:rPr>
        <w:t>discriminatory stress</w:t>
      </w:r>
      <w:r w:rsidRPr="00834729">
        <w:rPr>
          <w:rFonts w:ascii="Times New Roman" w:hAnsi="Times New Roman" w:cs="Times New Roman"/>
          <w:i/>
          <w:iCs/>
        </w:rPr>
        <w:t xml:space="preserve"> between </w:t>
      </w:r>
      <w:r>
        <w:rPr>
          <w:rFonts w:ascii="Times New Roman" w:hAnsi="Times New Roman" w:cs="Times New Roman"/>
          <w:i/>
          <w:iCs/>
        </w:rPr>
        <w:t>African Americans/Blacks, American Indians, and Hispanic/Latino(a)/Spanish Americans</w:t>
      </w:r>
      <w:r w:rsidRPr="00CC4EFA">
        <w:rPr>
          <w:rFonts w:ascii="Times New Roman" w:hAnsi="Times New Roman" w:cs="Times New Roman"/>
          <w:i/>
          <w:iCs/>
        </w:rPr>
        <w:t>?</w:t>
      </w:r>
    </w:p>
    <w:p w14:paraId="76C06539" w14:textId="77777777" w:rsidR="00396CFF" w:rsidRPr="00523986" w:rsidRDefault="00396CFF" w:rsidP="00396CFF">
      <w:pPr>
        <w:spacing w:line="480" w:lineRule="auto"/>
        <w:ind w:left="90"/>
      </w:pPr>
      <w:r w:rsidRPr="00523986">
        <w:rPr>
          <w:i/>
          <w:iCs/>
        </w:rPr>
        <w:t>H1:</w:t>
      </w:r>
      <w:r>
        <w:t xml:space="preserve"> </w:t>
      </w:r>
      <w:r w:rsidRPr="00523986">
        <w:t xml:space="preserve">There will be a significant difference in discriminatory stress between </w:t>
      </w:r>
      <w:r>
        <w:t>African Americans/Blacks</w:t>
      </w:r>
      <w:r w:rsidRPr="00523986">
        <w:t>, American Indians</w:t>
      </w:r>
      <w:r>
        <w:t>, and Hispanic/Latino(a)/Spanish Americans</w:t>
      </w:r>
      <w:r w:rsidRPr="00523986">
        <w:t>.</w:t>
      </w:r>
    </w:p>
    <w:p w14:paraId="4B98096D" w14:textId="02738A6D" w:rsidR="00111C7B" w:rsidRDefault="00396CFF" w:rsidP="00396CFF">
      <w:pPr>
        <w:spacing w:line="480" w:lineRule="auto"/>
      </w:pPr>
      <w:r w:rsidRPr="00523986">
        <w:rPr>
          <w:i/>
          <w:iCs/>
        </w:rPr>
        <w:t>H0:</w:t>
      </w:r>
      <w:r>
        <w:t xml:space="preserve"> </w:t>
      </w:r>
      <w:r w:rsidRPr="00523986">
        <w:t xml:space="preserve">There will be no difference in discriminatory stress between </w:t>
      </w:r>
      <w:r>
        <w:t>African Americans/Blacks</w:t>
      </w:r>
      <w:r w:rsidRPr="00523986">
        <w:t>, American Indians</w:t>
      </w:r>
      <w:r>
        <w:t>, Hispanic/Latino(a)/Spanish Americans</w:t>
      </w:r>
      <w:r w:rsidRPr="00523986">
        <w:t>.</w:t>
      </w:r>
    </w:p>
    <w:p w14:paraId="7229B97B" w14:textId="2FAA5278" w:rsidR="00F2128A" w:rsidRPr="00CC4EFA" w:rsidRDefault="00F2128A" w:rsidP="00F2128A">
      <w:pPr>
        <w:pStyle w:val="ListParagraph"/>
        <w:numPr>
          <w:ilvl w:val="0"/>
          <w:numId w:val="1"/>
        </w:numPr>
        <w:spacing w:line="480" w:lineRule="auto"/>
        <w:rPr>
          <w:rFonts w:ascii="Times New Roman" w:hAnsi="Times New Roman" w:cs="Times New Roman"/>
          <w:i/>
          <w:iCs/>
        </w:rPr>
      </w:pPr>
      <w:r>
        <w:rPr>
          <w:rFonts w:ascii="Times New Roman" w:hAnsi="Times New Roman" w:cs="Times New Roman"/>
          <w:i/>
          <w:iCs/>
        </w:rPr>
        <w:t>Is there a</w:t>
      </w:r>
      <w:r w:rsidRPr="00834729">
        <w:rPr>
          <w:rFonts w:ascii="Times New Roman" w:hAnsi="Times New Roman" w:cs="Times New Roman"/>
          <w:i/>
          <w:iCs/>
        </w:rPr>
        <w:t xml:space="preserve"> difference in </w:t>
      </w:r>
      <w:r>
        <w:rPr>
          <w:rFonts w:ascii="Times New Roman" w:hAnsi="Times New Roman" w:cs="Times New Roman"/>
          <w:i/>
          <w:iCs/>
        </w:rPr>
        <w:t>discriminatory stress</w:t>
      </w:r>
      <w:r w:rsidRPr="00834729">
        <w:rPr>
          <w:rFonts w:ascii="Times New Roman" w:hAnsi="Times New Roman" w:cs="Times New Roman"/>
          <w:i/>
          <w:iCs/>
        </w:rPr>
        <w:t xml:space="preserve"> between </w:t>
      </w:r>
      <w:r>
        <w:rPr>
          <w:rFonts w:ascii="Times New Roman" w:hAnsi="Times New Roman" w:cs="Times New Roman"/>
          <w:i/>
          <w:iCs/>
        </w:rPr>
        <w:t>males and females</w:t>
      </w:r>
      <w:r w:rsidRPr="00CC4EFA">
        <w:rPr>
          <w:rFonts w:ascii="Times New Roman" w:hAnsi="Times New Roman" w:cs="Times New Roman"/>
          <w:i/>
          <w:iCs/>
        </w:rPr>
        <w:t>?</w:t>
      </w:r>
    </w:p>
    <w:p w14:paraId="45BD9C3E" w14:textId="5C254547" w:rsidR="00F2128A" w:rsidRPr="00523986" w:rsidRDefault="00F2128A" w:rsidP="00F2128A">
      <w:pPr>
        <w:spacing w:line="480" w:lineRule="auto"/>
        <w:ind w:left="90"/>
      </w:pPr>
      <w:r w:rsidRPr="00523986">
        <w:rPr>
          <w:i/>
          <w:iCs/>
        </w:rPr>
        <w:t>H1:</w:t>
      </w:r>
      <w:r>
        <w:t xml:space="preserve"> </w:t>
      </w:r>
      <w:r w:rsidRPr="00523986">
        <w:t xml:space="preserve">There will be a significant difference in </w:t>
      </w:r>
      <w:r>
        <w:t>discriminatory stress</w:t>
      </w:r>
      <w:r w:rsidRPr="00523986">
        <w:t xml:space="preserve"> between </w:t>
      </w:r>
      <w:r>
        <w:t>males and females</w:t>
      </w:r>
      <w:r w:rsidRPr="00523986">
        <w:t>.</w:t>
      </w:r>
    </w:p>
    <w:p w14:paraId="259221DC" w14:textId="3CAE9CE8" w:rsidR="00F2128A" w:rsidRDefault="00F2128A" w:rsidP="00396CFF">
      <w:pPr>
        <w:spacing w:line="480" w:lineRule="auto"/>
      </w:pPr>
      <w:r w:rsidRPr="00523986">
        <w:rPr>
          <w:i/>
          <w:iCs/>
        </w:rPr>
        <w:t>H0:</w:t>
      </w:r>
      <w:r>
        <w:t xml:space="preserve"> </w:t>
      </w:r>
      <w:r w:rsidRPr="00523986">
        <w:t xml:space="preserve">There will be no difference in </w:t>
      </w:r>
      <w:r>
        <w:t>discriminatory stress</w:t>
      </w:r>
      <w:r w:rsidRPr="00523986">
        <w:t xml:space="preserve"> between </w:t>
      </w:r>
      <w:r>
        <w:t>males and females</w:t>
      </w:r>
      <w:r w:rsidRPr="00523986">
        <w:t>.</w:t>
      </w:r>
    </w:p>
    <w:p w14:paraId="60E9BAF0" w14:textId="33E71FB2" w:rsidR="00111C7B" w:rsidRPr="00834729" w:rsidRDefault="00111C7B" w:rsidP="00111C7B">
      <w:pPr>
        <w:pStyle w:val="ListParagraph"/>
        <w:numPr>
          <w:ilvl w:val="0"/>
          <w:numId w:val="1"/>
        </w:numPr>
        <w:spacing w:line="480" w:lineRule="auto"/>
        <w:rPr>
          <w:rFonts w:ascii="Times New Roman" w:hAnsi="Times New Roman" w:cs="Times New Roman"/>
          <w:i/>
          <w:iCs/>
        </w:rPr>
      </w:pPr>
      <w:r>
        <w:rPr>
          <w:rFonts w:ascii="Times New Roman" w:hAnsi="Times New Roman" w:cs="Times New Roman"/>
          <w:i/>
          <w:iCs/>
        </w:rPr>
        <w:t>Is there a</w:t>
      </w:r>
      <w:r w:rsidRPr="00834729">
        <w:rPr>
          <w:rFonts w:ascii="Times New Roman" w:hAnsi="Times New Roman" w:cs="Times New Roman"/>
          <w:i/>
          <w:iCs/>
        </w:rPr>
        <w:t xml:space="preserve"> difference in </w:t>
      </w:r>
      <w:r>
        <w:rPr>
          <w:rFonts w:ascii="Times New Roman" w:hAnsi="Times New Roman" w:cs="Times New Roman"/>
          <w:i/>
          <w:iCs/>
        </w:rPr>
        <w:t>discriminatory stress across various levels of education</w:t>
      </w:r>
      <w:r w:rsidR="000409D6">
        <w:rPr>
          <w:rFonts w:ascii="Times New Roman" w:hAnsi="Times New Roman" w:cs="Times New Roman"/>
          <w:i/>
          <w:iCs/>
        </w:rPr>
        <w:t xml:space="preserve"> </w:t>
      </w:r>
      <w:r>
        <w:rPr>
          <w:rFonts w:ascii="Times New Roman" w:hAnsi="Times New Roman" w:cs="Times New Roman"/>
          <w:i/>
          <w:iCs/>
        </w:rPr>
        <w:t>and geographical region</w:t>
      </w:r>
      <w:r w:rsidRPr="00834729">
        <w:rPr>
          <w:rFonts w:ascii="Times New Roman" w:hAnsi="Times New Roman" w:cs="Times New Roman"/>
          <w:i/>
          <w:iCs/>
        </w:rPr>
        <w:t>?</w:t>
      </w:r>
    </w:p>
    <w:p w14:paraId="01B5637B" w14:textId="5A2486C0" w:rsidR="00111C7B" w:rsidRDefault="00111C7B" w:rsidP="00111C7B">
      <w:pPr>
        <w:spacing w:line="480" w:lineRule="auto"/>
      </w:pPr>
      <w:r>
        <w:rPr>
          <w:i/>
          <w:iCs/>
        </w:rPr>
        <w:t>H1:</w:t>
      </w:r>
      <w:r>
        <w:t xml:space="preserve"> There will be a </w:t>
      </w:r>
      <w:r w:rsidRPr="00867DA9">
        <w:t>significant difference</w:t>
      </w:r>
      <w:r>
        <w:t xml:space="preserve"> in discriminatory stress across various levels of education</w:t>
      </w:r>
      <w:r w:rsidR="000409D6">
        <w:t xml:space="preserve"> </w:t>
      </w:r>
      <w:r>
        <w:t>and geographical region.</w:t>
      </w:r>
    </w:p>
    <w:p w14:paraId="358E67E8" w14:textId="0C92BE34" w:rsidR="00396CFF" w:rsidRDefault="00111C7B" w:rsidP="00A2596F">
      <w:pPr>
        <w:spacing w:line="480" w:lineRule="auto"/>
      </w:pPr>
      <w:r>
        <w:rPr>
          <w:i/>
          <w:iCs/>
        </w:rPr>
        <w:t>H0:</w:t>
      </w:r>
      <w:r>
        <w:t xml:space="preserve"> There will be no</w:t>
      </w:r>
      <w:r w:rsidRPr="00867DA9">
        <w:t xml:space="preserve"> difference</w:t>
      </w:r>
      <w:r>
        <w:t xml:space="preserve"> in discriminatory stress across various levels of education</w:t>
      </w:r>
      <w:r w:rsidR="000409D6">
        <w:t xml:space="preserve"> and </w:t>
      </w:r>
      <w:r>
        <w:t>geographical region.</w:t>
      </w:r>
    </w:p>
    <w:p w14:paraId="2BB0AFC1" w14:textId="61473E0A" w:rsidR="00A2596F" w:rsidRPr="00834729" w:rsidRDefault="008C2D00" w:rsidP="00A2596F">
      <w:pPr>
        <w:pStyle w:val="ListParagraph"/>
        <w:numPr>
          <w:ilvl w:val="0"/>
          <w:numId w:val="1"/>
        </w:numPr>
        <w:spacing w:line="480" w:lineRule="auto"/>
        <w:rPr>
          <w:rFonts w:ascii="Times New Roman" w:hAnsi="Times New Roman" w:cs="Times New Roman"/>
          <w:i/>
          <w:iCs/>
        </w:rPr>
      </w:pPr>
      <w:r>
        <w:rPr>
          <w:rFonts w:ascii="Times New Roman" w:hAnsi="Times New Roman" w:cs="Times New Roman"/>
          <w:i/>
          <w:iCs/>
        </w:rPr>
        <w:lastRenderedPageBreak/>
        <w:t>Is there a</w:t>
      </w:r>
      <w:r w:rsidR="00A2596F" w:rsidRPr="00834729">
        <w:rPr>
          <w:rFonts w:ascii="Times New Roman" w:hAnsi="Times New Roman" w:cs="Times New Roman"/>
          <w:i/>
          <w:iCs/>
        </w:rPr>
        <w:t xml:space="preserve"> difference in overeating between </w:t>
      </w:r>
      <w:r w:rsidR="005F1C1C">
        <w:rPr>
          <w:rFonts w:ascii="Times New Roman" w:hAnsi="Times New Roman" w:cs="Times New Roman"/>
          <w:i/>
          <w:iCs/>
        </w:rPr>
        <w:t>African Americans/Blacks</w:t>
      </w:r>
      <w:r w:rsidR="00A2596F">
        <w:rPr>
          <w:rFonts w:ascii="Times New Roman" w:hAnsi="Times New Roman" w:cs="Times New Roman"/>
          <w:i/>
          <w:iCs/>
        </w:rPr>
        <w:t xml:space="preserve">, </w:t>
      </w:r>
      <w:r w:rsidR="0021645C">
        <w:rPr>
          <w:rFonts w:ascii="Times New Roman" w:hAnsi="Times New Roman" w:cs="Times New Roman"/>
          <w:i/>
          <w:iCs/>
        </w:rPr>
        <w:t xml:space="preserve">American Indians, and </w:t>
      </w:r>
      <w:r w:rsidR="005F1C1C">
        <w:rPr>
          <w:rFonts w:ascii="Times New Roman" w:hAnsi="Times New Roman" w:cs="Times New Roman"/>
          <w:i/>
          <w:iCs/>
        </w:rPr>
        <w:t>Hispanic/Latino(a)/Spanish Americans</w:t>
      </w:r>
      <w:r w:rsidR="00A2596F" w:rsidRPr="00834729">
        <w:rPr>
          <w:rFonts w:ascii="Times New Roman" w:hAnsi="Times New Roman" w:cs="Times New Roman"/>
          <w:i/>
          <w:iCs/>
        </w:rPr>
        <w:t>?</w:t>
      </w:r>
    </w:p>
    <w:p w14:paraId="345338CF" w14:textId="02989580" w:rsidR="00A2596F" w:rsidRDefault="00A2596F" w:rsidP="00A2596F">
      <w:pPr>
        <w:spacing w:line="480" w:lineRule="auto"/>
      </w:pPr>
      <w:r>
        <w:rPr>
          <w:i/>
          <w:iCs/>
        </w:rPr>
        <w:t>H1:</w:t>
      </w:r>
      <w:r w:rsidR="005F1C1C">
        <w:t xml:space="preserve"> </w:t>
      </w:r>
      <w:r>
        <w:t xml:space="preserve">There will be a </w:t>
      </w:r>
      <w:r w:rsidRPr="00867DA9">
        <w:t>significant difference</w:t>
      </w:r>
      <w:r>
        <w:t xml:space="preserve"> in overeating between </w:t>
      </w:r>
      <w:r w:rsidR="005F1C1C">
        <w:t>African Americans/Blacks</w:t>
      </w:r>
      <w:r>
        <w:t xml:space="preserve">, </w:t>
      </w:r>
      <w:r w:rsidR="00517219">
        <w:t>American Indians,</w:t>
      </w:r>
      <w:r w:rsidR="005A4262">
        <w:t xml:space="preserve"> and </w:t>
      </w:r>
      <w:r w:rsidR="005F1C1C">
        <w:t>Hispanic/Latino(a)/Spanish Americans</w:t>
      </w:r>
      <w:r>
        <w:t>.</w:t>
      </w:r>
    </w:p>
    <w:p w14:paraId="77B731CA" w14:textId="0B430AC6" w:rsidR="00A2596F" w:rsidRDefault="00A2596F" w:rsidP="00A2596F">
      <w:pPr>
        <w:spacing w:line="480" w:lineRule="auto"/>
      </w:pPr>
      <w:r>
        <w:rPr>
          <w:i/>
          <w:iCs/>
        </w:rPr>
        <w:t>H0:</w:t>
      </w:r>
      <w:r w:rsidR="005F1C1C">
        <w:t xml:space="preserve"> </w:t>
      </w:r>
      <w:r>
        <w:t xml:space="preserve">There will be no difference in overeating between </w:t>
      </w:r>
      <w:r w:rsidR="005F1C1C">
        <w:t>African Americans/Blacks</w:t>
      </w:r>
      <w:r>
        <w:t xml:space="preserve">, </w:t>
      </w:r>
      <w:r w:rsidR="0021645C">
        <w:t xml:space="preserve">American Indians, and </w:t>
      </w:r>
      <w:r w:rsidR="005F1C1C">
        <w:t>Hispanic/Latino(a)/Spanish Americans</w:t>
      </w:r>
      <w:r>
        <w:t>.</w:t>
      </w:r>
    </w:p>
    <w:p w14:paraId="6B327E72" w14:textId="4D661121" w:rsidR="00DB53D2" w:rsidRPr="00CC4EFA" w:rsidRDefault="004E1D68" w:rsidP="00DB53D2">
      <w:pPr>
        <w:pStyle w:val="ListParagraph"/>
        <w:numPr>
          <w:ilvl w:val="0"/>
          <w:numId w:val="1"/>
        </w:numPr>
        <w:spacing w:line="480" w:lineRule="auto"/>
        <w:rPr>
          <w:rFonts w:ascii="Times New Roman" w:hAnsi="Times New Roman" w:cs="Times New Roman"/>
          <w:i/>
          <w:iCs/>
        </w:rPr>
      </w:pPr>
      <w:r>
        <w:rPr>
          <w:rFonts w:ascii="Times New Roman" w:hAnsi="Times New Roman" w:cs="Times New Roman"/>
          <w:i/>
          <w:iCs/>
        </w:rPr>
        <w:t>Is there a</w:t>
      </w:r>
      <w:r w:rsidR="00DB53D2" w:rsidRPr="00834729">
        <w:rPr>
          <w:rFonts w:ascii="Times New Roman" w:hAnsi="Times New Roman" w:cs="Times New Roman"/>
          <w:i/>
          <w:iCs/>
        </w:rPr>
        <w:t xml:space="preserve"> difference in </w:t>
      </w:r>
      <w:r w:rsidR="00DB53D2">
        <w:rPr>
          <w:rFonts w:ascii="Times New Roman" w:hAnsi="Times New Roman" w:cs="Times New Roman"/>
          <w:i/>
          <w:iCs/>
        </w:rPr>
        <w:t>overeating</w:t>
      </w:r>
      <w:r w:rsidR="00DB53D2" w:rsidRPr="00834729">
        <w:rPr>
          <w:rFonts w:ascii="Times New Roman" w:hAnsi="Times New Roman" w:cs="Times New Roman"/>
          <w:i/>
          <w:iCs/>
        </w:rPr>
        <w:t xml:space="preserve"> between </w:t>
      </w:r>
      <w:r w:rsidR="00DB53D2">
        <w:rPr>
          <w:rFonts w:ascii="Times New Roman" w:hAnsi="Times New Roman" w:cs="Times New Roman"/>
          <w:i/>
          <w:iCs/>
        </w:rPr>
        <w:t>males and females</w:t>
      </w:r>
      <w:r w:rsidR="00DB53D2" w:rsidRPr="00CC4EFA">
        <w:rPr>
          <w:rFonts w:ascii="Times New Roman" w:hAnsi="Times New Roman" w:cs="Times New Roman"/>
          <w:i/>
          <w:iCs/>
        </w:rPr>
        <w:t>?</w:t>
      </w:r>
    </w:p>
    <w:p w14:paraId="0B29C9DD" w14:textId="619596FB" w:rsidR="00DB53D2" w:rsidRPr="00523986" w:rsidRDefault="00DB53D2" w:rsidP="00DB53D2">
      <w:pPr>
        <w:spacing w:line="480" w:lineRule="auto"/>
        <w:ind w:left="90"/>
      </w:pPr>
      <w:r w:rsidRPr="00523986">
        <w:rPr>
          <w:i/>
          <w:iCs/>
        </w:rPr>
        <w:t>H1:</w:t>
      </w:r>
      <w:r w:rsidR="005F1C1C">
        <w:t xml:space="preserve"> </w:t>
      </w:r>
      <w:r w:rsidRPr="00523986">
        <w:t xml:space="preserve">There will be a significant difference in </w:t>
      </w:r>
      <w:r>
        <w:t>overeating</w:t>
      </w:r>
      <w:r w:rsidRPr="00523986">
        <w:t xml:space="preserve"> between </w:t>
      </w:r>
      <w:r>
        <w:t>males and females</w:t>
      </w:r>
      <w:r w:rsidRPr="00523986">
        <w:t>.</w:t>
      </w:r>
    </w:p>
    <w:p w14:paraId="7AAB4AF3" w14:textId="73DE8619" w:rsidR="00DB53D2" w:rsidRDefault="00DB53D2" w:rsidP="00DB53D2">
      <w:pPr>
        <w:spacing w:line="480" w:lineRule="auto"/>
      </w:pPr>
      <w:r w:rsidRPr="00523986">
        <w:rPr>
          <w:i/>
          <w:iCs/>
        </w:rPr>
        <w:t>H0:</w:t>
      </w:r>
      <w:r w:rsidR="005F1C1C">
        <w:t xml:space="preserve"> </w:t>
      </w:r>
      <w:r w:rsidRPr="00523986">
        <w:t xml:space="preserve">There will be no difference in </w:t>
      </w:r>
      <w:r>
        <w:t>overeating</w:t>
      </w:r>
      <w:r w:rsidRPr="00523986">
        <w:t xml:space="preserve"> between </w:t>
      </w:r>
      <w:r>
        <w:t>males and females</w:t>
      </w:r>
      <w:r w:rsidRPr="00523986">
        <w:t>.</w:t>
      </w:r>
    </w:p>
    <w:p w14:paraId="2E503A4F" w14:textId="6413C793" w:rsidR="00DB53D2" w:rsidRPr="00BB2191" w:rsidRDefault="004E1D68" w:rsidP="00DB53D2">
      <w:pPr>
        <w:pStyle w:val="ListParagraph"/>
        <w:numPr>
          <w:ilvl w:val="0"/>
          <w:numId w:val="1"/>
        </w:numPr>
        <w:spacing w:line="480" w:lineRule="auto"/>
        <w:rPr>
          <w:rFonts w:ascii="Times New Roman" w:hAnsi="Times New Roman" w:cs="Times New Roman"/>
          <w:i/>
          <w:iCs/>
        </w:rPr>
      </w:pPr>
      <w:r>
        <w:rPr>
          <w:rFonts w:ascii="Times New Roman" w:hAnsi="Times New Roman" w:cs="Times New Roman"/>
          <w:i/>
          <w:iCs/>
        </w:rPr>
        <w:t>Is there a</w:t>
      </w:r>
      <w:r w:rsidR="00DB53D2" w:rsidRPr="00BB2191">
        <w:rPr>
          <w:rFonts w:ascii="Times New Roman" w:hAnsi="Times New Roman" w:cs="Times New Roman"/>
          <w:i/>
          <w:iCs/>
        </w:rPr>
        <w:t xml:space="preserve"> difference in overeating between normal weight, overweight, and </w:t>
      </w:r>
      <w:r w:rsidR="00BB2191" w:rsidRPr="00BB2191">
        <w:rPr>
          <w:rFonts w:ascii="Times New Roman" w:hAnsi="Times New Roman" w:cs="Times New Roman"/>
          <w:i/>
          <w:iCs/>
        </w:rPr>
        <w:t>obese racial/</w:t>
      </w:r>
      <w:r w:rsidR="00DB53D2" w:rsidRPr="00BB2191">
        <w:rPr>
          <w:rFonts w:ascii="Times New Roman" w:hAnsi="Times New Roman" w:cs="Times New Roman"/>
          <w:i/>
          <w:iCs/>
        </w:rPr>
        <w:t>ethnic minorities?</w:t>
      </w:r>
    </w:p>
    <w:p w14:paraId="56D9BDAB" w14:textId="25CB2245" w:rsidR="00DB53D2" w:rsidRPr="00BB2191" w:rsidRDefault="00DB53D2" w:rsidP="00DB53D2">
      <w:pPr>
        <w:spacing w:line="480" w:lineRule="auto"/>
        <w:ind w:left="90"/>
      </w:pPr>
      <w:r w:rsidRPr="00BB2191">
        <w:rPr>
          <w:i/>
          <w:iCs/>
        </w:rPr>
        <w:t>H1:</w:t>
      </w:r>
      <w:r w:rsidR="005F1C1C">
        <w:t xml:space="preserve"> </w:t>
      </w:r>
      <w:r w:rsidRPr="00BB2191">
        <w:t>There will be a significant difference in overeating between normal weight, overweight, and obese participants.</w:t>
      </w:r>
    </w:p>
    <w:p w14:paraId="5F44BDCE" w14:textId="6484ECC6" w:rsidR="00DB53D2" w:rsidRDefault="00DB53D2" w:rsidP="00AF01CD">
      <w:pPr>
        <w:spacing w:line="480" w:lineRule="auto"/>
      </w:pPr>
      <w:r w:rsidRPr="00BB2191">
        <w:rPr>
          <w:i/>
          <w:iCs/>
        </w:rPr>
        <w:t>H0:</w:t>
      </w:r>
      <w:r w:rsidR="005F1C1C">
        <w:t xml:space="preserve"> </w:t>
      </w:r>
      <w:r w:rsidRPr="00BB2191">
        <w:t>There will be no difference in overeating between normal weight, overweight, and obese participants.</w:t>
      </w:r>
    </w:p>
    <w:p w14:paraId="32B03DF6" w14:textId="3C5D6120" w:rsidR="00696664" w:rsidRPr="00CC4EFA" w:rsidRDefault="00947D04" w:rsidP="00696664">
      <w:pPr>
        <w:pStyle w:val="ListParagraph"/>
        <w:numPr>
          <w:ilvl w:val="0"/>
          <w:numId w:val="1"/>
        </w:numPr>
        <w:spacing w:line="480" w:lineRule="auto"/>
        <w:rPr>
          <w:rFonts w:ascii="Times New Roman" w:hAnsi="Times New Roman" w:cs="Times New Roman"/>
          <w:i/>
          <w:iCs/>
        </w:rPr>
      </w:pPr>
      <w:r>
        <w:rPr>
          <w:rFonts w:ascii="Times New Roman" w:hAnsi="Times New Roman" w:cs="Times New Roman"/>
          <w:i/>
          <w:iCs/>
        </w:rPr>
        <w:t>Is there a</w:t>
      </w:r>
      <w:r w:rsidR="00696664" w:rsidRPr="00834729">
        <w:rPr>
          <w:rFonts w:ascii="Times New Roman" w:hAnsi="Times New Roman" w:cs="Times New Roman"/>
          <w:i/>
          <w:iCs/>
        </w:rPr>
        <w:t xml:space="preserve"> difference in </w:t>
      </w:r>
      <w:r w:rsidR="00696664">
        <w:rPr>
          <w:rFonts w:ascii="Times New Roman" w:hAnsi="Times New Roman" w:cs="Times New Roman"/>
          <w:i/>
          <w:iCs/>
        </w:rPr>
        <w:t>overeating across geographical regions</w:t>
      </w:r>
      <w:r w:rsidR="00696664" w:rsidRPr="00CC4EFA">
        <w:rPr>
          <w:rFonts w:ascii="Times New Roman" w:hAnsi="Times New Roman" w:cs="Times New Roman"/>
          <w:i/>
          <w:iCs/>
        </w:rPr>
        <w:t>?</w:t>
      </w:r>
    </w:p>
    <w:p w14:paraId="2E45E7C6" w14:textId="5432F67C" w:rsidR="00696664" w:rsidRPr="00523986" w:rsidRDefault="00696664" w:rsidP="00EC1698">
      <w:pPr>
        <w:spacing w:line="480" w:lineRule="auto"/>
        <w:ind w:left="90"/>
      </w:pPr>
      <w:r w:rsidRPr="00EC1698">
        <w:rPr>
          <w:i/>
          <w:iCs/>
        </w:rPr>
        <w:t>H1:</w:t>
      </w:r>
      <w:r w:rsidR="005F1C1C">
        <w:t xml:space="preserve"> </w:t>
      </w:r>
      <w:r w:rsidRPr="00523986">
        <w:t xml:space="preserve">There will be a significant difference in </w:t>
      </w:r>
      <w:r>
        <w:t>overeating across various geographical regions</w:t>
      </w:r>
      <w:r w:rsidRPr="00523986">
        <w:t>.</w:t>
      </w:r>
    </w:p>
    <w:p w14:paraId="4AD975DD" w14:textId="6882F01F" w:rsidR="00696664" w:rsidRDefault="00696664" w:rsidP="00EC1698">
      <w:pPr>
        <w:spacing w:line="480" w:lineRule="auto"/>
      </w:pPr>
      <w:r w:rsidRPr="00523986">
        <w:rPr>
          <w:i/>
          <w:iCs/>
        </w:rPr>
        <w:t>H0:</w:t>
      </w:r>
      <w:r w:rsidR="005F1C1C">
        <w:t xml:space="preserve"> </w:t>
      </w:r>
      <w:r w:rsidRPr="00523986">
        <w:t xml:space="preserve">There will be no difference </w:t>
      </w:r>
      <w:r>
        <w:t>overeating across various geographical regions</w:t>
      </w:r>
      <w:r w:rsidRPr="00523986">
        <w:t>.</w:t>
      </w:r>
    </w:p>
    <w:p w14:paraId="138B7E72" w14:textId="43332991" w:rsidR="00696664" w:rsidRPr="00CC4EFA" w:rsidRDefault="00753C1F" w:rsidP="00696664">
      <w:pPr>
        <w:pStyle w:val="ListParagraph"/>
        <w:numPr>
          <w:ilvl w:val="0"/>
          <w:numId w:val="1"/>
        </w:numPr>
        <w:spacing w:line="480" w:lineRule="auto"/>
        <w:rPr>
          <w:rFonts w:ascii="Times New Roman" w:hAnsi="Times New Roman" w:cs="Times New Roman"/>
          <w:i/>
          <w:iCs/>
        </w:rPr>
      </w:pPr>
      <w:r>
        <w:rPr>
          <w:rFonts w:ascii="Times New Roman" w:hAnsi="Times New Roman" w:cs="Times New Roman"/>
          <w:i/>
          <w:iCs/>
        </w:rPr>
        <w:t>Is there a</w:t>
      </w:r>
      <w:r w:rsidR="00696664" w:rsidRPr="00834729">
        <w:rPr>
          <w:rFonts w:ascii="Times New Roman" w:hAnsi="Times New Roman" w:cs="Times New Roman"/>
          <w:i/>
          <w:iCs/>
        </w:rPr>
        <w:t xml:space="preserve"> difference in </w:t>
      </w:r>
      <w:r w:rsidR="00696664">
        <w:rPr>
          <w:rFonts w:ascii="Times New Roman" w:hAnsi="Times New Roman" w:cs="Times New Roman"/>
          <w:i/>
          <w:iCs/>
        </w:rPr>
        <w:t>binge eating across racial/ethnic groups, sexes, and weight statuses</w:t>
      </w:r>
      <w:r w:rsidR="00696664" w:rsidRPr="00CC4EFA">
        <w:rPr>
          <w:rFonts w:ascii="Times New Roman" w:hAnsi="Times New Roman" w:cs="Times New Roman"/>
          <w:i/>
          <w:iCs/>
        </w:rPr>
        <w:t>?</w:t>
      </w:r>
    </w:p>
    <w:p w14:paraId="697EA91D" w14:textId="1CCE80A3" w:rsidR="00696664" w:rsidRPr="00523986" w:rsidRDefault="00696664" w:rsidP="00696664">
      <w:pPr>
        <w:spacing w:line="480" w:lineRule="auto"/>
        <w:ind w:left="90"/>
      </w:pPr>
      <w:r w:rsidRPr="00523986">
        <w:rPr>
          <w:i/>
          <w:iCs/>
        </w:rPr>
        <w:t>H1:</w:t>
      </w:r>
      <w:r w:rsidR="005F1C1C">
        <w:t xml:space="preserve"> </w:t>
      </w:r>
      <w:r w:rsidRPr="00523986">
        <w:t xml:space="preserve">There will be a significant difference in </w:t>
      </w:r>
      <w:r>
        <w:t>binge eating across racial/ethnic</w:t>
      </w:r>
      <w:r w:rsidR="00665027">
        <w:t>,</w:t>
      </w:r>
      <w:r>
        <w:t xml:space="preserve"> groups sexes, and weight statuses</w:t>
      </w:r>
      <w:r w:rsidRPr="00523986">
        <w:t>.</w:t>
      </w:r>
    </w:p>
    <w:p w14:paraId="462F7EA2" w14:textId="1838DFC1" w:rsidR="00250738" w:rsidRPr="00731833" w:rsidRDefault="00696664" w:rsidP="00A2596F">
      <w:pPr>
        <w:spacing w:line="480" w:lineRule="auto"/>
      </w:pPr>
      <w:r w:rsidRPr="00523986">
        <w:rPr>
          <w:i/>
          <w:iCs/>
        </w:rPr>
        <w:t>H0:</w:t>
      </w:r>
      <w:r w:rsidR="005F1C1C">
        <w:t xml:space="preserve"> </w:t>
      </w:r>
      <w:r w:rsidRPr="00523986">
        <w:t xml:space="preserve">There will be no difference in </w:t>
      </w:r>
      <w:r>
        <w:t>binge eating across racial/ethnic groups</w:t>
      </w:r>
      <w:r w:rsidR="00665027">
        <w:t>,</w:t>
      </w:r>
      <w:r>
        <w:t xml:space="preserve"> sexes, and weight statuses</w:t>
      </w:r>
      <w:r w:rsidRPr="00523986">
        <w:t>.</w:t>
      </w:r>
    </w:p>
    <w:p w14:paraId="1A526009" w14:textId="5D9F579C" w:rsidR="00A2596F" w:rsidRDefault="00A2596F" w:rsidP="00A2596F">
      <w:pPr>
        <w:spacing w:line="480" w:lineRule="auto"/>
        <w:rPr>
          <w:b/>
          <w:bCs/>
        </w:rPr>
      </w:pPr>
      <w:r>
        <w:rPr>
          <w:b/>
          <w:bCs/>
        </w:rPr>
        <w:lastRenderedPageBreak/>
        <w:t>Significance</w:t>
      </w:r>
    </w:p>
    <w:p w14:paraId="653AF5CF" w14:textId="6444590A" w:rsidR="00A2596F" w:rsidRDefault="00A2596F" w:rsidP="00A2596F">
      <w:pPr>
        <w:spacing w:line="480" w:lineRule="auto"/>
      </w:pPr>
      <w:r>
        <w:tab/>
        <w:t>The health and overall quality of life impacts of obesity are severe.</w:t>
      </w:r>
      <w:r w:rsidR="005F1C1C">
        <w:t xml:space="preserve"> </w:t>
      </w:r>
      <w:r>
        <w:t>Obesity increases the risk for chronic diseases, mental disorders, immobility, and ultimately death (</w:t>
      </w:r>
      <w:proofErr w:type="spellStart"/>
      <w:r w:rsidR="00E9008E">
        <w:t>Jastreboff</w:t>
      </w:r>
      <w:proofErr w:type="spellEnd"/>
      <w:r>
        <w:t xml:space="preserve"> et al., 2019).</w:t>
      </w:r>
      <w:r w:rsidR="005F1C1C">
        <w:t xml:space="preserve"> </w:t>
      </w:r>
      <w:r>
        <w:t>Since obesity disproportionately affects racial</w:t>
      </w:r>
      <w:r w:rsidR="000409D6">
        <w:t>/</w:t>
      </w:r>
      <w:r>
        <w:t>ethnic minorities in the U.S., these members of society are experiencing more obesity-related health complications and poorer health outcomes than their white counterparts (Mehta et al., 2013).</w:t>
      </w:r>
      <w:r w:rsidR="005F1C1C">
        <w:t xml:space="preserve"> </w:t>
      </w:r>
      <w:r>
        <w:t>It is therefore critical that further research investigate the obesity disparity in order to identify the root causes of this health gap.</w:t>
      </w:r>
    </w:p>
    <w:p w14:paraId="21F4FD6A" w14:textId="38AA5E1D" w:rsidR="00A2596F" w:rsidRPr="005B1FB0" w:rsidRDefault="00A2596F" w:rsidP="00A2596F">
      <w:pPr>
        <w:spacing w:line="480" w:lineRule="auto"/>
      </w:pPr>
      <w:r>
        <w:tab/>
        <w:t>Overeating increases the risk of obesity</w:t>
      </w:r>
      <w:r w:rsidR="000409D6">
        <w:t>,</w:t>
      </w:r>
      <w:r>
        <w:t xml:space="preserve"> and although there are numerous contributing factors, stress levels are directly related to overeating (O’Connor et al., 2008).</w:t>
      </w:r>
      <w:r w:rsidR="005F1C1C">
        <w:t xml:space="preserve"> </w:t>
      </w:r>
      <w:r>
        <w:t>For ethnic</w:t>
      </w:r>
      <w:r w:rsidR="000409D6">
        <w:t>/</w:t>
      </w:r>
      <w:r>
        <w:t>racial minorities, racism and discrimination are significant sources of stress (</w:t>
      </w:r>
      <w:r w:rsidR="003E0A38">
        <w:t>Kogan et al., 2</w:t>
      </w:r>
      <w:r w:rsidR="002E2882">
        <w:t>014; P</w:t>
      </w:r>
      <w:r>
        <w:t>ascoe</w:t>
      </w:r>
      <w:r w:rsidR="003E0A38">
        <w:t xml:space="preserve"> &amp;</w:t>
      </w:r>
      <w:r>
        <w:t xml:space="preserve"> Richman, 2009).</w:t>
      </w:r>
      <w:r w:rsidR="005F1C1C">
        <w:t xml:space="preserve"> </w:t>
      </w:r>
      <w:r>
        <w:t>Both factors play a role in determining the health status</w:t>
      </w:r>
      <w:r>
        <w:rPr>
          <w:rStyle w:val="CommentReference"/>
        </w:rPr>
        <w:t xml:space="preserve"> </w:t>
      </w:r>
      <w:r w:rsidRPr="00AF01CD">
        <w:rPr>
          <w:rStyle w:val="CommentReference"/>
          <w:sz w:val="24"/>
          <w:szCs w:val="24"/>
        </w:rPr>
        <w:t>of</w:t>
      </w:r>
      <w:r w:rsidRPr="00523986">
        <w:t xml:space="preserve"> </w:t>
      </w:r>
      <w:r>
        <w:t xml:space="preserve">these populations and are a major contributor to health disparities (Ford </w:t>
      </w:r>
      <w:r w:rsidR="003E0A38">
        <w:t xml:space="preserve">&amp; </w:t>
      </w:r>
      <w:proofErr w:type="spellStart"/>
      <w:r w:rsidR="000409D6" w:rsidRPr="000409D6">
        <w:t>Airhihenbuwa</w:t>
      </w:r>
      <w:proofErr w:type="spellEnd"/>
      <w:r>
        <w:t>, 2010b).</w:t>
      </w:r>
      <w:r w:rsidR="005F1C1C">
        <w:t xml:space="preserve"> </w:t>
      </w:r>
      <w:r>
        <w:t xml:space="preserve">Consequently, discriminatory and race-related stress may be directly related to overeating among </w:t>
      </w:r>
      <w:r w:rsidR="00D722AF">
        <w:t>racial/ethnic</w:t>
      </w:r>
      <w:r>
        <w:t xml:space="preserve"> minorities.</w:t>
      </w:r>
      <w:r w:rsidR="005F1C1C">
        <w:t xml:space="preserve"> </w:t>
      </w:r>
      <w:r>
        <w:t>By investigating the relationship between these variables, the current study c</w:t>
      </w:r>
      <w:r w:rsidR="00B6069E">
        <w:t>ould</w:t>
      </w:r>
      <w:r>
        <w:t xml:space="preserve"> potentially illustrate racism and discrimination’s role in the obesity epidemic</w:t>
      </w:r>
      <w:r w:rsidR="00BB2191">
        <w:t>.</w:t>
      </w:r>
      <w:r w:rsidR="005F1C1C">
        <w:t xml:space="preserve"> </w:t>
      </w:r>
      <w:r>
        <w:t>As a result, more effective interventions can be tailored to target these variables and mitigate their contribution to the obesity health disparity.</w:t>
      </w:r>
      <w:r w:rsidR="00BB2191">
        <w:t xml:space="preserve"> Additionally, if discriminatory stress is associated with increases in overeating, even </w:t>
      </w:r>
      <w:r w:rsidR="003E0A38">
        <w:t>racial/ethnic</w:t>
      </w:r>
      <w:r w:rsidR="00F67066">
        <w:t xml:space="preserve"> minorities who are a </w:t>
      </w:r>
      <w:r w:rsidR="00BB2191">
        <w:t>normal weight are at risk for becoming overweight or obese from persistently overeating in response to discriminatory stress.</w:t>
      </w:r>
      <w:r w:rsidR="005F1C1C">
        <w:t xml:space="preserve"> </w:t>
      </w:r>
      <w:r w:rsidR="00BB2191">
        <w:t xml:space="preserve">Consequently, the current study could also illustrate the need to aid </w:t>
      </w:r>
      <w:r w:rsidR="00D722AF">
        <w:t>racial/ethnic</w:t>
      </w:r>
      <w:r w:rsidR="00BB2191">
        <w:t xml:space="preserve"> minorities in healthier ways to cope with discriminatory stress.</w:t>
      </w:r>
    </w:p>
    <w:p w14:paraId="7F0F5D7D" w14:textId="77777777" w:rsidR="005F1C1C" w:rsidRDefault="005F1C1C" w:rsidP="00A2596F">
      <w:pPr>
        <w:spacing w:line="480" w:lineRule="auto"/>
        <w:rPr>
          <w:b/>
          <w:bCs/>
        </w:rPr>
      </w:pPr>
    </w:p>
    <w:p w14:paraId="4EAA7E9C" w14:textId="3045C124" w:rsidR="00A2596F" w:rsidRDefault="00A2596F" w:rsidP="00A2596F">
      <w:pPr>
        <w:spacing w:line="480" w:lineRule="auto"/>
        <w:rPr>
          <w:b/>
          <w:bCs/>
        </w:rPr>
      </w:pPr>
      <w:r>
        <w:rPr>
          <w:b/>
          <w:bCs/>
        </w:rPr>
        <w:lastRenderedPageBreak/>
        <w:t>Delimitations</w:t>
      </w:r>
    </w:p>
    <w:p w14:paraId="7DC7FBDD" w14:textId="5188112A" w:rsidR="00A2596F" w:rsidRDefault="00A2596F" w:rsidP="00A2596F">
      <w:pPr>
        <w:spacing w:line="480" w:lineRule="auto"/>
      </w:pPr>
      <w:r>
        <w:tab/>
        <w:t xml:space="preserve">The current study </w:t>
      </w:r>
      <w:r w:rsidR="00B6069E">
        <w:t>limited</w:t>
      </w:r>
      <w:r>
        <w:t xml:space="preserve"> participation to adults (at least 18 years old) who consider themselves to be a racial or ethnic minority in the United States (African American</w:t>
      </w:r>
      <w:r w:rsidR="003E0A38">
        <w:t>/Black</w:t>
      </w:r>
      <w:r>
        <w:t xml:space="preserve">, </w:t>
      </w:r>
      <w:r w:rsidR="003E0A38">
        <w:t>Hispanic/Latino(a)/Spanish American</w:t>
      </w:r>
      <w:r>
        <w:t>, or American Indian).</w:t>
      </w:r>
      <w:r w:rsidR="005F1C1C">
        <w:t xml:space="preserve"> </w:t>
      </w:r>
      <w:r>
        <w:t xml:space="preserve">Individuals who are Caucasian, Asian American, or less than 18 </w:t>
      </w:r>
      <w:r w:rsidR="00B6069E">
        <w:t>wer</w:t>
      </w:r>
      <w:r>
        <w:t>e excluded from participation.</w:t>
      </w:r>
    </w:p>
    <w:p w14:paraId="7A52D08D" w14:textId="242E47A4" w:rsidR="00A84A63" w:rsidRPr="00BB2191" w:rsidRDefault="00A2596F" w:rsidP="00A2596F">
      <w:pPr>
        <w:spacing w:line="480" w:lineRule="auto"/>
      </w:pPr>
      <w:r>
        <w:tab/>
      </w:r>
      <w:r w:rsidRPr="00BB2191">
        <w:t>Research has linked BMI to overeating.</w:t>
      </w:r>
      <w:r w:rsidR="005F1C1C">
        <w:t xml:space="preserve"> </w:t>
      </w:r>
      <w:r w:rsidRPr="00BB2191">
        <w:t>Those who are considered overweight or obese may be more vulnerable to overeating (</w:t>
      </w:r>
      <w:r w:rsidR="000409D6" w:rsidRPr="00BB2191">
        <w:t>Buscemi et al., 2014</w:t>
      </w:r>
      <w:r w:rsidR="000409D6">
        <w:t xml:space="preserve">; </w:t>
      </w:r>
      <w:proofErr w:type="spellStart"/>
      <w:r w:rsidRPr="00BB2191">
        <w:t>Poelman</w:t>
      </w:r>
      <w:proofErr w:type="spellEnd"/>
      <w:r w:rsidRPr="00BB2191">
        <w:t xml:space="preserve"> et al., 2013;).</w:t>
      </w:r>
      <w:r w:rsidR="005F1C1C">
        <w:t xml:space="preserve"> </w:t>
      </w:r>
      <w:r w:rsidR="000409D6">
        <w:t>Although individuals of any weight status may engage in overeating, those</w:t>
      </w:r>
      <w:r w:rsidR="001E143A" w:rsidRPr="00BB2191">
        <w:t xml:space="preserve"> </w:t>
      </w:r>
      <w:r w:rsidR="001E143A">
        <w:t>who are n</w:t>
      </w:r>
      <w:r w:rsidRPr="00BB2191">
        <w:t xml:space="preserve">ormal or healthy weight may be less </w:t>
      </w:r>
      <w:r w:rsidR="00A84A63" w:rsidRPr="00BB2191">
        <w:t xml:space="preserve">susceptible to overeating </w:t>
      </w:r>
      <w:r w:rsidRPr="00BB2191">
        <w:fldChar w:fldCharType="begin"/>
      </w:r>
      <w:r w:rsidR="00B22514" w:rsidRPr="00BB2191">
        <w:instrText xml:space="preserve"> ADDIN ZOTERO_ITEM CSL_CITATION {"citationID":"ppBlsN7h","properties":{"formattedCitation":"(Sinha et al., 2019)","plainCitation":"(Sinha et al., 2019)","noteIndex":0},"citationItems":[{"id":27,"uris":["http://zotero.org/users/local/aUK5ZLEi/items/IDGUI8DC"],"uri":["http://zotero.org/users/local/aUK5ZLEi/items/IDGUI8DC"],"itemData":{"id":27,"type":"article-journal","abstract":"Overeating of highly palatable (HP) foods in the ubiquitous HP food cue environment and under stress is associated with weight gain and contributes to the global obesity epidemic. However, subjective and biobehavioral processes that may increase HP overeating are not clear. Using a novel experimental approach, we examined HP food motivation and intake and neuroendocrine responses in the context of food cues, stress and a control neutral relaxing cue exposure in healthy individuals. Methods: Twenty individuals (12 M; 8F; ages 18–45) with body mass index (BMI) in the lean (LN: N = 8; 3/8 female BMI: 18–24.9) or overweight/obese (OW: N = 12; 5/ 12 female; BMI: 25–37) range were enrolled in a controlled, hospital-based, 3-day laboratory experiment. On each day, subjects were exposed to a brief 5-min individualized guided imagery of stress, food cue or an active neutral-relaxing control cue script, followed by a food snack test (FST), with one imagery condition per day and order of imagery exposure randomized and counterbalanced across subjects. Subjective HP food craving and caloric intake, anxiety, cortisol and total ghrelin was assessed repeatedly during each test day. Results: Significant condition and condition × group effects for food craving, anxiety and HP calorie intake were observed, with food cue relative to neutral condition increasing HP food craving and intake across all subjects (p &lt; .001), but stress relative to neutral condition increased HP food craving and intake in the OW but not LN group (p &lt; .01). Pre-snack increases in food craving after exposure to food cues and to stress predicted greater subsequent HP food intake (p's &lt; 0.01). Furthermore, ghrelin increased in the food cue and stress conditions (p &lt; .01), but stress-induced increases in ghrelin was associated with HP food intake only in the OW/OB condition (p &lt; .01). Finally, cortisol increased during food cue exposure and increased cortisol responses were associated with greater HP food caving and with intake (p's &lt; 0.05). Conclusions: These findings, while preliminary, validate a laboratory model of HP food motivation and intake and identify specific subjective and neuroendocrine responses that may play a role in HP snacking with implications for weight gain and obesity risk. (342 words).","container-title":"Physiology &amp; Behavior","DOI":"10.1016/j.physbeh.2019.112563","ISSN":"00319384","journalAbbreviation":"Physiology &amp; Behavior","language":"en","page":"112563","source":"DOI.org (Crossref)","title":"Food craving, cortisol and ghrelin responses in modeling highly palatable snack intake in the laboratory","volume":"208","author":[{"family":"Sinha","given":"Rajita"},{"family":"Gu","given":"Peihua"},{"family":"Hart","given":"Rachel"},{"family":"Guarnaccia","given":"J.B."}],"issued":{"date-parts":[["2019",9]]}}}],"schema":"https://github.com/citation-style-language/schema/raw/master/csl-citation.json"} </w:instrText>
      </w:r>
      <w:r w:rsidRPr="00BB2191">
        <w:fldChar w:fldCharType="separate"/>
      </w:r>
      <w:r w:rsidRPr="00BB2191">
        <w:rPr>
          <w:noProof/>
        </w:rPr>
        <w:t>(Sinha et al., 2019)</w:t>
      </w:r>
      <w:r w:rsidRPr="00BB2191">
        <w:fldChar w:fldCharType="end"/>
      </w:r>
      <w:r w:rsidRPr="00BB2191">
        <w:t>.</w:t>
      </w:r>
      <w:r w:rsidR="005F1C1C">
        <w:t xml:space="preserve"> </w:t>
      </w:r>
      <w:r w:rsidR="000E0F27">
        <w:t xml:space="preserve">Consequently, </w:t>
      </w:r>
      <w:r w:rsidR="00D241D9">
        <w:t xml:space="preserve">individuals of </w:t>
      </w:r>
      <w:r w:rsidR="000E0F27">
        <w:t>a</w:t>
      </w:r>
      <w:r w:rsidR="00A84A63" w:rsidRPr="00BB2191">
        <w:t xml:space="preserve">ll weight categories (e.g., overweight, obese, </w:t>
      </w:r>
      <w:r w:rsidR="000409D6">
        <w:t>normal</w:t>
      </w:r>
      <w:r w:rsidR="00A84A63" w:rsidRPr="00BB2191">
        <w:t xml:space="preserve">, etc.) </w:t>
      </w:r>
      <w:r w:rsidR="00B6069E">
        <w:t>were</w:t>
      </w:r>
      <w:r w:rsidR="00A84A63" w:rsidRPr="00BB2191">
        <w:t xml:space="preserve"> recruited.</w:t>
      </w:r>
    </w:p>
    <w:p w14:paraId="7BED0581" w14:textId="77777777" w:rsidR="00A2596F" w:rsidRDefault="00A2596F" w:rsidP="00A2596F">
      <w:pPr>
        <w:spacing w:line="480" w:lineRule="auto"/>
        <w:rPr>
          <w:b/>
          <w:bCs/>
        </w:rPr>
      </w:pPr>
      <w:r>
        <w:rPr>
          <w:b/>
          <w:bCs/>
        </w:rPr>
        <w:t>Limitations</w:t>
      </w:r>
    </w:p>
    <w:p w14:paraId="4D847A6D" w14:textId="6C0759AA" w:rsidR="003E0A38" w:rsidRDefault="00A2596F" w:rsidP="00A2596F">
      <w:pPr>
        <w:spacing w:line="480" w:lineRule="auto"/>
      </w:pPr>
      <w:r>
        <w:tab/>
        <w:t>Due to the nature of cross-sectional and nonexperimental studies, no causal relationships can be established</w:t>
      </w:r>
      <w:r w:rsidR="00282F21">
        <w:t>—</w:t>
      </w:r>
      <w:r>
        <w:t>only relationships and associations.</w:t>
      </w:r>
      <w:r w:rsidR="005F1C1C">
        <w:t xml:space="preserve"> </w:t>
      </w:r>
      <w:r w:rsidR="003E0A38">
        <w:t>A major strength to the study was its unique online format that enable</w:t>
      </w:r>
      <w:r w:rsidR="003C4A89">
        <w:t>d</w:t>
      </w:r>
      <w:r w:rsidR="003E0A38">
        <w:t xml:space="preserve"> the survey to be sent to regions throughout the country.</w:t>
      </w:r>
    </w:p>
    <w:p w14:paraId="4EF929A9" w14:textId="632CE0D9" w:rsidR="00A2596F" w:rsidRDefault="00A2596F" w:rsidP="00A2596F">
      <w:pPr>
        <w:spacing w:line="480" w:lineRule="auto"/>
      </w:pPr>
      <w:r>
        <w:t xml:space="preserve">However, it </w:t>
      </w:r>
      <w:r w:rsidR="00B6069E">
        <w:t>wa</w:t>
      </w:r>
      <w:r>
        <w:t>s limited in its lack of randomization because it w</w:t>
      </w:r>
      <w:r w:rsidR="00F7364E">
        <w:t>as</w:t>
      </w:r>
      <w:r>
        <w:t xml:space="preserve"> not possible to randomly select a sample from all </w:t>
      </w:r>
      <w:r w:rsidR="00D722AF">
        <w:t>racial/ethnic</w:t>
      </w:r>
      <w:r>
        <w:t xml:space="preserve"> minority adults in the U.S.</w:t>
      </w:r>
      <w:r w:rsidR="005F1C1C">
        <w:t xml:space="preserve"> </w:t>
      </w:r>
      <w:r>
        <w:t xml:space="preserve"> Additionally, data </w:t>
      </w:r>
      <w:r w:rsidR="003E0A38">
        <w:t>was</w:t>
      </w:r>
      <w:r>
        <w:t xml:space="preserve"> collected with self-report measures, and this method may not be as accurate as objective means of measuring.</w:t>
      </w:r>
    </w:p>
    <w:p w14:paraId="47C025B7" w14:textId="77777777" w:rsidR="00A2596F" w:rsidRDefault="00A2596F" w:rsidP="00A2596F">
      <w:pPr>
        <w:spacing w:line="480" w:lineRule="auto"/>
        <w:rPr>
          <w:b/>
          <w:bCs/>
        </w:rPr>
      </w:pPr>
      <w:r>
        <w:rPr>
          <w:b/>
          <w:bCs/>
        </w:rPr>
        <w:t>Assumptions</w:t>
      </w:r>
    </w:p>
    <w:p w14:paraId="3173B7D8" w14:textId="5B1CA583" w:rsidR="00A2596F" w:rsidRPr="00646996" w:rsidRDefault="00A2596F" w:rsidP="00A2596F">
      <w:pPr>
        <w:spacing w:line="480" w:lineRule="auto"/>
      </w:pPr>
      <w:r>
        <w:tab/>
        <w:t xml:space="preserve">Since all data </w:t>
      </w:r>
      <w:r w:rsidR="00B6069E">
        <w:t>was</w:t>
      </w:r>
      <w:r>
        <w:t xml:space="preserve"> collected via self-reported surveys, it </w:t>
      </w:r>
      <w:r w:rsidR="00B6069E">
        <w:t>wa</w:t>
      </w:r>
      <w:r>
        <w:t xml:space="preserve">s assumed that participants </w:t>
      </w:r>
      <w:r w:rsidR="00B6069E">
        <w:t>would</w:t>
      </w:r>
      <w:r>
        <w:t xml:space="preserve"> answer truthfully and honestly without bias.</w:t>
      </w:r>
      <w:r w:rsidR="005F1C1C">
        <w:t xml:space="preserve"> </w:t>
      </w:r>
      <w:r>
        <w:t xml:space="preserve">It </w:t>
      </w:r>
      <w:r w:rsidR="00B6069E">
        <w:t>wa</w:t>
      </w:r>
      <w:r>
        <w:t xml:space="preserve">s also assumed that scales and survey measures </w:t>
      </w:r>
      <w:r w:rsidR="00B6069E">
        <w:t xml:space="preserve">were </w:t>
      </w:r>
      <w:r>
        <w:t xml:space="preserve">valid and reliable measures of discriminatory stress and overeating among the current sample of </w:t>
      </w:r>
      <w:r w:rsidR="00D722AF">
        <w:t>racial/ethnic</w:t>
      </w:r>
      <w:r>
        <w:t xml:space="preserve"> minority adults.</w:t>
      </w:r>
    </w:p>
    <w:p w14:paraId="3F60B58E" w14:textId="77777777" w:rsidR="00A2596F" w:rsidRDefault="00A2596F" w:rsidP="00A2596F">
      <w:pPr>
        <w:spacing w:line="480" w:lineRule="auto"/>
        <w:rPr>
          <w:b/>
          <w:bCs/>
        </w:rPr>
      </w:pPr>
      <w:r>
        <w:rPr>
          <w:b/>
          <w:bCs/>
        </w:rPr>
        <w:lastRenderedPageBreak/>
        <w:t>Operational Definitions</w:t>
      </w:r>
    </w:p>
    <w:p w14:paraId="7C21EB7D" w14:textId="7670C4FE" w:rsidR="00A2596F" w:rsidRPr="00330DD8" w:rsidRDefault="00A2596F" w:rsidP="00A2596F">
      <w:pPr>
        <w:pStyle w:val="ListParagraph"/>
        <w:numPr>
          <w:ilvl w:val="0"/>
          <w:numId w:val="2"/>
        </w:numPr>
        <w:spacing w:line="480" w:lineRule="auto"/>
        <w:rPr>
          <w:rFonts w:ascii="Times New Roman" w:hAnsi="Times New Roman" w:cs="Times New Roman"/>
        </w:rPr>
      </w:pPr>
      <w:r>
        <w:rPr>
          <w:rFonts w:ascii="Times New Roman" w:hAnsi="Times New Roman" w:cs="Times New Roman"/>
          <w:u w:val="single"/>
        </w:rPr>
        <w:t>Binge Eating</w:t>
      </w:r>
      <w:r>
        <w:rPr>
          <w:rFonts w:ascii="Times New Roman" w:hAnsi="Times New Roman" w:cs="Times New Roman"/>
        </w:rPr>
        <w:t>:</w:t>
      </w:r>
      <w:r w:rsidR="005F1C1C">
        <w:rPr>
          <w:rFonts w:ascii="Times New Roman" w:hAnsi="Times New Roman" w:cs="Times New Roman"/>
        </w:rPr>
        <w:t xml:space="preserve"> </w:t>
      </w:r>
      <w:r>
        <w:rPr>
          <w:rFonts w:ascii="Times New Roman" w:hAnsi="Times New Roman" w:cs="Times New Roman"/>
        </w:rPr>
        <w:t xml:space="preserve">This is a sub-category of overeating characterized by the consumption of a large amount of food within a short time period coupled </w:t>
      </w:r>
      <w:r w:rsidR="00151AF3">
        <w:rPr>
          <w:rFonts w:ascii="Times New Roman" w:hAnsi="Times New Roman" w:cs="Times New Roman"/>
        </w:rPr>
        <w:t xml:space="preserve">with </w:t>
      </w:r>
      <w:r>
        <w:rPr>
          <w:rFonts w:ascii="Times New Roman" w:hAnsi="Times New Roman" w:cs="Times New Roman"/>
        </w:rPr>
        <w:t xml:space="preserve">a feeling of loss of control </w:t>
      </w:r>
      <w:r>
        <w:rPr>
          <w:rFonts w:ascii="Times New Roman" w:hAnsi="Times New Roman" w:cs="Times New Roman"/>
        </w:rPr>
        <w:fldChar w:fldCharType="begin"/>
      </w:r>
      <w:r>
        <w:rPr>
          <w:rFonts w:ascii="Times New Roman" w:hAnsi="Times New Roman" w:cs="Times New Roman"/>
        </w:rPr>
        <w:instrText xml:space="preserve"> ADDIN ZOTERO_ITEM CSL_CITATION {"citationID":"y2MgYgnC","properties":{"formattedCitation":"(White &amp; Grilo, 2011)","plainCitation":"(White &amp; Grilo, 2011)","noteIndex":0},"citationItems":[{"id":167,"uris":["http://zotero.org/users/local/aUK5ZLEi/items/KZQFTCQC"],"uri":["http://zotero.org/users/local/aUK5ZLEi/items/KZQFTCQC"],"itemData":{"id":167,"type":"article-journal","abstract":"Objective: Research has examined various aspects of the validity of the research criteria for binge eating disorder (BED) but has yet to evaluate the utility of the 5 Diagnostic and Statistical Manual of Mental Disorders (4th ed.; DSM–IV; American Psychiatric Association, 1994) “indicators for impaired control” specified to help determine loss of control while overeating (i.e., binge eating). We examined the diagnostic efficiency of these indicators proposed as part of the research criteria for BED (eating until uncomfortably full; eating when not hungry; eating more rapidly than usual; eating in secret; and feeling disgust, shame, or depression after the episode). Method: A total of 916 community volunteers completed a battery of measures including questions about each of the indicators. Participants were categorized into 3 groups: BED (N = 164), bulimia nervosa (BN; N = 83), and non-binge-eating controls (N = 669). Four conditional probabilities (sensitivity, specificity, positive predictive power [PPP], and negative predictive power [NPP]) as well as total predictive value (TPV) and kappa coefficients were calculated for each indicator criterion in separate analyses comparing BED, BN, and combined BED + BN groups relative to controls. Results: PPPs and NPPs suggest all of the indicators have predictive value, with eating alone because embarrassed (PPP = .80) and feeling disgusted (NPP = .93) performing as the best inclusion and exclusion criteria, respectively. The best overall indicators for correctly identifying binge eating (based on TPV and kappa) were eating when not hungry and eating alone because embarrassed. Conclusions: All 5 proposed indicators for impaired control for determining binge eating have utility, and the diagnostic efficiency statistics provide guidance for clinicians and the DSM–5 regarding their usefulness for inclusion or exclusion. (PsycINFO Database Record (c) 2016 APA, all rights reserved) (Source: journal abstract)","container-title":"Journal of Consulting and Clinical Psychology","DOI":"http://dx.doi.org.ezproxy.lib.ou.edu/10.1037/a0022210","ISSN":"0022-006X","issue":"1","language":"English","page":"75-83","source":"ProQuest","title":"Diagnostic efficiency of DSM– IV indicators for binge eating episodes","volume":"79","author":[{"family":"White","given":"Marney A."},{"family":"Grilo","given":"Carlos M."}],"issued":{"date-parts":[["2011",2]]}}}],"schema":"https://github.com/citation-style-language/schema/raw/master/csl-citation.json"}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(White &amp; Grilo, 2011)</w:t>
      </w:r>
      <w:r>
        <w:rPr>
          <w:rFonts w:ascii="Times New Roman" w:hAnsi="Times New Roman" w:cs="Times New Roman"/>
        </w:rPr>
        <w:fldChar w:fldCharType="end"/>
      </w:r>
      <w:r>
        <w:rPr>
          <w:rFonts w:ascii="Times New Roman" w:hAnsi="Times New Roman" w:cs="Times New Roman"/>
        </w:rPr>
        <w:t>.</w:t>
      </w:r>
    </w:p>
    <w:p w14:paraId="3C54119F" w14:textId="5FCDDA0B" w:rsidR="00A2596F" w:rsidRPr="00A27723" w:rsidRDefault="00A2596F" w:rsidP="00A2596F">
      <w:pPr>
        <w:pStyle w:val="ListParagraph"/>
        <w:numPr>
          <w:ilvl w:val="0"/>
          <w:numId w:val="2"/>
        </w:numPr>
        <w:spacing w:line="480" w:lineRule="auto"/>
        <w:rPr>
          <w:rFonts w:ascii="Times New Roman" w:hAnsi="Times New Roman" w:cs="Times New Roman"/>
        </w:rPr>
      </w:pPr>
      <w:r>
        <w:rPr>
          <w:rFonts w:ascii="Times New Roman" w:hAnsi="Times New Roman" w:cs="Times New Roman"/>
          <w:u w:val="single"/>
        </w:rPr>
        <w:t>Body Mass Index (BMI)</w:t>
      </w:r>
      <w:r>
        <w:rPr>
          <w:rFonts w:ascii="Times New Roman" w:hAnsi="Times New Roman" w:cs="Times New Roman"/>
        </w:rPr>
        <w:t>:</w:t>
      </w:r>
      <w:r w:rsidR="005F1C1C">
        <w:rPr>
          <w:rFonts w:ascii="Times New Roman" w:hAnsi="Times New Roman" w:cs="Times New Roman"/>
        </w:rPr>
        <w:t xml:space="preserve"> </w:t>
      </w:r>
      <w:r>
        <w:rPr>
          <w:rFonts w:ascii="Times New Roman" w:hAnsi="Times New Roman" w:cs="Times New Roman"/>
        </w:rPr>
        <w:t xml:space="preserve">BMI is an individual’s weight in kilograms divided by their height in meters squared </w:t>
      </w:r>
      <w:r w:rsidRPr="003E0A38">
        <w:rPr>
          <w:rFonts w:ascii="Times New Roman" w:hAnsi="Times New Roman" w:cs="Times New Roman"/>
        </w:rPr>
        <w:t>(kg/m²</w:t>
      </w:r>
      <w:r w:rsidR="003E0A38" w:rsidRPr="003E0A38">
        <w:rPr>
          <w:rFonts w:ascii="Times New Roman" w:hAnsi="Times New Roman" w:cs="Times New Roman"/>
        </w:rPr>
        <w:t xml:space="preserve">; </w:t>
      </w:r>
      <w:r w:rsidRPr="003E0A38">
        <w:rPr>
          <w:rFonts w:ascii="Times New Roman" w:hAnsi="Times New Roman" w:cs="Times New Roman"/>
        </w:rPr>
        <w:t>Centers</w:t>
      </w:r>
      <w:r>
        <w:rPr>
          <w:rFonts w:ascii="Times New Roman" w:hAnsi="Times New Roman" w:cs="Times New Roman"/>
        </w:rPr>
        <w:t xml:space="preserve"> for Disease Control [CDC], 2017).</w:t>
      </w:r>
      <w:r w:rsidR="005F1C1C">
        <w:rPr>
          <w:rFonts w:ascii="Times New Roman" w:hAnsi="Times New Roman" w:cs="Times New Roman"/>
        </w:rPr>
        <w:t xml:space="preserve"> </w:t>
      </w:r>
      <w:r>
        <w:rPr>
          <w:rFonts w:ascii="Times New Roman" w:hAnsi="Times New Roman" w:cs="Times New Roman"/>
        </w:rPr>
        <w:t>This standardizes weight by taking height into account so that relative comparisons can be made.</w:t>
      </w:r>
    </w:p>
    <w:p w14:paraId="0034DA4E" w14:textId="5934EC1E" w:rsidR="00A2596F" w:rsidRPr="00646996" w:rsidRDefault="00A2596F" w:rsidP="00A2596F">
      <w:pPr>
        <w:pStyle w:val="ListParagraph"/>
        <w:numPr>
          <w:ilvl w:val="0"/>
          <w:numId w:val="2"/>
        </w:numPr>
        <w:spacing w:line="480" w:lineRule="auto"/>
        <w:rPr>
          <w:rFonts w:ascii="Times New Roman" w:hAnsi="Times New Roman" w:cs="Times New Roman"/>
        </w:rPr>
      </w:pPr>
      <w:r>
        <w:rPr>
          <w:rFonts w:ascii="Times New Roman" w:hAnsi="Times New Roman" w:cs="Times New Roman"/>
          <w:u w:val="single"/>
        </w:rPr>
        <w:t>Discriminatory Stress</w:t>
      </w:r>
      <w:r>
        <w:rPr>
          <w:rFonts w:ascii="Times New Roman" w:hAnsi="Times New Roman" w:cs="Times New Roman"/>
        </w:rPr>
        <w:t>:</w:t>
      </w:r>
      <w:r w:rsidR="005F1C1C">
        <w:rPr>
          <w:rFonts w:ascii="Times New Roman" w:hAnsi="Times New Roman" w:cs="Times New Roman"/>
        </w:rPr>
        <w:t xml:space="preserve"> </w:t>
      </w:r>
      <w:r>
        <w:rPr>
          <w:rFonts w:ascii="Times New Roman" w:hAnsi="Times New Roman" w:cs="Times New Roman"/>
        </w:rPr>
        <w:t>Discriminatory stress is any psychological distress that occurs as a result of discrimination (i.e.</w:t>
      </w:r>
      <w:r w:rsidR="004101DE">
        <w:rPr>
          <w:rFonts w:ascii="Times New Roman" w:hAnsi="Times New Roman" w:cs="Times New Roman"/>
        </w:rPr>
        <w:t>,</w:t>
      </w:r>
      <w:r>
        <w:rPr>
          <w:rFonts w:ascii="Times New Roman" w:hAnsi="Times New Roman" w:cs="Times New Roman"/>
        </w:rPr>
        <w:t xml:space="preserve"> being treated unfairly or differently for not being a member of a majority group</w:t>
      </w:r>
      <w:r w:rsidR="00B6069E">
        <w:rPr>
          <w:rFonts w:ascii="Times New Roman" w:hAnsi="Times New Roman" w:cs="Times New Roman"/>
        </w:rPr>
        <w:t xml:space="preserve"> [</w:t>
      </w:r>
      <w:r w:rsidR="00932390">
        <w:rPr>
          <w:rFonts w:ascii="Times New Roman" w:hAnsi="Times New Roman" w:cs="Times New Roman"/>
        </w:rPr>
        <w:t>Higgins-</w:t>
      </w:r>
      <w:proofErr w:type="spellStart"/>
      <w:r w:rsidR="00932390">
        <w:rPr>
          <w:rFonts w:ascii="Times New Roman" w:hAnsi="Times New Roman" w:cs="Times New Roman"/>
        </w:rPr>
        <w:t>Neyland</w:t>
      </w:r>
      <w:proofErr w:type="spellEnd"/>
      <w:r>
        <w:rPr>
          <w:rFonts w:ascii="Times New Roman" w:hAnsi="Times New Roman" w:cs="Times New Roman"/>
        </w:rPr>
        <w:t xml:space="preserve"> </w:t>
      </w:r>
      <w:r w:rsidR="00932390">
        <w:rPr>
          <w:rFonts w:ascii="Times New Roman" w:hAnsi="Times New Roman" w:cs="Times New Roman"/>
        </w:rPr>
        <w:t>&amp;</w:t>
      </w:r>
      <w:r>
        <w:rPr>
          <w:rFonts w:ascii="Times New Roman" w:hAnsi="Times New Roman" w:cs="Times New Roman"/>
        </w:rPr>
        <w:t xml:space="preserve"> </w:t>
      </w:r>
      <w:proofErr w:type="spellStart"/>
      <w:r>
        <w:rPr>
          <w:rFonts w:ascii="Times New Roman" w:hAnsi="Times New Roman" w:cs="Times New Roman"/>
        </w:rPr>
        <w:t>Bardone</w:t>
      </w:r>
      <w:proofErr w:type="spellEnd"/>
      <w:r>
        <w:rPr>
          <w:rFonts w:ascii="Times New Roman" w:hAnsi="Times New Roman" w:cs="Times New Roman"/>
        </w:rPr>
        <w:t>-Cone, 2016</w:t>
      </w:r>
      <w:r w:rsidR="00B6069E">
        <w:rPr>
          <w:rFonts w:ascii="Times New Roman" w:hAnsi="Times New Roman" w:cs="Times New Roman"/>
        </w:rPr>
        <w:t>]</w:t>
      </w:r>
      <w:r>
        <w:rPr>
          <w:rFonts w:ascii="Times New Roman" w:hAnsi="Times New Roman" w:cs="Times New Roman"/>
        </w:rPr>
        <w:t>).</w:t>
      </w:r>
      <w:r w:rsidR="005F1C1C">
        <w:rPr>
          <w:rFonts w:ascii="Times New Roman" w:hAnsi="Times New Roman" w:cs="Times New Roman"/>
        </w:rPr>
        <w:t xml:space="preserve"> </w:t>
      </w:r>
      <w:r>
        <w:rPr>
          <w:rFonts w:ascii="Times New Roman" w:hAnsi="Times New Roman" w:cs="Times New Roman"/>
        </w:rPr>
        <w:t xml:space="preserve">In the current study, the </w:t>
      </w:r>
      <w:r w:rsidRPr="007C4C5A">
        <w:rPr>
          <w:rFonts w:ascii="Times New Roman" w:hAnsi="Times New Roman" w:cs="Times New Roman"/>
        </w:rPr>
        <w:t>discrimination being assessed</w:t>
      </w:r>
      <w:r w:rsidR="005F1C1C">
        <w:rPr>
          <w:rFonts w:ascii="Times New Roman" w:hAnsi="Times New Roman" w:cs="Times New Roman"/>
        </w:rPr>
        <w:t xml:space="preserve"> </w:t>
      </w:r>
      <w:r w:rsidR="00B6069E">
        <w:rPr>
          <w:rFonts w:ascii="Times New Roman" w:hAnsi="Times New Roman" w:cs="Times New Roman"/>
        </w:rPr>
        <w:t>was</w:t>
      </w:r>
      <w:r>
        <w:rPr>
          <w:rFonts w:ascii="Times New Roman" w:hAnsi="Times New Roman" w:cs="Times New Roman"/>
        </w:rPr>
        <w:t xml:space="preserve"> unfair treatment or exclusion because of racial or ethnic classification.</w:t>
      </w:r>
    </w:p>
    <w:p w14:paraId="06A79823" w14:textId="3F8D0082" w:rsidR="00A2596F" w:rsidRPr="00A27723" w:rsidRDefault="00A2596F" w:rsidP="00A2596F">
      <w:pPr>
        <w:pStyle w:val="ListParagraph"/>
        <w:numPr>
          <w:ilvl w:val="0"/>
          <w:numId w:val="2"/>
        </w:numPr>
        <w:spacing w:line="480" w:lineRule="auto"/>
        <w:rPr>
          <w:rFonts w:ascii="Times New Roman" w:hAnsi="Times New Roman" w:cs="Times New Roman"/>
        </w:rPr>
      </w:pPr>
      <w:r>
        <w:rPr>
          <w:rFonts w:ascii="Times New Roman" w:hAnsi="Times New Roman" w:cs="Times New Roman"/>
          <w:u w:val="single"/>
        </w:rPr>
        <w:t>Ethnic Minorities</w:t>
      </w:r>
      <w:r>
        <w:rPr>
          <w:rFonts w:ascii="Times New Roman" w:hAnsi="Times New Roman" w:cs="Times New Roman"/>
        </w:rPr>
        <w:t>:</w:t>
      </w:r>
      <w:r w:rsidR="005F1C1C">
        <w:rPr>
          <w:rFonts w:ascii="Times New Roman" w:hAnsi="Times New Roman" w:cs="Times New Roman"/>
        </w:rPr>
        <w:t xml:space="preserve"> </w:t>
      </w:r>
      <w:r>
        <w:rPr>
          <w:rFonts w:ascii="Times New Roman" w:hAnsi="Times New Roman" w:cs="Times New Roman"/>
        </w:rPr>
        <w:t>Ethnic minorities refers to groups of people who have common, cultural characteristics (e.g., beliefs, language, or ancestry) that have significantly less social power than the majority ethnicity (American Psychological Association [APA], 2020).</w:t>
      </w:r>
      <w:r w:rsidR="005F1C1C">
        <w:rPr>
          <w:rFonts w:ascii="Times New Roman" w:hAnsi="Times New Roman" w:cs="Times New Roman"/>
        </w:rPr>
        <w:t xml:space="preserve"> </w:t>
      </w:r>
      <w:r>
        <w:rPr>
          <w:rFonts w:ascii="Times New Roman" w:hAnsi="Times New Roman" w:cs="Times New Roman"/>
        </w:rPr>
        <w:t xml:space="preserve">For the purposes of the present study, this </w:t>
      </w:r>
      <w:r w:rsidR="00B6069E">
        <w:rPr>
          <w:rFonts w:ascii="Times New Roman" w:hAnsi="Times New Roman" w:cs="Times New Roman"/>
        </w:rPr>
        <w:t>included</w:t>
      </w:r>
      <w:r>
        <w:rPr>
          <w:rFonts w:ascii="Times New Roman" w:hAnsi="Times New Roman" w:cs="Times New Roman"/>
        </w:rPr>
        <w:t xml:space="preserve"> </w:t>
      </w:r>
      <w:r w:rsidR="003E0A38">
        <w:rPr>
          <w:rFonts w:ascii="Times New Roman" w:hAnsi="Times New Roman" w:cs="Times New Roman"/>
        </w:rPr>
        <w:t>Hispanic/Latino(a)/Spanish Americans.</w:t>
      </w:r>
    </w:p>
    <w:p w14:paraId="66843A3A" w14:textId="77B4A623" w:rsidR="00A2596F" w:rsidRPr="00646996" w:rsidRDefault="00A2596F" w:rsidP="00A2596F">
      <w:pPr>
        <w:pStyle w:val="ListParagraph"/>
        <w:numPr>
          <w:ilvl w:val="0"/>
          <w:numId w:val="2"/>
        </w:numPr>
        <w:spacing w:line="480" w:lineRule="auto"/>
        <w:rPr>
          <w:rFonts w:ascii="Times New Roman" w:hAnsi="Times New Roman" w:cs="Times New Roman"/>
        </w:rPr>
      </w:pPr>
      <w:r>
        <w:rPr>
          <w:rFonts w:ascii="Times New Roman" w:hAnsi="Times New Roman" w:cs="Times New Roman"/>
          <w:u w:val="single"/>
        </w:rPr>
        <w:t>Normal Weight</w:t>
      </w:r>
      <w:r>
        <w:rPr>
          <w:rFonts w:ascii="Times New Roman" w:hAnsi="Times New Roman" w:cs="Times New Roman"/>
        </w:rPr>
        <w:t>:</w:t>
      </w:r>
      <w:r w:rsidR="005F1C1C">
        <w:rPr>
          <w:rFonts w:ascii="Times New Roman" w:hAnsi="Times New Roman" w:cs="Times New Roman"/>
        </w:rPr>
        <w:t xml:space="preserve"> </w:t>
      </w:r>
      <w:r w:rsidR="00F53963">
        <w:rPr>
          <w:rFonts w:ascii="Times New Roman" w:hAnsi="Times New Roman" w:cs="Times New Roman"/>
        </w:rPr>
        <w:t>An individual whose BMI is at least 18.5 but less than 25</w:t>
      </w:r>
      <w:r w:rsidR="001E2307">
        <w:rPr>
          <w:rFonts w:ascii="Times New Roman" w:hAnsi="Times New Roman" w:cs="Times New Roman"/>
        </w:rPr>
        <w:t xml:space="preserve"> is </w:t>
      </w:r>
      <w:r>
        <w:rPr>
          <w:rFonts w:ascii="Times New Roman" w:hAnsi="Times New Roman" w:cs="Times New Roman"/>
        </w:rPr>
        <w:t>considered normal or healthy weight</w:t>
      </w:r>
      <w:r w:rsidR="001E2307">
        <w:rPr>
          <w:rFonts w:ascii="Times New Roman" w:hAnsi="Times New Roman" w:cs="Times New Roman"/>
        </w:rPr>
        <w:t xml:space="preserve"> </w:t>
      </w:r>
      <w:r>
        <w:rPr>
          <w:rFonts w:ascii="Times New Roman" w:hAnsi="Times New Roman" w:cs="Times New Roman"/>
        </w:rPr>
        <w:t>(CDC, 2017)</w:t>
      </w:r>
      <w:r w:rsidR="008D2FEB">
        <w:rPr>
          <w:rFonts w:ascii="Times New Roman" w:hAnsi="Times New Roman" w:cs="Times New Roman"/>
        </w:rPr>
        <w:t>.</w:t>
      </w:r>
    </w:p>
    <w:p w14:paraId="79BA9E2A" w14:textId="48100CAE" w:rsidR="00A2596F" w:rsidRPr="00330DD8" w:rsidRDefault="00A2596F" w:rsidP="00A2596F">
      <w:pPr>
        <w:pStyle w:val="ListParagraph"/>
        <w:numPr>
          <w:ilvl w:val="0"/>
          <w:numId w:val="2"/>
        </w:numPr>
        <w:spacing w:line="480" w:lineRule="auto"/>
        <w:rPr>
          <w:rFonts w:ascii="Times New Roman" w:hAnsi="Times New Roman" w:cs="Times New Roman"/>
        </w:rPr>
      </w:pPr>
      <w:r w:rsidRPr="00330DD8">
        <w:rPr>
          <w:rFonts w:ascii="Times New Roman" w:hAnsi="Times New Roman" w:cs="Times New Roman"/>
          <w:u w:val="single"/>
        </w:rPr>
        <w:t>Overeating</w:t>
      </w:r>
      <w:r w:rsidRPr="00330DD8">
        <w:rPr>
          <w:rFonts w:ascii="Times New Roman" w:hAnsi="Times New Roman" w:cs="Times New Roman"/>
        </w:rPr>
        <w:t>:</w:t>
      </w:r>
      <w:r w:rsidR="005F1C1C">
        <w:rPr>
          <w:rFonts w:ascii="Times New Roman" w:hAnsi="Times New Roman" w:cs="Times New Roman"/>
        </w:rPr>
        <w:t xml:space="preserve"> </w:t>
      </w:r>
      <w:r w:rsidRPr="00330DD8">
        <w:rPr>
          <w:rFonts w:ascii="Times New Roman" w:hAnsi="Times New Roman" w:cs="Times New Roman"/>
        </w:rPr>
        <w:t xml:space="preserve">Overeating is the act of consuming a large amount of food in a short bout of time </w:t>
      </w:r>
      <w:r w:rsidRPr="00330DD8">
        <w:rPr>
          <w:rFonts w:ascii="Times New Roman" w:hAnsi="Times New Roman" w:cs="Times New Roman"/>
        </w:rPr>
        <w:fldChar w:fldCharType="begin"/>
      </w:r>
      <w:r>
        <w:rPr>
          <w:rFonts w:ascii="Times New Roman" w:hAnsi="Times New Roman" w:cs="Times New Roman"/>
        </w:rPr>
        <w:instrText xml:space="preserve"> ADDIN ZOTERO_ITEM CSL_CITATION {"citationID":"v9KktuJE","properties":{"formattedCitation":"(Mailloux et al., 2014)","plainCitation":"(Mailloux et al., 2014)","noteIndex":0},"citationItems":[{"id":136,"uris":["http://zotero.org/users/local/aUK5ZLEi/items/YZSZQ8SK"],"uri":["http://zotero.org/users/local/aUK5ZLEi/items/YZSZQ8SK"],"itemData":{"id":136,"type":"article-journal","abstract":"Background: Binge eating (BE) has long been identified as a correlate of overweight and obesity. However, less empirical attention has been given to overeating with and without loss of control (LOC) in nonclinical samples. Purpose: The goal of the present study was to examine the association of (1) established correlates of BE, namely, weight and shape concerns, dietary restraint, and negative affect, and (2) three additional correlates, disinhibition, hunger, and interoceptive awareness (IA), to overeating in a nonclinical sample of college women. Method: Female students ( n = 1,447) aged 18 to 21 years recruited from colleges in three Canadian metropolitan areas completed self-report questionnaires in class to assess sociodemographic and anthropomorphic characteristics, overeating, LOC, dietary restraint, negative affect, weight and shape concerns, IA, disinhibition, and hunger. Results: The established correlates of BE were significant correlates of all types of overeating and explained 33 % of the variance. Disinhibition was the most strongly associated correlate of overeating. Conclusions: Findings suggest that established correlates of BE are associated with other types of overeating such as objective overeating (OOE), as are disinhibition and hunger.","container-title":"International Journal of Behavioral Medicine","DOI":"10.1007/s12529-013-9306-1","ISSN":"1070-5503","issue":"2","journalAbbreviation":"International Journal of Behavioral Medicine","page":"375-384","source":"EBSCOhost","title":"Examining the Associations Between Overeating, Disinhibition, and Hunger in a Nonclinical Sample of College Women","volume":"21","author":[{"family":"Mailloux","given":"Geneviève"},{"family":"Bergeron","given":"Sophie"},{"family":"Meilleur","given":"Dominique"},{"family":"D'Antono","given":"Bianca"},{"family":"Dubé","given":"Isabelle"}],"issued":{"date-parts":[["2014",4]]}}}],"schema":"https://github.com/citation-style-language/schema/raw/master/csl-citation.json"} </w:instrText>
      </w:r>
      <w:r w:rsidRPr="00330DD8">
        <w:rPr>
          <w:rFonts w:ascii="Times New Roman" w:hAnsi="Times New Roman" w:cs="Times New Roman"/>
        </w:rPr>
        <w:fldChar w:fldCharType="separate"/>
      </w:r>
      <w:r>
        <w:rPr>
          <w:rFonts w:ascii="Times New Roman" w:hAnsi="Times New Roman" w:cs="Times New Roman"/>
          <w:noProof/>
        </w:rPr>
        <w:t>(Mailloux et al., 2014)</w:t>
      </w:r>
      <w:r w:rsidRPr="00330DD8">
        <w:rPr>
          <w:rFonts w:ascii="Times New Roman" w:hAnsi="Times New Roman" w:cs="Times New Roman"/>
        </w:rPr>
        <w:fldChar w:fldCharType="end"/>
      </w:r>
      <w:r w:rsidRPr="00330DD8">
        <w:rPr>
          <w:rFonts w:ascii="Times New Roman" w:hAnsi="Times New Roman" w:cs="Times New Roman"/>
        </w:rPr>
        <w:t>.</w:t>
      </w:r>
    </w:p>
    <w:p w14:paraId="0752BC2E" w14:textId="2794CDC5" w:rsidR="00A2596F" w:rsidRDefault="00A2596F" w:rsidP="00A2596F">
      <w:pPr>
        <w:pStyle w:val="ListParagraph"/>
        <w:numPr>
          <w:ilvl w:val="0"/>
          <w:numId w:val="2"/>
        </w:numPr>
        <w:spacing w:line="480" w:lineRule="auto"/>
        <w:rPr>
          <w:rFonts w:ascii="Times New Roman" w:hAnsi="Times New Roman" w:cs="Times New Roman"/>
        </w:rPr>
      </w:pPr>
      <w:r>
        <w:rPr>
          <w:rFonts w:ascii="Times New Roman" w:hAnsi="Times New Roman" w:cs="Times New Roman"/>
          <w:u w:val="single"/>
        </w:rPr>
        <w:lastRenderedPageBreak/>
        <w:t>Overweight</w:t>
      </w:r>
      <w:r>
        <w:rPr>
          <w:rFonts w:ascii="Times New Roman" w:hAnsi="Times New Roman" w:cs="Times New Roman"/>
        </w:rPr>
        <w:t>:</w:t>
      </w:r>
      <w:r w:rsidR="005F1C1C">
        <w:rPr>
          <w:rFonts w:ascii="Times New Roman" w:hAnsi="Times New Roman" w:cs="Times New Roman"/>
        </w:rPr>
        <w:t xml:space="preserve"> </w:t>
      </w:r>
      <w:r>
        <w:rPr>
          <w:rFonts w:ascii="Times New Roman" w:hAnsi="Times New Roman" w:cs="Times New Roman"/>
        </w:rPr>
        <w:t>An individual whose BMI is at least 25 but less than 30 is considered overweight (CDC, 2017).</w:t>
      </w:r>
    </w:p>
    <w:p w14:paraId="0C09DB33" w14:textId="692BDF37" w:rsidR="00A2596F" w:rsidRPr="00646996" w:rsidRDefault="00A2596F" w:rsidP="00A2596F">
      <w:pPr>
        <w:pStyle w:val="ListParagraph"/>
        <w:numPr>
          <w:ilvl w:val="0"/>
          <w:numId w:val="2"/>
        </w:numPr>
        <w:spacing w:line="480" w:lineRule="auto"/>
        <w:rPr>
          <w:rFonts w:ascii="Times New Roman" w:hAnsi="Times New Roman" w:cs="Times New Roman"/>
        </w:rPr>
      </w:pPr>
      <w:r>
        <w:rPr>
          <w:rFonts w:ascii="Times New Roman" w:hAnsi="Times New Roman" w:cs="Times New Roman"/>
          <w:u w:val="single"/>
        </w:rPr>
        <w:t>Obese</w:t>
      </w:r>
      <w:r>
        <w:rPr>
          <w:rFonts w:ascii="Times New Roman" w:hAnsi="Times New Roman" w:cs="Times New Roman"/>
        </w:rPr>
        <w:t>:</w:t>
      </w:r>
      <w:r w:rsidR="005F1C1C">
        <w:rPr>
          <w:rFonts w:ascii="Times New Roman" w:hAnsi="Times New Roman" w:cs="Times New Roman"/>
        </w:rPr>
        <w:t xml:space="preserve"> </w:t>
      </w:r>
      <w:r>
        <w:rPr>
          <w:rFonts w:ascii="Times New Roman" w:hAnsi="Times New Roman" w:cs="Times New Roman"/>
        </w:rPr>
        <w:t>A</w:t>
      </w:r>
      <w:r w:rsidR="001E2307">
        <w:rPr>
          <w:rFonts w:ascii="Times New Roman" w:hAnsi="Times New Roman" w:cs="Times New Roman"/>
        </w:rPr>
        <w:t>n individual whose</w:t>
      </w:r>
      <w:r>
        <w:rPr>
          <w:rFonts w:ascii="Times New Roman" w:hAnsi="Times New Roman" w:cs="Times New Roman"/>
        </w:rPr>
        <w:t xml:space="preserve"> BMI exceeds 30 is </w:t>
      </w:r>
      <w:r w:rsidR="001E2307">
        <w:rPr>
          <w:rFonts w:ascii="Times New Roman" w:hAnsi="Times New Roman" w:cs="Times New Roman"/>
        </w:rPr>
        <w:t>considered</w:t>
      </w:r>
      <w:r>
        <w:rPr>
          <w:rFonts w:ascii="Times New Roman" w:hAnsi="Times New Roman" w:cs="Times New Roman"/>
        </w:rPr>
        <w:t xml:space="preserve"> obese (CDC, 2017).</w:t>
      </w:r>
    </w:p>
    <w:p w14:paraId="712AE6A0" w14:textId="5EDAE9D6" w:rsidR="00A2596F" w:rsidRPr="00646996" w:rsidRDefault="00A2596F" w:rsidP="00A2596F">
      <w:pPr>
        <w:pStyle w:val="ListParagraph"/>
        <w:numPr>
          <w:ilvl w:val="0"/>
          <w:numId w:val="2"/>
        </w:numPr>
        <w:spacing w:line="480" w:lineRule="auto"/>
        <w:rPr>
          <w:rFonts w:ascii="Times New Roman" w:hAnsi="Times New Roman" w:cs="Times New Roman"/>
        </w:rPr>
      </w:pPr>
      <w:r>
        <w:rPr>
          <w:rFonts w:ascii="Times New Roman" w:hAnsi="Times New Roman" w:cs="Times New Roman"/>
          <w:u w:val="single"/>
        </w:rPr>
        <w:t>Racial Minorities</w:t>
      </w:r>
      <w:r>
        <w:rPr>
          <w:rFonts w:ascii="Times New Roman" w:hAnsi="Times New Roman" w:cs="Times New Roman"/>
        </w:rPr>
        <w:t>:</w:t>
      </w:r>
      <w:r w:rsidR="005F1C1C">
        <w:rPr>
          <w:rFonts w:ascii="Times New Roman" w:hAnsi="Times New Roman" w:cs="Times New Roman"/>
        </w:rPr>
        <w:t xml:space="preserve"> </w:t>
      </w:r>
      <w:r>
        <w:rPr>
          <w:rFonts w:ascii="Times New Roman" w:hAnsi="Times New Roman" w:cs="Times New Roman"/>
        </w:rPr>
        <w:t xml:space="preserve">These are groups of people who share common physical characteristics (e.g., skin color) that are different than the majority race </w:t>
      </w:r>
      <w:r w:rsidRPr="003E0A38">
        <w:rPr>
          <w:rFonts w:ascii="Times New Roman" w:hAnsi="Times New Roman" w:cs="Times New Roman"/>
        </w:rPr>
        <w:t>(white</w:t>
      </w:r>
      <w:r w:rsidR="003E0A38" w:rsidRPr="003E0A38">
        <w:rPr>
          <w:rFonts w:ascii="Times New Roman" w:hAnsi="Times New Roman" w:cs="Times New Roman"/>
        </w:rPr>
        <w:t xml:space="preserve">; </w:t>
      </w:r>
      <w:r w:rsidRPr="003E0A38">
        <w:rPr>
          <w:rFonts w:ascii="Times New Roman" w:hAnsi="Times New Roman" w:cs="Times New Roman"/>
        </w:rPr>
        <w:t>APA, 2020)</w:t>
      </w:r>
      <w:r>
        <w:rPr>
          <w:rFonts w:ascii="Times New Roman" w:hAnsi="Times New Roman" w:cs="Times New Roman"/>
        </w:rPr>
        <w:t>.</w:t>
      </w:r>
      <w:r w:rsidR="005F1C1C">
        <w:rPr>
          <w:rFonts w:ascii="Times New Roman" w:hAnsi="Times New Roman" w:cs="Times New Roman"/>
        </w:rPr>
        <w:t xml:space="preserve"> </w:t>
      </w:r>
      <w:r>
        <w:rPr>
          <w:rFonts w:ascii="Times New Roman" w:hAnsi="Times New Roman" w:cs="Times New Roman"/>
        </w:rPr>
        <w:t xml:space="preserve">The current study </w:t>
      </w:r>
      <w:r w:rsidR="00B6069E">
        <w:rPr>
          <w:rFonts w:ascii="Times New Roman" w:hAnsi="Times New Roman" w:cs="Times New Roman"/>
        </w:rPr>
        <w:t>included</w:t>
      </w:r>
      <w:r>
        <w:rPr>
          <w:rFonts w:ascii="Times New Roman" w:hAnsi="Times New Roman" w:cs="Times New Roman"/>
        </w:rPr>
        <w:t xml:space="preserve"> </w:t>
      </w:r>
      <w:r w:rsidR="005F1C1C">
        <w:rPr>
          <w:rFonts w:ascii="Times New Roman" w:hAnsi="Times New Roman" w:cs="Times New Roman"/>
        </w:rPr>
        <w:t>African Americans/Blacks</w:t>
      </w:r>
      <w:r>
        <w:rPr>
          <w:rFonts w:ascii="Times New Roman" w:hAnsi="Times New Roman" w:cs="Times New Roman"/>
        </w:rPr>
        <w:t xml:space="preserve"> and American Indians.</w:t>
      </w:r>
      <w:r w:rsidR="005F1C1C">
        <w:rPr>
          <w:rFonts w:ascii="Times New Roman" w:hAnsi="Times New Roman" w:cs="Times New Roman"/>
        </w:rPr>
        <w:t xml:space="preserve"> </w:t>
      </w:r>
    </w:p>
    <w:p w14:paraId="4BBCED91" w14:textId="77777777" w:rsidR="00A2596F" w:rsidRDefault="00A2596F" w:rsidP="00A2596F">
      <w:pPr>
        <w:spacing w:line="480" w:lineRule="auto"/>
        <w:jc w:val="center"/>
        <w:rPr>
          <w:b/>
          <w:bCs/>
        </w:rPr>
      </w:pPr>
    </w:p>
    <w:p w14:paraId="5D9896E4" w14:textId="77777777" w:rsidR="00A2596F" w:rsidRDefault="00A2596F" w:rsidP="00A2596F">
      <w:pPr>
        <w:spacing w:line="480" w:lineRule="auto"/>
        <w:jc w:val="center"/>
        <w:rPr>
          <w:b/>
          <w:bCs/>
        </w:rPr>
      </w:pPr>
    </w:p>
    <w:p w14:paraId="066F687E" w14:textId="77777777" w:rsidR="00A2596F" w:rsidRDefault="00A2596F" w:rsidP="00A2596F">
      <w:pPr>
        <w:spacing w:line="480" w:lineRule="auto"/>
        <w:jc w:val="center"/>
        <w:rPr>
          <w:b/>
          <w:bCs/>
        </w:rPr>
      </w:pPr>
    </w:p>
    <w:p w14:paraId="08FCE84D" w14:textId="77777777" w:rsidR="00A2596F" w:rsidRDefault="00A2596F" w:rsidP="00A2596F">
      <w:pPr>
        <w:spacing w:line="480" w:lineRule="auto"/>
        <w:jc w:val="center"/>
        <w:rPr>
          <w:b/>
          <w:bCs/>
        </w:rPr>
      </w:pPr>
    </w:p>
    <w:p w14:paraId="6761BAA4" w14:textId="77777777" w:rsidR="00A2596F" w:rsidRDefault="00A2596F" w:rsidP="00A2596F">
      <w:pPr>
        <w:spacing w:line="480" w:lineRule="auto"/>
        <w:jc w:val="center"/>
        <w:rPr>
          <w:b/>
          <w:bCs/>
        </w:rPr>
      </w:pPr>
    </w:p>
    <w:p w14:paraId="204662A5" w14:textId="77777777" w:rsidR="00A2596F" w:rsidRDefault="00A2596F" w:rsidP="00A2596F">
      <w:pPr>
        <w:spacing w:line="480" w:lineRule="auto"/>
        <w:jc w:val="center"/>
        <w:rPr>
          <w:b/>
          <w:bCs/>
        </w:rPr>
      </w:pPr>
    </w:p>
    <w:p w14:paraId="7534FADD" w14:textId="77777777" w:rsidR="00A2596F" w:rsidRDefault="00A2596F" w:rsidP="00A2596F">
      <w:pPr>
        <w:spacing w:line="480" w:lineRule="auto"/>
        <w:jc w:val="center"/>
        <w:rPr>
          <w:b/>
          <w:bCs/>
        </w:rPr>
      </w:pPr>
    </w:p>
    <w:p w14:paraId="79D85BAD" w14:textId="77777777" w:rsidR="00A2596F" w:rsidRDefault="00A2596F" w:rsidP="00A2596F">
      <w:pPr>
        <w:spacing w:line="480" w:lineRule="auto"/>
        <w:jc w:val="center"/>
        <w:rPr>
          <w:b/>
          <w:bCs/>
        </w:rPr>
      </w:pPr>
    </w:p>
    <w:p w14:paraId="07AF103C" w14:textId="77777777" w:rsidR="00A2596F" w:rsidRDefault="00A2596F" w:rsidP="00A2596F">
      <w:pPr>
        <w:spacing w:line="480" w:lineRule="auto"/>
        <w:jc w:val="center"/>
        <w:rPr>
          <w:b/>
          <w:bCs/>
        </w:rPr>
      </w:pPr>
    </w:p>
    <w:p w14:paraId="5F9F41D4" w14:textId="77777777" w:rsidR="00A2596F" w:rsidRDefault="00A2596F" w:rsidP="00A2596F">
      <w:pPr>
        <w:spacing w:line="480" w:lineRule="auto"/>
        <w:jc w:val="center"/>
        <w:rPr>
          <w:b/>
          <w:bCs/>
        </w:rPr>
      </w:pPr>
    </w:p>
    <w:p w14:paraId="4011CFE7" w14:textId="77777777" w:rsidR="00A2596F" w:rsidRDefault="00A2596F" w:rsidP="00A2596F">
      <w:pPr>
        <w:spacing w:line="480" w:lineRule="auto"/>
        <w:jc w:val="center"/>
        <w:rPr>
          <w:b/>
          <w:bCs/>
        </w:rPr>
      </w:pPr>
    </w:p>
    <w:p w14:paraId="6C312286" w14:textId="77777777" w:rsidR="00A2596F" w:rsidRDefault="00A2596F" w:rsidP="00A2596F">
      <w:pPr>
        <w:spacing w:line="480" w:lineRule="auto"/>
        <w:jc w:val="center"/>
        <w:rPr>
          <w:b/>
          <w:bCs/>
        </w:rPr>
      </w:pPr>
    </w:p>
    <w:p w14:paraId="75B8EED2" w14:textId="77777777" w:rsidR="00327996" w:rsidRDefault="00327996" w:rsidP="00A2596F">
      <w:pPr>
        <w:spacing w:line="480" w:lineRule="auto"/>
        <w:jc w:val="center"/>
        <w:rPr>
          <w:b/>
          <w:bCs/>
        </w:rPr>
      </w:pPr>
    </w:p>
    <w:p w14:paraId="0B28D562" w14:textId="77777777" w:rsidR="00731833" w:rsidRDefault="00731833" w:rsidP="00A2596F">
      <w:pPr>
        <w:spacing w:line="480" w:lineRule="auto"/>
        <w:jc w:val="center"/>
        <w:rPr>
          <w:b/>
          <w:bCs/>
        </w:rPr>
      </w:pPr>
    </w:p>
    <w:p w14:paraId="56A374D8" w14:textId="77777777" w:rsidR="00731833" w:rsidRDefault="00731833" w:rsidP="00A2596F">
      <w:pPr>
        <w:spacing w:line="480" w:lineRule="auto"/>
        <w:jc w:val="center"/>
        <w:rPr>
          <w:b/>
          <w:bCs/>
        </w:rPr>
      </w:pPr>
    </w:p>
    <w:p w14:paraId="70F8270C" w14:textId="77777777" w:rsidR="00731833" w:rsidRDefault="00731833" w:rsidP="00A2596F">
      <w:pPr>
        <w:spacing w:line="480" w:lineRule="auto"/>
        <w:jc w:val="center"/>
        <w:rPr>
          <w:b/>
          <w:bCs/>
        </w:rPr>
      </w:pPr>
    </w:p>
    <w:p w14:paraId="21FC0608" w14:textId="77777777" w:rsidR="00731833" w:rsidRDefault="00731833" w:rsidP="00A2596F">
      <w:pPr>
        <w:spacing w:line="480" w:lineRule="auto"/>
        <w:jc w:val="center"/>
        <w:rPr>
          <w:b/>
          <w:bCs/>
        </w:rPr>
      </w:pPr>
    </w:p>
    <w:p w14:paraId="5B0E0AED" w14:textId="7AFEF4A3" w:rsidR="00A2596F" w:rsidRDefault="00A2596F" w:rsidP="00A2596F">
      <w:pPr>
        <w:spacing w:line="480" w:lineRule="auto"/>
        <w:jc w:val="center"/>
        <w:rPr>
          <w:b/>
          <w:bCs/>
        </w:rPr>
      </w:pPr>
      <w:r>
        <w:rPr>
          <w:b/>
          <w:bCs/>
        </w:rPr>
        <w:lastRenderedPageBreak/>
        <w:t>CHAPTER 2: REVIEW OF LITERATURE</w:t>
      </w:r>
    </w:p>
    <w:p w14:paraId="7D3A31DD" w14:textId="121E8DC6" w:rsidR="00A2596F" w:rsidRDefault="00A2596F" w:rsidP="00A2596F">
      <w:pPr>
        <w:spacing w:line="480" w:lineRule="auto"/>
      </w:pPr>
      <w:r>
        <w:tab/>
        <w:t xml:space="preserve">Obesity rates continue to escalate in the United States; however, the rates are disproportionately highest among </w:t>
      </w:r>
      <w:r w:rsidR="00D722AF">
        <w:t>racial/ethnic</w:t>
      </w:r>
      <w:r>
        <w:t xml:space="preserve"> minorities (Hales et al., 2020; </w:t>
      </w:r>
      <w:proofErr w:type="spellStart"/>
      <w:r>
        <w:t>Subica</w:t>
      </w:r>
      <w:proofErr w:type="spellEnd"/>
      <w:r>
        <w:t>, et al., 2017).</w:t>
      </w:r>
      <w:r w:rsidR="005F1C1C">
        <w:t xml:space="preserve"> </w:t>
      </w:r>
      <w:r>
        <w:t xml:space="preserve"> Excess adipose tissue increases the risk for multiple chronic diseases, strains mental health, and limits overall quality of life (</w:t>
      </w:r>
      <w:proofErr w:type="spellStart"/>
      <w:r w:rsidR="00E9008E" w:rsidRPr="002E2882">
        <w:t>Jastreboff</w:t>
      </w:r>
      <w:proofErr w:type="spellEnd"/>
      <w:r>
        <w:t xml:space="preserve"> et al., 2018).</w:t>
      </w:r>
      <w:r w:rsidR="005F1C1C">
        <w:t xml:space="preserve"> </w:t>
      </w:r>
      <w:r>
        <w:t xml:space="preserve">Consequently, </w:t>
      </w:r>
      <w:proofErr w:type="spellStart"/>
      <w:r>
        <w:t>racial</w:t>
      </w:r>
      <w:r w:rsidR="00D722AF">
        <w:t>.</w:t>
      </w:r>
      <w:r>
        <w:t>ethnic</w:t>
      </w:r>
      <w:proofErr w:type="spellEnd"/>
      <w:r>
        <w:t xml:space="preserve"> minorities are experiencing poorer health outcomes and increased morbidity as compared to the white majority</w:t>
      </w:r>
      <w:r w:rsidR="00151AF3">
        <w:t xml:space="preserve"> (Mehta et al., 2013)</w:t>
      </w:r>
      <w:r>
        <w:t xml:space="preserve">. </w:t>
      </w:r>
    </w:p>
    <w:p w14:paraId="3C97D456" w14:textId="7C79A0F6" w:rsidR="00A2596F" w:rsidRDefault="00A2596F" w:rsidP="00A2596F">
      <w:pPr>
        <w:spacing w:line="480" w:lineRule="auto"/>
      </w:pPr>
      <w:r>
        <w:tab/>
        <w:t>Dietary factors can negatively impact weight status.</w:t>
      </w:r>
      <w:r w:rsidR="005F1C1C">
        <w:t xml:space="preserve"> </w:t>
      </w:r>
      <w:r>
        <w:t>Over time, the ingestion of excessive calories will inevitably lead to obesity (</w:t>
      </w:r>
      <w:proofErr w:type="spellStart"/>
      <w:r>
        <w:t>Boutelle</w:t>
      </w:r>
      <w:proofErr w:type="spellEnd"/>
      <w:r>
        <w:t xml:space="preserve"> et al., 2011), and overeating can facilitate this weight gain.</w:t>
      </w:r>
      <w:r w:rsidR="005F1C1C">
        <w:t xml:space="preserve"> </w:t>
      </w:r>
      <w:r>
        <w:t xml:space="preserve">Since </w:t>
      </w:r>
      <w:proofErr w:type="spellStart"/>
      <w:r>
        <w:t>racial</w:t>
      </w:r>
      <w:r w:rsidR="00D722AF">
        <w:t>.</w:t>
      </w:r>
      <w:r>
        <w:t>ethnic</w:t>
      </w:r>
      <w:proofErr w:type="spellEnd"/>
      <w:r>
        <w:t xml:space="preserve"> minorities are inordinately affected by obesity, it is likely that these groups also experience high rates of behavioral risk factors, such as overeating.</w:t>
      </w:r>
      <w:r w:rsidR="005F1C1C">
        <w:t xml:space="preserve"> </w:t>
      </w:r>
    </w:p>
    <w:p w14:paraId="27B9B432" w14:textId="035AB8C9" w:rsidR="00A2596F" w:rsidRPr="00406E35" w:rsidRDefault="00A2596F" w:rsidP="00A2596F">
      <w:pPr>
        <w:spacing w:line="480" w:lineRule="auto"/>
      </w:pPr>
      <w:r>
        <w:tab/>
        <w:t>Racial divide and social inequalities are the core foundation for many health disparities (Simons et al., 2018).</w:t>
      </w:r>
      <w:r w:rsidR="005F1C1C">
        <w:t xml:space="preserve"> </w:t>
      </w:r>
      <w:r>
        <w:t xml:space="preserve">Obesity </w:t>
      </w:r>
      <w:r w:rsidR="00EF7E54">
        <w:t>may</w:t>
      </w:r>
      <w:r>
        <w:t xml:space="preserve"> not be </w:t>
      </w:r>
      <w:r w:rsidR="00EF7E54">
        <w:t>an</w:t>
      </w:r>
      <w:r>
        <w:t xml:space="preserve"> exception.</w:t>
      </w:r>
      <w:r w:rsidR="005F1C1C">
        <w:t xml:space="preserve"> </w:t>
      </w:r>
      <w:r>
        <w:t>Due to chronic encounter</w:t>
      </w:r>
      <w:r w:rsidR="00EF7E54">
        <w:t>s</w:t>
      </w:r>
      <w:r>
        <w:t xml:space="preserve"> of discrimination, racial</w:t>
      </w:r>
      <w:r w:rsidR="00D722AF">
        <w:t>/</w:t>
      </w:r>
      <w:r>
        <w:t>ethnic minorities report this prejudiced treatment as a significant source of stress (</w:t>
      </w:r>
      <w:r w:rsidR="00EA1F19">
        <w:t>American Psychological Association</w:t>
      </w:r>
      <w:r w:rsidR="00CA2264">
        <w:t xml:space="preserve"> </w:t>
      </w:r>
      <w:r w:rsidR="004B0378">
        <w:t>[APA]</w:t>
      </w:r>
      <w:r w:rsidR="00EA1F19">
        <w:t xml:space="preserve">, 2019; Driscoll et al., 2015; </w:t>
      </w:r>
      <w:r>
        <w:t xml:space="preserve">Pascoe </w:t>
      </w:r>
      <w:r w:rsidR="002E2882">
        <w:t>&amp;</w:t>
      </w:r>
      <w:r>
        <w:t xml:space="preserve"> Richman, 2009).</w:t>
      </w:r>
      <w:r w:rsidR="005F1C1C">
        <w:t xml:space="preserve"> </w:t>
      </w:r>
      <w:r>
        <w:t>Consequently, there may be a potential link between discriminatory stress and overeating that is contributing to the obesity health disparity among racial</w:t>
      </w:r>
      <w:r w:rsidR="00D722AF">
        <w:t>/</w:t>
      </w:r>
      <w:r>
        <w:t>ethnic minority adults.</w:t>
      </w:r>
      <w:r w:rsidR="005F1C1C">
        <w:t xml:space="preserve"> </w:t>
      </w:r>
      <w:r w:rsidRPr="00406E35">
        <w:t>The purpose of the current study</w:t>
      </w:r>
      <w:r>
        <w:t>, therefore,</w:t>
      </w:r>
      <w:r w:rsidRPr="00406E35">
        <w:t xml:space="preserve"> </w:t>
      </w:r>
      <w:r w:rsidR="00B6069E">
        <w:t xml:space="preserve">was </w:t>
      </w:r>
      <w:r w:rsidRPr="00406E35">
        <w:t>to investigate the relationship between discriminatory stress and overeating among racial</w:t>
      </w:r>
      <w:r w:rsidR="00D722AF">
        <w:t>/</w:t>
      </w:r>
      <w:r w:rsidRPr="00406E35">
        <w:t>ethnic minority men and women</w:t>
      </w:r>
      <w:r>
        <w:t xml:space="preserve"> in order to identify a potential source of the obesity health disparity</w:t>
      </w:r>
      <w:r w:rsidRPr="00406E35">
        <w:t>.</w:t>
      </w:r>
      <w:r w:rsidR="005F1C1C">
        <w:t xml:space="preserve"> </w:t>
      </w:r>
    </w:p>
    <w:p w14:paraId="286994EB" w14:textId="77777777" w:rsidR="00345D52" w:rsidRDefault="00345D52" w:rsidP="00A2596F">
      <w:pPr>
        <w:spacing w:line="480" w:lineRule="auto"/>
        <w:rPr>
          <w:b/>
          <w:bCs/>
        </w:rPr>
      </w:pPr>
    </w:p>
    <w:p w14:paraId="326EE183" w14:textId="77777777" w:rsidR="00345D52" w:rsidRDefault="00345D52" w:rsidP="00A2596F">
      <w:pPr>
        <w:spacing w:line="480" w:lineRule="auto"/>
        <w:rPr>
          <w:b/>
          <w:bCs/>
        </w:rPr>
      </w:pPr>
    </w:p>
    <w:p w14:paraId="45BB250E" w14:textId="77777777" w:rsidR="005F1C1C" w:rsidRDefault="005F1C1C" w:rsidP="00A2596F">
      <w:pPr>
        <w:spacing w:line="480" w:lineRule="auto"/>
        <w:rPr>
          <w:b/>
          <w:bCs/>
        </w:rPr>
      </w:pPr>
    </w:p>
    <w:p w14:paraId="1A42AA8C" w14:textId="7D025D06" w:rsidR="00A2596F" w:rsidRDefault="00A2596F" w:rsidP="00A2596F">
      <w:pPr>
        <w:spacing w:line="480" w:lineRule="auto"/>
        <w:rPr>
          <w:b/>
          <w:bCs/>
        </w:rPr>
      </w:pPr>
      <w:r>
        <w:rPr>
          <w:b/>
          <w:bCs/>
        </w:rPr>
        <w:lastRenderedPageBreak/>
        <w:t xml:space="preserve">Overeating </w:t>
      </w:r>
      <w:r w:rsidR="003E0A38">
        <w:rPr>
          <w:b/>
          <w:bCs/>
        </w:rPr>
        <w:t xml:space="preserve">and </w:t>
      </w:r>
      <w:r>
        <w:rPr>
          <w:b/>
          <w:bCs/>
        </w:rPr>
        <w:t>Binge Eating</w:t>
      </w:r>
    </w:p>
    <w:p w14:paraId="0A95822C" w14:textId="556B70EB" w:rsidR="00A2596F" w:rsidRDefault="00A2596F" w:rsidP="00A2596F">
      <w:pPr>
        <w:spacing w:line="480" w:lineRule="auto"/>
      </w:pPr>
      <w:r>
        <w:tab/>
        <w:t>Dietary factors can influence and alter weight status.</w:t>
      </w:r>
      <w:r w:rsidR="005F1C1C">
        <w:t xml:space="preserve"> </w:t>
      </w:r>
      <w:r>
        <w:t>Although caloric quality can contribute to obesity (</w:t>
      </w:r>
      <w:proofErr w:type="spellStart"/>
      <w:r>
        <w:t>Dallacker</w:t>
      </w:r>
      <w:proofErr w:type="spellEnd"/>
      <w:r>
        <w:t xml:space="preserve"> et al., 2019), caloric quantity directly impacts weight status.</w:t>
      </w:r>
      <w:r w:rsidR="005F1C1C">
        <w:t xml:space="preserve"> </w:t>
      </w:r>
      <w:r>
        <w:t>When the calories ingested from food exceed the calories expended from daily activity levels, the body is left with excess calories that are stored as fat, and overtime, the collection of adipose tissue leads to weight gain that predisposes an individual to obesity (</w:t>
      </w:r>
      <w:proofErr w:type="spellStart"/>
      <w:r>
        <w:t>Boutelle</w:t>
      </w:r>
      <w:proofErr w:type="spellEnd"/>
      <w:r>
        <w:t xml:space="preserve"> et al., 2011).</w:t>
      </w:r>
    </w:p>
    <w:p w14:paraId="24AF8623" w14:textId="685671CA" w:rsidR="00A2596F" w:rsidRDefault="00A2596F" w:rsidP="00A2596F">
      <w:pPr>
        <w:spacing w:line="480" w:lineRule="auto"/>
      </w:pPr>
      <w:r>
        <w:tab/>
        <w:t>Overeating does not definitively lead to weight gain; however, it increases the risk of surpassing caloric expenditure.</w:t>
      </w:r>
      <w:r w:rsidR="005F1C1C">
        <w:t xml:space="preserve"> </w:t>
      </w:r>
      <w:r>
        <w:t xml:space="preserve">Overeating consists of eating a large amount of food in a short period of time </w:t>
      </w:r>
      <w:r w:rsidR="00B22514">
        <w:t>(i.e.</w:t>
      </w:r>
      <w:r w:rsidR="00DE07E9">
        <w:t>,</w:t>
      </w:r>
      <w:r w:rsidR="00B22514">
        <w:t xml:space="preserve"> within a two-hour time period; M</w:t>
      </w:r>
      <w:r>
        <w:fldChar w:fldCharType="begin"/>
      </w:r>
      <w:r w:rsidR="00B22514">
        <w:instrText xml:space="preserve"> ADDIN ZOTERO_ITEM CSL_CITATION {"citationID":"v3od6E5d","properties":{"formattedCitation":"(Mailloux et al., 2014)","plainCitation":"(Mailloux et al., 2014)","dontUpdate":true,"noteIndex":0},"citationItems":[{"id":136,"uris":["http://zotero.org/users/local/aUK5ZLEi/items/YZSZQ8SK"],"uri":["http://zotero.org/users/local/aUK5ZLEi/items/YZSZQ8SK"],"itemData":{"id":136,"type":"article-journal","abstract":"Background: Binge eating (BE) has long been identified as a correlate of overweight and obesity. However, less empirical attention has been given to overeating with and without loss of control (LOC) in nonclinical samples. Purpose: The goal of the present study was to examine the association of (1) established correlates of BE, namely, weight and shape concerns, dietary restraint, and negative affect, and (2) three additional correlates, disinhibition, hunger, and interoceptive awareness (IA), to overeating in a nonclinical sample of college women. Method: Female students ( n = 1,447) aged 18 to 21 years recruited from colleges in three Canadian metropolitan areas completed self-report questionnaires in class to assess sociodemographic and anthropomorphic characteristics, overeating, LOC, dietary restraint, negative affect, weight and shape concerns, IA, disinhibition, and hunger. Results: The established correlates of BE were significant correlates of all types of overeating and explained 33 % of the variance. Disinhibition was the most strongly associated correlate of overeating. Conclusions: Findings suggest that established correlates of BE are associated with other types of overeating such as objective overeating (OOE), as are disinhibition and hunger.","container-title":"International Journal of Behavioral Medicine","DOI":"10.1007/s12529-013-9306-1","ISSN":"1070-5503","issue":"2","journalAbbreviation":"International Journal of Behavioral Medicine","page":"375-384","source":"EBSCOhost","title":"Examining the Associations Between Overeating, Disinhibition, and Hunger in a Nonclinical Sample of College Women","volume":"21","author":[{"family":"Mailloux","given":"Geneviève"},{"family":"Bergeron","given":"Sophie"},{"family":"Meilleur","given":"Dominique"},{"family":"D'Antono","given":"Bianca"},{"family":"Dubé","given":"Isabelle"}],"issued":{"date-parts":[["2014",4]]}}}],"schema":"https://github.com/citation-style-language/schema/raw/master/csl-citation.json"} </w:instrText>
      </w:r>
      <w:r>
        <w:fldChar w:fldCharType="separate"/>
      </w:r>
      <w:r>
        <w:rPr>
          <w:noProof/>
        </w:rPr>
        <w:t>ailloux et al., 2014</w:t>
      </w:r>
      <w:r w:rsidR="00B22514">
        <w:rPr>
          <w:noProof/>
        </w:rPr>
        <w:t xml:space="preserve">; </w:t>
      </w:r>
      <w:r w:rsidR="00B22514" w:rsidRPr="002E2882">
        <w:rPr>
          <w:noProof/>
        </w:rPr>
        <w:t>Yanovski</w:t>
      </w:r>
      <w:r w:rsidR="00B22514">
        <w:rPr>
          <w:noProof/>
        </w:rPr>
        <w:t xml:space="preserve"> et al., 2015</w:t>
      </w:r>
      <w:r>
        <w:rPr>
          <w:noProof/>
        </w:rPr>
        <w:t>)</w:t>
      </w:r>
      <w:r>
        <w:fldChar w:fldCharType="end"/>
      </w:r>
      <w:r>
        <w:t>.</w:t>
      </w:r>
      <w:r w:rsidR="005F1C1C">
        <w:t xml:space="preserve"> </w:t>
      </w:r>
      <w:r w:rsidR="00EF7E54">
        <w:t>However, e</w:t>
      </w:r>
      <w:r>
        <w:t>veryone overeats on occasion.</w:t>
      </w:r>
      <w:r w:rsidR="005F1C1C">
        <w:t xml:space="preserve"> </w:t>
      </w:r>
      <w:r>
        <w:t>Certain holidays (e.g., Thanksgivings) or celebrations (e.g., weddings) normalize overeating, and these occasional caloric splurges will not jeopardize an individual’s weight status.</w:t>
      </w:r>
      <w:r w:rsidR="005F1C1C">
        <w:t xml:space="preserve"> </w:t>
      </w:r>
      <w:r>
        <w:t xml:space="preserve">The continual act of eating excessive amounts of food without physical compensation (e.g., exercise), though, will eventually lead to obesity </w:t>
      </w:r>
      <w:r>
        <w:fldChar w:fldCharType="begin"/>
      </w:r>
      <w:r>
        <w:instrText xml:space="preserve"> ADDIN ZOTERO_ITEM CSL_CITATION {"citationID":"2TvOSgfJ","properties":{"formattedCitation":"(Kumanyika et al., 2012)","plainCitation":"(Kumanyika et al., 2012)","noteIndex":0},"citationItems":[{"id":70,"uris":["http://zotero.org/users/local/aUK5ZLEi/items/BSQK4LNW"],"uri":["http://zotero.org/users/local/aUK5ZLEi/items/BSQK4LNW"],"itemData":{"id":70,"type":"article-journal","abstract":"Introduction: Increases in the availability, affordability, and promotion of high-calorie foods and beverages and decreased obligations for routine physical activity have fostered trends of increased obesity worldwide. In high-income, plural societies, above average obesity prevalence is often observed in ethnic minority communities, suggesting that obesity-promoting influences are more prevalent or potent in these communities. Methods: An interdisciplinary group of scholars engaged in multiple rounds of focused discussion and literature review to develop a Community Energy Balance Framework (CEB). The objective was to explore the nature of the excess obesity risk in African descent and other ethnic minority populations and identify related implications for planning and evaluating interventions to prevent obesity. Results: A key principle that emerged is that researchers and programmers working with ethnic minority communities should contextualize the food- and physical activity-related sociocultural perspectives of these communities, taking into account relevant historical, political, and structural contexts. This perspective underscores the fallacy of approaches that place the entire burden of change on the individual, particularly in circumstances of social disadvantage and rapid cultural shifts. Conclusion: The CEB framework is proposed for use and further development to aid in understanding potential health-adverse effects of cultural-contextual stresses and accommodations to these stresses. (PsycINFO Database Record (c) 2016 APA, all rights reserved) (Source: journal abstract)","container-title":"Preventive Medicine: An International Journal Devoted to Practice and Theory","DOI":"http://dx.doi.org.ezproxy.lib.ou.edu/10.1016/j.ypmed.2012.07.002","ISSN":"0091-7435","issue":"5","language":"English","page":"371-381","source":"ProQuest","title":"Community energy balance: A framework for contextualizing cultural influences on high risk of obesity in ethnic minority populations","title-short":"Community energy balance","volume":"55","author":[{"family":"Kumanyika","given":"Shiriki"},{"family":"Taylor","given":"Wendell C."},{"family":"Grier","given":"Sonya A."},{"family":"Lassiter","given":"Vikki"},{"family":"Lancaster","given":"Kristie J."},{"family":"Morssink","given":"Christiaan B."},{"family":"Renzaho","given":"André M. N."}],"issued":{"date-parts":[["2012",11]]}}}],"schema":"https://github.com/citation-style-language/schema/raw/master/csl-citation.json"} </w:instrText>
      </w:r>
      <w:r>
        <w:fldChar w:fldCharType="separate"/>
      </w:r>
      <w:r>
        <w:rPr>
          <w:noProof/>
        </w:rPr>
        <w:t>(Kumanyika et al., 2012)</w:t>
      </w:r>
      <w:r>
        <w:fldChar w:fldCharType="end"/>
      </w:r>
      <w:r>
        <w:t>.</w:t>
      </w:r>
    </w:p>
    <w:p w14:paraId="7CB9B05F" w14:textId="2D902769" w:rsidR="00A2596F" w:rsidRDefault="00A2596F" w:rsidP="00A2596F">
      <w:pPr>
        <w:spacing w:line="480" w:lineRule="auto"/>
      </w:pPr>
      <w:r>
        <w:tab/>
        <w:t>In an experimental, crossover study comparing the short-term effects of three overeating dietary regimes (high fat/low energy density, high fat/high energy density, and high carbohydrate/low energy density), a sample of 20 participants were required to eat 12% more calories than their regular caloric intake.</w:t>
      </w:r>
      <w:r w:rsidR="005F1C1C">
        <w:t xml:space="preserve"> </w:t>
      </w:r>
      <w:r>
        <w:t>Overeating across all dietary treatments resulted in short-term weight gain.</w:t>
      </w:r>
      <w:r w:rsidR="005F1C1C">
        <w:t xml:space="preserve"> </w:t>
      </w:r>
      <w:r>
        <w:t>If overeating was prolonged, therefore, weight would continue to escalate.</w:t>
      </w:r>
      <w:r w:rsidR="005F1C1C">
        <w:t xml:space="preserve"> </w:t>
      </w:r>
      <w:r>
        <w:t>Additionally, all groups continued to overeat on the first day following the intervention, and the high fat/high energy density and high carbohydrate/low energy density groups continued to overeat on all four days of post-treatment analysis.</w:t>
      </w:r>
      <w:r w:rsidR="005F1C1C">
        <w:t xml:space="preserve"> </w:t>
      </w:r>
      <w:r>
        <w:t xml:space="preserve">Not only does acute overeating increase weight gain, but it also increases the risk of habitually overeating </w:t>
      </w:r>
      <w:r>
        <w:fldChar w:fldCharType="begin"/>
      </w:r>
      <w:r>
        <w:instrText xml:space="preserve"> ADDIN ZOTERO_ITEM CSL_CITATION {"citationID":"fOT62vBe","properties":{"formattedCitation":"(Apolzan et al., 2014)","plainCitation":"(Apolzan et al., 2014)","noteIndex":0},"citationItems":[{"id":139,"uris":["http://zotero.org/users/local/aUK5ZLEi/items/CEJBWTKC"],"uri":["http://zotero.org/users/local/aUK5ZLEi/items/CEJBWTKC"],"itemData":{"id":139,"type":"article-journal","abstract":"Objective—To evaluate the effects of overeating (140% of energy requirements) a high-fat lowenergy density diet (HF/LED, 1.05kcal/g), high-fat high-energy density diet (HF/HED, 1.60kcal/g), and high-carbohydrate (HC) LED (1.05kcal/g) for 2-days on subsequent 4-day energy intake (EI), activity levels, appetite, and mood. Design and Methods—Using a randomized cross-over design, energy expenditure and EI were standardized during overeating.\nResults—In 20 adults with a mean±SD BMI of 30.7±4.6kg/m2, EI was not suppressed until the second day after overeating and accounted for ~30% of the excess EI. Reductions in EI did not differ among the 3 diets or across days. Overeating had no effect on subsequent energy expenditure but steps/day decreased after the HC/LED and HF/HED. Sleep time was increased after the HF/HED compared to both LEDs. After overeating a HF/HED vs. HF/LED, carbohydrate cravings, hunger, prospective food consumption, and sadness increased and satisfaction, relaxation, and tranquility decreased.\nConclusions—Diet type, time, or their interaction had no impact on compensation over 4 days. No adaptive thermogenesis was observed. The HF/HED vs. HF/LED had detrimental effects on food cravings, appetite, and mood. These results suggest short-term overeating is associated with incomplete compensation.","container-title":"Obesity","DOI":"10.1002/oby.20587","ISSN":"19307381","issue":"1","journalAbbreviation":"Obesity","language":"en","page":"119-130","source":"DOI.org (Crossref)","title":"Short-term overeating results in incomplete energy intake compensation regardless of energy density or macronutrient composition: Overeating, Energy Density, and High-Fat Diet","title-short":"Short-term overeating results in incomplete energy intake compensation regardless of energy density or macronutrient composition","volume":"22","author":[{"family":"Apolzan","given":"John W."},{"family":"Bray","given":"George A."},{"family":"Hamilton","given":"Marc T."},{"family":"Zderic","given":"Theodore W."},{"family":"Han","given":"Hongmei"},{"family":"Champagne","given":"Catherine M."},{"family":"Shepard","given":"Desti"},{"family":"Martin","given":"Corby K."}],"issued":{"date-parts":[["2014",1]]}}}],"schema":"https://github.com/citation-style-language/schema/raw/master/csl-citation.json"} </w:instrText>
      </w:r>
      <w:r>
        <w:fldChar w:fldCharType="separate"/>
      </w:r>
      <w:r>
        <w:rPr>
          <w:noProof/>
        </w:rPr>
        <w:t>(Apolzan et al., 2014)</w:t>
      </w:r>
      <w:r>
        <w:fldChar w:fldCharType="end"/>
      </w:r>
      <w:r>
        <w:t>.</w:t>
      </w:r>
    </w:p>
    <w:p w14:paraId="7AB02D89" w14:textId="575853EF" w:rsidR="00A2596F" w:rsidRDefault="00A2596F" w:rsidP="00A2596F">
      <w:pPr>
        <w:spacing w:line="480" w:lineRule="auto"/>
      </w:pPr>
      <w:r>
        <w:lastRenderedPageBreak/>
        <w:tab/>
        <w:t xml:space="preserve">In addition to its precipitation of obesity, overeating is also characteristic of </w:t>
      </w:r>
      <w:r w:rsidR="009925DE">
        <w:t xml:space="preserve">individuals who are </w:t>
      </w:r>
      <w:r>
        <w:t>obese.</w:t>
      </w:r>
      <w:r w:rsidR="005F1C1C">
        <w:t xml:space="preserve"> </w:t>
      </w:r>
      <w:r>
        <w:t>Among a sample of 314 adults, B</w:t>
      </w:r>
      <w:r w:rsidR="001754FA">
        <w:t xml:space="preserve">ody </w:t>
      </w:r>
      <w:r>
        <w:t>M</w:t>
      </w:r>
      <w:r w:rsidR="001754FA">
        <w:t xml:space="preserve">ass </w:t>
      </w:r>
      <w:r>
        <w:t>I</w:t>
      </w:r>
      <w:r w:rsidR="001754FA">
        <w:t>ndex (BMI)</w:t>
      </w:r>
      <w:r>
        <w:t xml:space="preserve"> was significantly predictive of overeating</w:t>
      </w:r>
      <w:r w:rsidR="00EF21D6">
        <w:t>—</w:t>
      </w:r>
      <w:r w:rsidR="003E0A38">
        <w:t>as</w:t>
      </w:r>
      <w:r>
        <w:t xml:space="preserve"> BMI increased, overeating subsequently increased.</w:t>
      </w:r>
      <w:r w:rsidR="005F1C1C">
        <w:t xml:space="preserve"> </w:t>
      </w:r>
      <w:r w:rsidR="003E0A38">
        <w:t>Participants affected by obesity</w:t>
      </w:r>
      <w:r>
        <w:t xml:space="preserve"> reported overeating an average of seven times in the past 28 days as compared to an average of two times among </w:t>
      </w:r>
      <w:r w:rsidR="003E0A38">
        <w:t>participants without obesity</w:t>
      </w:r>
      <w:r>
        <w:t xml:space="preserve"> </w:t>
      </w:r>
      <w:r>
        <w:fldChar w:fldCharType="begin"/>
      </w:r>
      <w:r>
        <w:instrText xml:space="preserve"> ADDIN ZOTERO_ITEM CSL_CITATION {"citationID":"9y4BW1v1","properties":{"formattedCitation":"(G\\uc0\\u246{}rlach et al., 2016)","plainCitation":"(Görlach et al., 2016)","noteIndex":0},"citationItems":[{"id":140,"uris":["http://zotero.org/users/local/aUK5ZLEi/items/CBPIBT3K"],"uri":["http://zotero.org/users/local/aUK5ZLEi/items/CBPIBT3K"],"itemData":{"id":140,"type":"article-journal","abstract":"Emotions have a considerable impact on eating behaviour; however, research addressing emotion regulation in obesity is rare. The present study is the first to investigate the association between emotional suppression and overeating in individuals with overweight. In total, 314 participants including 190 individuals with obesity filled in a cross-sectional online survey, which assessed emotional suppression, eating behaviour and psychopathology. A hierarchical linear regression analysis was conducted to identify factors associated with overeating. Individuals with obesity reported more frequent overeating compared with individuals without obesity. The habitual use of emotional suppression was associated with more overeating; however, this link was moderated by increased body mass index (BMI). The results suggest that suppression of emotional expression contributes to overeating and is maladaptive especially in individuals with obesity. Further research should longitudinally investigate the predictive value of emotional suppression on overweight, as the training of emotion regulation could contribute to treating obesity. Copyright © 2016 John Wiley &amp; Sons, Ltd and Eating Disorders Association.","container-title":"European Eating Disorders Review","DOI":"10.1002/erv.2452","ISSN":"1099-0968","issue":"5","language":"en","page":"377-382","source":"Wiley Online Library","title":"Expressive Suppression of Emotions and Overeating in Individuals with Overweight and Obesity","volume":"24","author":[{"family":"Görlach","given":"Mirja Gianna"},{"family":"Kohlmann","given":"Sebastian"},{"family":"Shedden‐Mora","given":"Meike"},{"family":"Rief","given":"Winfried"},{"family":"Westermann","given":"Stefan"}],"issued":{"date-parts":[["2016"]]}}}],"schema":"https://github.com/citation-style-language/schema/raw/master/csl-citation.json"} </w:instrText>
      </w:r>
      <w:r>
        <w:fldChar w:fldCharType="separate"/>
      </w:r>
      <w:r w:rsidRPr="00565D00">
        <w:t>(Görlach et al., 2016)</w:t>
      </w:r>
      <w:r>
        <w:fldChar w:fldCharType="end"/>
      </w:r>
      <w:r>
        <w:t>.</w:t>
      </w:r>
      <w:r w:rsidR="005F1C1C">
        <w:t xml:space="preserve"> </w:t>
      </w:r>
      <w:r w:rsidR="00D83C56">
        <w:t>Individuals</w:t>
      </w:r>
      <w:r>
        <w:t xml:space="preserve"> who are overweight or obese are at more risk for overeating as compared to </w:t>
      </w:r>
      <w:r w:rsidR="00D83C56">
        <w:t xml:space="preserve">individuals who are a </w:t>
      </w:r>
      <w:r>
        <w:t>healthy weight.</w:t>
      </w:r>
      <w:r w:rsidR="005F1C1C">
        <w:t xml:space="preserve"> </w:t>
      </w:r>
      <w:r>
        <w:t>Consequently, overeating may be a key barrier for weight loss interventions.</w:t>
      </w:r>
    </w:p>
    <w:p w14:paraId="53CFD8E1" w14:textId="41290300" w:rsidR="00A2596F" w:rsidRPr="00271BC8" w:rsidRDefault="00A2596F" w:rsidP="00A2596F">
      <w:pPr>
        <w:spacing w:line="480" w:lineRule="auto"/>
      </w:pPr>
      <w:r>
        <w:tab/>
        <w:t xml:space="preserve">Within the overarching category of overeating, there various forms and types, including binge eating </w:t>
      </w:r>
      <w:r>
        <w:fldChar w:fldCharType="begin"/>
      </w:r>
      <w:r>
        <w:instrText xml:space="preserve"> ADDIN ZOTERO_ITEM CSL_CITATION {"citationID":"UJ6Lwogw","properties":{"formattedCitation":"(Mailloux et al., 2014)","plainCitation":"(Mailloux et al., 2014)","noteIndex":0},"citationItems":[{"id":136,"uris":["http://zotero.org/users/local/aUK5ZLEi/items/YZSZQ8SK"],"uri":["http://zotero.org/users/local/aUK5ZLEi/items/YZSZQ8SK"],"itemData":{"id":136,"type":"article-journal","abstract":"Background: Binge eating (BE) has long been identified as a correlate of overweight and obesity. However, less empirical attention has been given to overeating with and without loss of control (LOC) in nonclinical samples. Purpose: The goal of the present study was to examine the association of (1) established correlates of BE, namely, weight and shape concerns, dietary restraint, and negative affect, and (2) three additional correlates, disinhibition, hunger, and interoceptive awareness (IA), to overeating in a nonclinical sample of college women. Method: Female students ( n = 1,447) aged 18 to 21 years recruited from colleges in three Canadian metropolitan areas completed self-report questionnaires in class to assess sociodemographic and anthropomorphic characteristics, overeating, LOC, dietary restraint, negative affect, weight and shape concerns, IA, disinhibition, and hunger. Results: The established correlates of BE were significant correlates of all types of overeating and explained 33 % of the variance. Disinhibition was the most strongly associated correlate of overeating. Conclusions: Findings suggest that established correlates of BE are associated with other types of overeating such as objective overeating (OOE), as are disinhibition and hunger.","container-title":"International Journal of Behavioral Medicine","DOI":"10.1007/s12529-013-9306-1","ISSN":"1070-5503","issue":"2","journalAbbreviation":"International Journal of Behavioral Medicine","page":"375-384","source":"EBSCOhost","title":"Examining the Associations Between Overeating, Disinhibition, and Hunger in a Nonclinical Sample of College Women","volume":"21","author":[{"family":"Mailloux","given":"Geneviève"},{"family":"Bergeron","given":"Sophie"},{"family":"Meilleur","given":"Dominique"},{"family":"D'Antono","given":"Bianca"},{"family":"Dubé","given":"Isabelle"}],"issued":{"date-parts":[["2014",4]]}}}],"schema":"https://github.com/citation-style-language/schema/raw/master/csl-citation.json"} </w:instrText>
      </w:r>
      <w:r>
        <w:fldChar w:fldCharType="separate"/>
      </w:r>
      <w:r>
        <w:rPr>
          <w:noProof/>
        </w:rPr>
        <w:t>(Mailloux et al., 2014)</w:t>
      </w:r>
      <w:r>
        <w:fldChar w:fldCharType="end"/>
      </w:r>
      <w:r>
        <w:t>.</w:t>
      </w:r>
      <w:r w:rsidR="005F1C1C">
        <w:t xml:space="preserve"> </w:t>
      </w:r>
      <w:r>
        <w:t xml:space="preserve">Binge eating is a distinct sub-category of overeating characterized by consuming an excess quantity of food in a short bout of time coupled with a feeling of loss of control </w:t>
      </w:r>
      <w:r>
        <w:fldChar w:fldCharType="begin"/>
      </w:r>
      <w:r>
        <w:instrText xml:space="preserve"> ADDIN ZOTERO_ITEM CSL_CITATION {"citationID":"IEZdrMox","properties":{"formattedCitation":"(White &amp; Grilo, 2011)","plainCitation":"(White &amp; Grilo, 2011)","noteIndex":0},"citationItems":[{"id":167,"uris":["http://zotero.org/users/local/aUK5ZLEi/items/KZQFTCQC"],"uri":["http://zotero.org/users/local/aUK5ZLEi/items/KZQFTCQC"],"itemData":{"id":167,"type":"article-journal","abstract":"Objective: Research has examined various aspects of the validity of the research criteria for binge eating disorder (BED) but has yet to evaluate the utility of the 5 Diagnostic and Statistical Manual of Mental Disorders (4th ed.; DSM–IV; American Psychiatric Association, 1994) “indicators for impaired control” specified to help determine loss of control while overeating (i.e., binge eating). We examined the diagnostic efficiency of these indicators proposed as part of the research criteria for BED (eating until uncomfortably full; eating when not hungry; eating more rapidly than usual; eating in secret; and feeling disgust, shame, or depression after the episode). Method: A total of 916 community volunteers completed a battery of measures including questions about each of the indicators. Participants were categorized into 3 groups: BED (N = 164), bulimia nervosa (BN; N = 83), and non-binge-eating controls (N = 669). Four conditional probabilities (sensitivity, specificity, positive predictive power [PPP], and negative predictive power [NPP]) as well as total predictive value (TPV) and kappa coefficients were calculated for each indicator criterion in separate analyses comparing BED, BN, and combined BED + BN groups relative to controls. Results: PPPs and NPPs suggest all of the indicators have predictive value, with eating alone because embarrassed (PPP = .80) and feeling disgusted (NPP = .93) performing as the best inclusion and exclusion criteria, respectively. The best overall indicators for correctly identifying binge eating (based on TPV and kappa) were eating when not hungry and eating alone because embarrassed. Conclusions: All 5 proposed indicators for impaired control for determining binge eating have utility, and the diagnostic efficiency statistics provide guidance for clinicians and the DSM–5 regarding their usefulness for inclusion or exclusion. (PsycINFO Database Record (c) 2016 APA, all rights reserved) (Source: journal abstract)","container-title":"Journal of Consulting and Clinical Psychology","DOI":"http://dx.doi.org.ezproxy.lib.ou.edu/10.1037/a0022210","ISSN":"0022-006X","issue":"1","language":"English","page":"75-83","source":"ProQuest","title":"Diagnostic efficiency of DSM– IV indicators for binge eating episodes","volume":"79","author":[{"family":"White","given":"Marney A."},{"family":"Grilo","given":"Carlos M."}],"issued":{"date-parts":[["2011",2]]}}}],"schema":"https://github.com/citation-style-language/schema/raw/master/csl-citation.json"} </w:instrText>
      </w:r>
      <w:r>
        <w:fldChar w:fldCharType="separate"/>
      </w:r>
      <w:r>
        <w:rPr>
          <w:noProof/>
        </w:rPr>
        <w:t>(White &amp; Grilo, 2011)</w:t>
      </w:r>
      <w:r>
        <w:fldChar w:fldCharType="end"/>
      </w:r>
      <w:r>
        <w:t>.</w:t>
      </w:r>
      <w:r w:rsidR="005F1C1C">
        <w:t xml:space="preserve"> </w:t>
      </w:r>
      <w:r>
        <w:t xml:space="preserve">In both cross-sectional and longitudinal studies, binge eating was distinguished by negative psychological factors (e.g., distress or low self-esteem) and poor body satisfaction among adolescents and young adults </w:t>
      </w:r>
      <w:r>
        <w:fldChar w:fldCharType="begin"/>
      </w:r>
      <w:r>
        <w:instrText xml:space="preserve"> ADDIN ZOTERO_ITEM CSL_CITATION {"citationID":"fKEVy1CV","properties":{"formattedCitation":"(Goldschmidt et al., 2016; Mailloux et al., 2014)","plainCitation":"(Goldschmidt et al., 2016; Mailloux et al., 2014)","noteIndex":0},"citationItems":[{"id":134,"uris":["http://zotero.org/users/local/aUK5ZLEi/items/LUBRDHDP"],"uri":["http://zotero.org/users/local/aUK5ZLEi/items/LUBRDHDP"],"itemData":{"id":134,"type":"article-journal","abstract":"Overeating (eating an unusually large amount of food) and binge eating (overeating with loss of control [LOC]) predict adverse health consequences in adolescence. We aimed to characterize the stability of and risk factors for these distinct but interrelated constructs during critical developmental transitions. We used a population-based sample (n = 1,902) that completed surveys at 5-year intervals spanning adolescence and young adulthood. The trajectories of no overeating, overeating, binge eating, and binge eating disorder (BED; recurrent binge eating with associated distress) were characterized using cross-tabulations. Body mass index, depressive symptoms, self-esteem, and body satisfaction were examined as risk factors for no overeating, overeating, and binge eating (including BED) 5-years later using multinomial logistic regression. We found that all overeating categories tended to remit to no overeating at 5-year follow-up. Although overeating had the lowest remittance rates at each time-point, binge eating and BED showed higher rates of persistence or worsening of symptoms during the transition from late adolescence/early young adulthood to early/middle young adulthood. Overeating and binge eating had similar risk factors, although for females, depressive symptoms, body satisfaction, and self-esteem in late adolescence/early young adulthood differentially predicted binge eating versus overeating in early/middle young adulthood (ps &lt; .05). While overeating with or without LOC tends to remit over time, problematic eating persists for a subset of individuals. Greater psychosocial problems in late adolescence/early young adulthood predicted greater odds of binge eating relative to overeating in early/middle young adulthood among females, indicating that poorer psychosocial functioning in this developmental stage portends more severe eating-related psychopathology later in life. (PsycINFO Database Record (c) 2016 APA, all rights reserved) (Source: journal abstract)","container-title":"Developmental Psychology","DOI":"http://dx.doi.org.ezproxy.lib.ou.edu/10.1037/dev0000086","ISSN":"0012-1649","issue":"3","language":"English","page":"475-483","source":"ProQuest","title":"Overeating and binge eating in emerging adulthood: 10-year stability and risk factors","title-short":"Overeating and binge eating in emerging adulthood","volume":"52","author":[{"family":"Goldschmidt","given":"Andrea B."},{"family":"Wall","given":"Melanie M."},{"family":"Zhang","given":"Jun"},{"family":"Loth","given":"Katie A."},{"family":"Neumark-Sztainer","given":"Dianne"}],"issued":{"date-parts":[["2016",3]]}}},{"id":136,"uris":["http://zotero.org/users/local/aUK5ZLEi/items/YZSZQ8SK"],"uri":["http://zotero.org/users/local/aUK5ZLEi/items/YZSZQ8SK"],"itemData":{"id":136,"type":"article-journal","abstract":"Background: Binge eating (BE) has long been identified as a correlate of overweight and obesity. However, less empirical attention has been given to overeating with and without loss of control (LOC) in nonclinical samples. Purpose: The goal of the present study was to examine the association of (1) established correlates of BE, namely, weight and shape concerns, dietary restraint, and negative affect, and (2) three additional correlates, disinhibition, hunger, and interoceptive awareness (IA), to overeating in a nonclinical sample of college women. Method: Female students ( n = 1,447) aged 18 to 21 years recruited from colleges in three Canadian metropolitan areas completed self-report questionnaires in class to assess sociodemographic and anthropomorphic characteristics, overeating, LOC, dietary restraint, negative affect, weight and shape concerns, IA, disinhibition, and hunger. Results: The established correlates of BE were significant correlates of all types of overeating and explained 33 % of the variance. Disinhibition was the most strongly associated correlate of overeating. Conclusions: Findings suggest that established correlates of BE are associated with other types of overeating such as objective overeating (OOE), as are disinhibition and hunger.","container-title":"International Journal of Behavioral Medicine","DOI":"10.1007/s12529-013-9306-1","ISSN":"1070-5503","issue":"2","journalAbbreviation":"International Journal of Behavioral Medicine","page":"375-384","source":"EBSCOhost","title":"Examining the Associations Between Overeating, Disinhibition, and Hunger in a Nonclinical Sample of College Women","volume":"21","author":[{"family":"Mailloux","given":"Geneviève"},{"family":"Bergeron","given":"Sophie"},{"family":"Meilleur","given":"Dominique"},{"family":"D'Antono","given":"Bianca"},{"family":"Dubé","given":"Isabelle"}],"issued":{"date-parts":[["2014",4]]}}}],"schema":"https://github.com/citation-style-language/schema/raw/master/csl-citation.json"} </w:instrText>
      </w:r>
      <w:r>
        <w:fldChar w:fldCharType="separate"/>
      </w:r>
      <w:r>
        <w:rPr>
          <w:noProof/>
        </w:rPr>
        <w:t>(Goldschmidt et al., 2016; Mailloux et al., 2014)</w:t>
      </w:r>
      <w:r>
        <w:fldChar w:fldCharType="end"/>
      </w:r>
      <w:r>
        <w:t>.</w:t>
      </w:r>
      <w:r w:rsidR="005F1C1C">
        <w:t xml:space="preserve"> </w:t>
      </w:r>
      <w:r>
        <w:t>Although distinct, they also share commonalities.</w:t>
      </w:r>
      <w:r w:rsidR="005F1C1C">
        <w:t xml:space="preserve"> </w:t>
      </w:r>
      <w:r>
        <w:t>Hunger and disinhibition were predictive of both overeating and binge eating among college females (</w:t>
      </w:r>
      <w:r w:rsidRPr="00AF01CD">
        <w:rPr>
          <w:i/>
          <w:iCs/>
        </w:rPr>
        <w:t>n</w:t>
      </w:r>
      <w:r w:rsidR="00D722AF">
        <w:rPr>
          <w:i/>
          <w:iCs/>
        </w:rPr>
        <w:t xml:space="preserve"> </w:t>
      </w:r>
      <w:r>
        <w:t>=</w:t>
      </w:r>
      <w:r w:rsidR="00D722AF">
        <w:t xml:space="preserve"> </w:t>
      </w:r>
      <w:r>
        <w:t>1,447</w:t>
      </w:r>
      <w:r w:rsidR="00DB53D2">
        <w:t xml:space="preserve">; </w:t>
      </w:r>
      <w:r>
        <w:fldChar w:fldCharType="begin"/>
      </w:r>
      <w:r w:rsidR="00B22514">
        <w:instrText xml:space="preserve"> ADDIN ZOTERO_ITEM CSL_CITATION {"citationID":"vHSKSVk3","properties":{"formattedCitation":"(Mailloux et al., 2014)","plainCitation":"(Mailloux et al., 2014)","dontUpdate":true,"noteIndex":0},"citationItems":[{"id":136,"uris":["http://zotero.org/users/local/aUK5ZLEi/items/YZSZQ8SK"],"uri":["http://zotero.org/users/local/aUK5ZLEi/items/YZSZQ8SK"],"itemData":{"id":136,"type":"article-journal","abstract":"Background: Binge eating (BE) has long been identified as a correlate of overweight and obesity. However, less empirical attention has been given to overeating with and without loss of control (LOC) in nonclinical samples. Purpose: The goal of the present study was to examine the association of (1) established correlates of BE, namely, weight and shape concerns, dietary restraint, and negative affect, and (2) three additional correlates, disinhibition, hunger, and interoceptive awareness (IA), to overeating in a nonclinical sample of college women. Method: Female students ( n = 1,447) aged 18 to 21 years recruited from colleges in three Canadian metropolitan areas completed self-report questionnaires in class to assess sociodemographic and anthropomorphic characteristics, overeating, LOC, dietary restraint, negative affect, weight and shape concerns, IA, disinhibition, and hunger. Results: The established correlates of BE were significant correlates of all types of overeating and explained 33 % of the variance. Disinhibition was the most strongly associated correlate of overeating. Conclusions: Findings suggest that established correlates of BE are associated with other types of overeating such as objective overeating (OOE), as are disinhibition and hunger.","container-title":"International Journal of Behavioral Medicine","DOI":"10.1007/s12529-013-9306-1","ISSN":"1070-5503","issue":"2","journalAbbreviation":"International Journal of Behavioral Medicine","page":"375-384","source":"EBSCOhost","title":"Examining the Associations Between Overeating, Disinhibition, and Hunger in a Nonclinical Sample of College Women","volume":"21","author":[{"family":"Mailloux","given":"Geneviève"},{"family":"Bergeron","given":"Sophie"},{"family":"Meilleur","given":"Dominique"},{"family":"D'Antono","given":"Bianca"},{"family":"Dubé","given":"Isabelle"}],"issued":{"date-parts":[["2014",4]]}}}],"schema":"https://github.com/citation-style-language/schema/raw/master/csl-citation.json"} </w:instrText>
      </w:r>
      <w:r>
        <w:fldChar w:fldCharType="separate"/>
      </w:r>
      <w:r>
        <w:rPr>
          <w:noProof/>
        </w:rPr>
        <w:t>Mailloux et al., 2014)</w:t>
      </w:r>
      <w:r>
        <w:fldChar w:fldCharType="end"/>
      </w:r>
      <w:r>
        <w:t xml:space="preserve">, and among a small but significant subgroup of adolescents, overeating at baseline or five-year analysis developed into binge eating at five-year or ten-year follow-up </w:t>
      </w:r>
      <w:r>
        <w:fldChar w:fldCharType="begin"/>
      </w:r>
      <w:r>
        <w:instrText xml:space="preserve"> ADDIN ZOTERO_ITEM CSL_CITATION {"citationID":"1merb8ro","properties":{"formattedCitation":"(Goldschmidt et al., 2016)","plainCitation":"(Goldschmidt et al., 2016)","noteIndex":0},"citationItems":[{"id":134,"uris":["http://zotero.org/users/local/aUK5ZLEi/items/LUBRDHDP"],"uri":["http://zotero.org/users/local/aUK5ZLEi/items/LUBRDHDP"],"itemData":{"id":134,"type":"article-journal","abstract":"Overeating (eating an unusually large amount of food) and binge eating (overeating with loss of control [LOC]) predict adverse health consequences in adolescence. We aimed to characterize the stability of and risk factors for these distinct but interrelated constructs during critical developmental transitions. We used a population-based sample (n = 1,902) that completed surveys at 5-year intervals spanning adolescence and young adulthood. The trajectories of no overeating, overeating, binge eating, and binge eating disorder (BED; recurrent binge eating with associated distress) were characterized using cross-tabulations. Body mass index, depressive symptoms, self-esteem, and body satisfaction were examined as risk factors for no overeating, overeating, and binge eating (including BED) 5-years later using multinomial logistic regression. We found that all overeating categories tended to remit to no overeating at 5-year follow-up. Although overeating had the lowest remittance rates at each time-point, binge eating and BED showed higher rates of persistence or worsening of symptoms during the transition from late adolescence/early young adulthood to early/middle young adulthood. Overeating and binge eating had similar risk factors, although for females, depressive symptoms, body satisfaction, and self-esteem in late adolescence/early young adulthood differentially predicted binge eating versus overeating in early/middle young adulthood (ps &lt; .05). While overeating with or without LOC tends to remit over time, problematic eating persists for a subset of individuals. Greater psychosocial problems in late adolescence/early young adulthood predicted greater odds of binge eating relative to overeating in early/middle young adulthood among females, indicating that poorer psychosocial functioning in this developmental stage portends more severe eating-related psychopathology later in life. (PsycINFO Database Record (c) 2016 APA, all rights reserved) (Source: journal abstract)","container-title":"Developmental Psychology","DOI":"http://dx.doi.org.ezproxy.lib.ou.edu/10.1037/dev0000086","ISSN":"0012-1649","issue":"3","language":"English","page":"475-483","source":"ProQuest","title":"Overeating and binge eating in emerging adulthood: 10-year stability and risk factors","title-short":"Overeating and binge eating in emerging adulthood","volume":"52","author":[{"family":"Goldschmidt","given":"Andrea B."},{"family":"Wall","given":"Melanie M."},{"family":"Zhang","given":"Jun"},{"family":"Loth","given":"Katie A."},{"family":"Neumark-Sztainer","given":"Dianne"}],"issued":{"date-parts":[["2016",3]]}}}],"schema":"https://github.com/citation-style-language/schema/raw/master/csl-citation.json"} </w:instrText>
      </w:r>
      <w:r>
        <w:fldChar w:fldCharType="separate"/>
      </w:r>
      <w:r>
        <w:rPr>
          <w:noProof/>
        </w:rPr>
        <w:t>(Goldschmidt et al., 2016)</w:t>
      </w:r>
      <w:r>
        <w:fldChar w:fldCharType="end"/>
      </w:r>
      <w:r>
        <w:t>.</w:t>
      </w:r>
      <w:r w:rsidR="005F1C1C">
        <w:t xml:space="preserve"> </w:t>
      </w:r>
      <w:r w:rsidRPr="00EC53CB">
        <w:t>Overeating and binge eating are interrelated, but binge eating is precipitated by negative psychological factors (e.g., depression, distress, low self-esteem, or poor body image).</w:t>
      </w:r>
      <w:r w:rsidR="005F1C1C">
        <w:t xml:space="preserve"> </w:t>
      </w:r>
      <w:r w:rsidRPr="00EC53CB">
        <w:t>However, left untreated, overeating can escalate into binge eating.</w:t>
      </w:r>
    </w:p>
    <w:p w14:paraId="1B88AEF2" w14:textId="77777777" w:rsidR="00345D52" w:rsidRDefault="00345D52" w:rsidP="00A2596F">
      <w:pPr>
        <w:spacing w:line="480" w:lineRule="auto"/>
        <w:rPr>
          <w:b/>
          <w:bCs/>
        </w:rPr>
      </w:pPr>
    </w:p>
    <w:p w14:paraId="49F677AC" w14:textId="77777777" w:rsidR="005F1C1C" w:rsidRDefault="005F1C1C" w:rsidP="00A2596F">
      <w:pPr>
        <w:spacing w:line="480" w:lineRule="auto"/>
        <w:rPr>
          <w:b/>
          <w:bCs/>
        </w:rPr>
      </w:pPr>
    </w:p>
    <w:p w14:paraId="67C0102B" w14:textId="5B694E49" w:rsidR="00A2596F" w:rsidRPr="00AA685E" w:rsidRDefault="00A2596F" w:rsidP="00A2596F">
      <w:pPr>
        <w:spacing w:line="480" w:lineRule="auto"/>
        <w:rPr>
          <w:b/>
          <w:bCs/>
        </w:rPr>
      </w:pPr>
      <w:r>
        <w:rPr>
          <w:b/>
          <w:bCs/>
        </w:rPr>
        <w:lastRenderedPageBreak/>
        <w:t>Eating Behaviors</w:t>
      </w:r>
      <w:r w:rsidRPr="00AA685E">
        <w:rPr>
          <w:b/>
          <w:bCs/>
        </w:rPr>
        <w:t xml:space="preserve"> among Racial</w:t>
      </w:r>
      <w:r w:rsidR="003E0A38">
        <w:rPr>
          <w:b/>
          <w:bCs/>
        </w:rPr>
        <w:t>/</w:t>
      </w:r>
      <w:r w:rsidRPr="00AA685E">
        <w:rPr>
          <w:b/>
          <w:bCs/>
        </w:rPr>
        <w:t>Ethnic Minorities</w:t>
      </w:r>
    </w:p>
    <w:p w14:paraId="4E39390E" w14:textId="7A8B1077" w:rsidR="00A2596F" w:rsidRPr="00AA685E" w:rsidRDefault="00A2596F" w:rsidP="00A2596F">
      <w:pPr>
        <w:spacing w:line="480" w:lineRule="auto"/>
      </w:pPr>
      <w:r w:rsidRPr="00AA685E">
        <w:tab/>
        <w:t xml:space="preserve">While the prevalence of overeating among </w:t>
      </w:r>
      <w:r w:rsidR="00D722AF">
        <w:t>racial/ethnic</w:t>
      </w:r>
      <w:r w:rsidRPr="00AA685E">
        <w:t xml:space="preserve"> minorities remains unclear, these groups continue to have the highest rates of obesity (Hales et al., 20</w:t>
      </w:r>
      <w:r>
        <w:t>20</w:t>
      </w:r>
      <w:r w:rsidRPr="00AA685E">
        <w:t>).</w:t>
      </w:r>
      <w:r w:rsidR="005F1C1C">
        <w:t xml:space="preserve"> </w:t>
      </w:r>
      <w:r w:rsidRPr="00AA685E">
        <w:t xml:space="preserve">In a large sample of college students, </w:t>
      </w:r>
      <w:r w:rsidR="005F1C1C">
        <w:t>African Americans/Blacks</w:t>
      </w:r>
      <w:r w:rsidRPr="00AA685E">
        <w:t>, Hispanic</w:t>
      </w:r>
      <w:r>
        <w:t xml:space="preserve"> Americans</w:t>
      </w:r>
      <w:r w:rsidRPr="00AA685E">
        <w:t>,</w:t>
      </w:r>
      <w:r>
        <w:t xml:space="preserve"> and</w:t>
      </w:r>
      <w:r w:rsidRPr="00AA685E">
        <w:t xml:space="preserve"> American Indians</w:t>
      </w:r>
      <w:r>
        <w:t xml:space="preserve"> </w:t>
      </w:r>
      <w:r w:rsidRPr="00AA685E">
        <w:t xml:space="preserve">were significantly more likely to be overweight than Caucasians, and there was a significantly higher risk for obesity among </w:t>
      </w:r>
      <w:r w:rsidR="005F1C1C">
        <w:t>African Americans/Blacks</w:t>
      </w:r>
      <w:r>
        <w:t xml:space="preserve"> and </w:t>
      </w:r>
      <w:r w:rsidRPr="00AA685E">
        <w:t>Hispanics</w:t>
      </w:r>
      <w:r>
        <w:t xml:space="preserve"> </w:t>
      </w:r>
      <w:r w:rsidRPr="00AA685E">
        <w:t xml:space="preserve">as compared to Caucasians </w:t>
      </w:r>
      <w:r w:rsidRPr="00AA685E">
        <w:fldChar w:fldCharType="begin"/>
      </w:r>
      <w:r w:rsidRPr="00AA685E">
        <w:instrText xml:space="preserve"> ADDIN ZOTERO_ITEM CSL_CITATION {"citationID":"VLWjFTAG","properties":{"formattedCitation":"(Reslan &amp; Saules, 2013)","plainCitation":"(Reslan &amp; Saules, 2013)","noteIndex":0},"citationItems":[{"id":21,"uris":["http://zotero.org/users/local/aUK5ZLEi/items/MAHN7PTK"],"uri":["http://zotero.org/users/local/aUK5ZLEi/items/MAHN7PTK"],"itemData":{"id":21,"type":"article-journal","abstract":"Objective: This study aimed to examine the prevalence of and factors associated with overweight, obesity, and binge eating as a function of ethnicity among a national sample of college students. Methods: Data were drawn from the 2010 Healthy Minds Study sample. Participants were 24,396 college students from 26 colleges and universities. This sample included 62 % females and a broad range of ethnic backgrounds; 30 % were overweight, 10 % were obese, and 7 % met criteria the for binge eating. Results: While African Americans reported the highest prevalence of overweight (49 %) and obesity (24 %), Arab-Americans reported the highest prevalence of binge eating (10 %). The factors associated with weight problems and binge eating differed by ethnicity. Conclusions: Research is warranted to develop more culturally sensitive interventions to target those ethnic minorities at elevated risk. Further study of binge eating among Arab-Americans is particularly important, as the prevalence of this condition was higher among this group over any other. (PsycINFO Database Record (c) 2016 APA, all rights reserved) (Source: journal abstract)","container-title":"Eating and Weight Disorders","DOI":"http://dx.doi.org.ezproxy.lib.ou.edu/10.1007/s40519-013-0022-2","ISSN":"1124-4909","issue":"2","language":"English","page":"209-219","source":"ProQuest","title":"Assessing the prevalence of and factors associated with overweight, obesity, and binge eating as a function of ethnicity","volume":"18","author":[{"family":"Reslan","given":"Summar"},{"family":"Saules","given":"Karen K."}],"issued":{"date-parts":[["2013",6]]}}}],"schema":"https://github.com/citation-style-language/schema/raw/master/csl-citation.json"} </w:instrText>
      </w:r>
      <w:r w:rsidRPr="00AA685E">
        <w:fldChar w:fldCharType="separate"/>
      </w:r>
      <w:r w:rsidRPr="00AA685E">
        <w:t>(Reslan &amp; Saules, 2013)</w:t>
      </w:r>
      <w:r w:rsidRPr="00AA685E">
        <w:fldChar w:fldCharType="end"/>
      </w:r>
      <w:r w:rsidRPr="00AA685E">
        <w:t>.</w:t>
      </w:r>
      <w:r w:rsidR="005F1C1C">
        <w:t xml:space="preserve"> </w:t>
      </w:r>
      <w:r w:rsidRPr="00AA685E">
        <w:t>Since overeating is a direct cause of obesity (Kumanyika et al., 2012)</w:t>
      </w:r>
      <w:r>
        <w:t xml:space="preserve"> and more prevalent among </w:t>
      </w:r>
      <w:r w:rsidR="00D722AF">
        <w:t>those affected by obesity</w:t>
      </w:r>
      <w:r>
        <w:t xml:space="preserve"> </w:t>
      </w:r>
      <w:r>
        <w:fldChar w:fldCharType="begin"/>
      </w:r>
      <w:r>
        <w:instrText xml:space="preserve"> ADDIN ZOTERO_ITEM CSL_CITATION {"citationID":"p5SWoY4d","properties":{"formattedCitation":"(G\\uc0\\u246{}rlach et al., 2016)","plainCitation":"(Görlach et al., 2016)","noteIndex":0},"citationItems":[{"id":140,"uris":["http://zotero.org/users/local/aUK5ZLEi/items/CBPIBT3K"],"uri":["http://zotero.org/users/local/aUK5ZLEi/items/CBPIBT3K"],"itemData":{"id":140,"type":"article-journal","abstract":"Emotions have a considerable impact on eating behaviour; however, research addressing emotion regulation in obesity is rare. The present study is the first to investigate the association between emotional suppression and overeating in individuals with overweight. In total, 314 participants including 190 individuals with obesity filled in a cross-sectional online survey, which assessed emotional suppression, eating behaviour and psychopathology. A hierarchical linear regression analysis was conducted to identify factors associated with overeating. Individuals with obesity reported more frequent overeating compared with individuals without obesity. The habitual use of emotional suppression was associated with more overeating; however, this link was moderated by increased body mass index (BMI). The results suggest that suppression of emotional expression contributes to overeating and is maladaptive especially in individuals with obesity. Further research should longitudinally investigate the predictive value of emotional suppression on overweight, as the training of emotion regulation could contribute to treating obesity. Copyright © 2016 John Wiley &amp; Sons, Ltd and Eating Disorders Association.","container-title":"European Eating Disorders Review","DOI":"10.1002/erv.2452","ISSN":"1099-0968","issue":"5","language":"en","page":"377-382","source":"Wiley Online Library","title":"Expressive Suppression of Emotions and Overeating in Individuals with Overweight and Obesity","volume":"24","author":[{"family":"Görlach","given":"Mirja Gianna"},{"family":"Kohlmann","given":"Sebastian"},{"family":"Shedden‐Mora","given":"Meike"},{"family":"Rief","given":"Winfried"},{"family":"Westermann","given":"Stefan"}],"issued":{"date-parts":[["2016"]]}}}],"schema":"https://github.com/citation-style-language/schema/raw/master/csl-citation.json"} </w:instrText>
      </w:r>
      <w:r>
        <w:fldChar w:fldCharType="separate"/>
      </w:r>
      <w:r w:rsidRPr="00F15125">
        <w:t>(Görlach et al., 2016)</w:t>
      </w:r>
      <w:r>
        <w:fldChar w:fldCharType="end"/>
      </w:r>
      <w:r w:rsidRPr="00AA685E">
        <w:t>, it is reasonable to assume that overeating is a significant health problem among these populations.</w:t>
      </w:r>
    </w:p>
    <w:p w14:paraId="044EBC76" w14:textId="3CBA959A" w:rsidR="00A2596F" w:rsidRPr="00AA685E" w:rsidRDefault="00A2596F" w:rsidP="00A2596F">
      <w:pPr>
        <w:spacing w:line="480" w:lineRule="auto"/>
      </w:pPr>
      <w:r w:rsidRPr="00AA685E">
        <w:tab/>
        <w:t xml:space="preserve">In a study comparing binge eating habits of Caucasian women to African American women, </w:t>
      </w:r>
      <w:r w:rsidRPr="003A2E79">
        <w:t>white</w:t>
      </w:r>
      <w:r w:rsidRPr="00AA685E">
        <w:t xml:space="preserve"> participants had significant increases in the degree of binge eating when </w:t>
      </w:r>
      <w:r>
        <w:t>trauma was used as a moderator</w:t>
      </w:r>
      <w:r w:rsidRPr="00AA685E">
        <w:t>.</w:t>
      </w:r>
      <w:r w:rsidR="005F1C1C">
        <w:t xml:space="preserve"> </w:t>
      </w:r>
      <w:r w:rsidRPr="00AA685E">
        <w:t>Black participants, though, were unaffected by the moderator; their degree of binging remained high.</w:t>
      </w:r>
      <w:r w:rsidR="005F1C1C">
        <w:t xml:space="preserve"> </w:t>
      </w:r>
      <w:r w:rsidRPr="00AA685E">
        <w:t xml:space="preserve">Rather than eating disorder cycles of binging and restricting, African American participants exhibited habitual overeating, and the researchers concluded that their binge eating scores may be more indicative of lifestyle choices rather than </w:t>
      </w:r>
      <w:r>
        <w:t>cyclic</w:t>
      </w:r>
      <w:r w:rsidRPr="00AA685E">
        <w:t xml:space="preserve"> eating problems </w:t>
      </w:r>
      <w:r w:rsidRPr="00AA685E">
        <w:fldChar w:fldCharType="begin"/>
      </w:r>
      <w:r w:rsidRPr="00AA685E">
        <w:instrText xml:space="preserve"> ADDIN ZOTERO_ITEM CSL_CITATION {"citationID":"MOE5Pnvc","properties":{"formattedCitation":"(Harrington et al., 2006)","plainCitation":"(Harrington et al., 2006)","noteIndex":0},"citationItems":[{"id":56,"uris":["http://zotero.org/users/local/aUK5ZLEi/items/II33ZECD"],"uri":["http://zotero.org/users/local/aUK5ZLEi/items/II33ZECD"],"itemData":{"id":56,"type":"article-journal","abstract":"The present study investigated whether trauma, stress, and discriminatory experiences influenced binge eating among 93 African American and 85 Caucasian women. Trauma and stress were significantly related to binge eating for both groups, although the stress- binge eating relationship was stronger for Caucasian women. Ethnicity did not moderate the relationship between trauma and binge eating, but did moderate the stress-binge eating relationship. Finally, the hypothesis that trauma and stress would influence binge eating through their effects on function of eating was partially supported; the relationship between stress and binge eating was partially mediated by function of eating among Caucasian women. The implications of these findings for our understanding of binge eating are discussed. (PsycINFO Database Record (c) 2016 APA, all rights reserved) (Source: journal abstract)","container-title":"Cultural Diversity and Ethnic Minority Psychology","DOI":"http://dx.doi.org.ezproxy.lib.ou.edu/10.1037/1099-9809.12.2.212","ISSN":"1099-9809","issue":"2","language":"English","page":"212-229","source":"ProQuest","title":"The relationships among trauma, stress, ethnicity, and binge eating","volume":"12","author":[{"family":"Harrington","given":"Ellen F."},{"family":"Crowther","given":"Janis H."},{"family":"Payne Henrickson","given":"Heather C."},{"family":"Mickelson","given":"Kristin D."},{"family":"Link to external site","given":"this","dropping-particle":"link will open in a new window"}],"issued":{"date-parts":[["2006",4]]}}}],"schema":"https://github.com/citation-style-language/schema/raw/master/csl-citation.json"} </w:instrText>
      </w:r>
      <w:r w:rsidRPr="00AA685E">
        <w:fldChar w:fldCharType="separate"/>
      </w:r>
      <w:r w:rsidRPr="00AA685E">
        <w:t>(Harrington et al., 2006)</w:t>
      </w:r>
      <w:r w:rsidRPr="00AA685E">
        <w:fldChar w:fldCharType="end"/>
      </w:r>
      <w:r w:rsidRPr="00AA685E">
        <w:t>.</w:t>
      </w:r>
    </w:p>
    <w:p w14:paraId="5BA09D55" w14:textId="01C6C8D7" w:rsidR="00A2596F" w:rsidRPr="00AA685E" w:rsidRDefault="00A2596F" w:rsidP="00A2596F">
      <w:pPr>
        <w:spacing w:line="480" w:lineRule="auto"/>
      </w:pPr>
      <w:r w:rsidRPr="00AA685E">
        <w:tab/>
        <w:t xml:space="preserve">Culture may also drive overeating and obesity among </w:t>
      </w:r>
      <w:r w:rsidR="00D722AF">
        <w:t>racial/ethnic</w:t>
      </w:r>
      <w:r w:rsidRPr="00AA685E">
        <w:t xml:space="preserve"> minorities.</w:t>
      </w:r>
      <w:r w:rsidR="005F1C1C">
        <w:t xml:space="preserve"> </w:t>
      </w:r>
      <w:r w:rsidRPr="00AA685E">
        <w:t xml:space="preserve">In a collegiate sample of Caucasian, Asian American, and African American men, African American participants had significantly higher BMIs as compared to other participants; however, they had the lowest body image concerns of any group of participants </w:t>
      </w:r>
      <w:r w:rsidRPr="00AA685E">
        <w:fldChar w:fldCharType="begin"/>
      </w:r>
      <w:r w:rsidRPr="00AA685E">
        <w:instrText xml:space="preserve"> ADDIN ZOTERO_ITEM CSL_CITATION {"citationID":"t365OByO","properties":{"formattedCitation":"(Kelly et al., 2015)","plainCitation":"(Kelly et al., 2015)","noteIndex":0},"citationItems":[{"id":46,"uris":["http://zotero.org/users/local/aUK5ZLEi/items/NZRAP8AQ"],"uri":["http://zotero.org/users/local/aUK5ZLEi/items/NZRAP8AQ"],"itemData":{"id":46,"type":"article-journal","abstract":"[Correction Notice: An Erratum for this article was reported in Vol 16(3) of Psychology of Men &amp; Masculinity (see record 2015-15848-001). The name of author Elizabeth W. Cotter was misspelled as Elizabeth E. Cotter. All versions of this article have been corrected.] Binge eating in young men is associated with obesity and metabolic dysfunction, as well as disordered eating attitudes and behaviors. Although preliminary research suggests that Asian American males might be more likely to binge eat and report body image concerns compared with men of other races/ethnicities, few studies have investigated racial variations in this disordered eating behavior and its correlates. The goal of the current study was to examine binge eating, body image concerns, drive for muscularity, and compulsive exercise in a sample of Black, Asian American, and White men (N = 365). Results suggest that men who reported binge eating also reported higher body mass, male body image concerns, internalization of the male body ideal, and compulsive exercise than men who did not engage in binge eating. Asian American men endorsed higher body image concerns relative to White and Black men. Furthermore, compulsive exercise was particularly high among Asian American men with binge eating. Although additional research is needed to examine potential variations in binge eating, body image, and compulsive exercise in diverse racial and ethnic groups, results suggest that Asian American men might be at higher risk for disordered eating attitudes and behaviors consistent with a desire to achieve a muscular body type. Future research should examine cultural factors, such as acculturation, that might contribute to these potentially harmful cognitions and behaviors. (PsycINFO Database Record (c) 2018 APA, all rights reserved) (Source: journal abstract)","container-title":"Psychology of Men &amp; Masculinities","DOI":"http://dx.doi.org.ezproxy.lib.ou.edu/10.1037/a0037585","ISSN":"1524-9220","issue":"3","language":"English","page":"326-336","source":"ProQuest","title":"Racial variations in binge eating, body image concerns, and compulsive exercise among men","volume":"16","author":[{"family":"Kelly","given":"Nichole R."},{"family":"Cotter","given":"Elizabeth W."},{"family":"Tanofsky-Kraff","given":"Marian"},{"family":"Mazzeo","given":"Suzanne E."}],"issued":{"date-parts":[["2015",7]]}}}],"schema":"https://github.com/citation-style-language/schema/raw/master/csl-citation.json"} </w:instrText>
      </w:r>
      <w:r w:rsidRPr="00AA685E">
        <w:fldChar w:fldCharType="separate"/>
      </w:r>
      <w:r w:rsidRPr="00AA685E">
        <w:t>(Kelly et al., 2015)</w:t>
      </w:r>
      <w:r w:rsidRPr="00AA685E">
        <w:fldChar w:fldCharType="end"/>
      </w:r>
      <w:r w:rsidRPr="00AA685E">
        <w:t>.</w:t>
      </w:r>
      <w:r w:rsidR="005F1C1C">
        <w:t xml:space="preserve"> African Americans/Blacks</w:t>
      </w:r>
      <w:r w:rsidRPr="00AA685E">
        <w:t xml:space="preserve"> may have different body </w:t>
      </w:r>
      <w:r w:rsidR="00EA1F19">
        <w:t xml:space="preserve">size </w:t>
      </w:r>
      <w:r w:rsidRPr="00AA685E">
        <w:t>ideals than other racial groups</w:t>
      </w:r>
      <w:r w:rsidR="00EA1F19">
        <w:t>,</w:t>
      </w:r>
      <w:r w:rsidRPr="00AA685E">
        <w:t xml:space="preserve"> </w:t>
      </w:r>
      <w:r w:rsidR="00EA1F19">
        <w:t>leading some to believe they</w:t>
      </w:r>
      <w:r w:rsidRPr="00AA685E">
        <w:t xml:space="preserve"> may be more satisfied with being at higher BMIs</w:t>
      </w:r>
      <w:r w:rsidR="00EA1F19">
        <w:t>;</w:t>
      </w:r>
      <w:r>
        <w:t xml:space="preserve"> o</w:t>
      </w:r>
      <w:r w:rsidRPr="00AA685E">
        <w:t>vereating would enable them to maintain this physique.</w:t>
      </w:r>
      <w:r w:rsidR="005F1C1C">
        <w:t xml:space="preserve"> </w:t>
      </w:r>
      <w:r w:rsidRPr="00AA685E">
        <w:t xml:space="preserve">Other nonwhite racial groups are also less likely to acknowledge obesity </w:t>
      </w:r>
      <w:r w:rsidRPr="00AA685E">
        <w:lastRenderedPageBreak/>
        <w:t xml:space="preserve">as a health problem </w:t>
      </w:r>
      <w:r w:rsidRPr="00AA685E">
        <w:fldChar w:fldCharType="begin"/>
      </w:r>
      <w:r w:rsidRPr="00AA685E">
        <w:instrText xml:space="preserve"> ADDIN ZOTERO_ITEM CSL_CITATION {"citationID":"WPxN4FKS","properties":{"formattedCitation":"(Goode et al., 2016)","plainCitation":"(Goode et al., 2016)","noteIndex":0},"citationItems":[{"id":13,"uris":["http://zotero.org/users/local/aUK5ZLEi/items/H8AWZYQ9"],"uri":["http://zotero.org/users/local/aUK5ZLEi/items/H8AWZYQ9"],"itemData":{"id":13,"type":"article-journal","container-title":"Health &amp; Social Work","DOI":"10.1093/hsw/hlw032","ISSN":"0360-7283, 1545-6854","issue":"3","journalAbbreviation":"Health Social Work","language":"en","page":"e60-e67","source":"DOI.org (Crossref)","title":"The Impact of Racial and Socioeconomic Disparities on Binge Eating and Self-Efficacy among Adults in a Behavioral Weight Loss Trial","volume":"41","author":[{"family":"Goode","given":"Rachel"},{"family":"Ye","given":"Lei"},{"family":"Zheng","given":"Yaguang"},{"family":"Ma","given":"Qianheng"},{"family":"Sereika","given":"Susan M."},{"family":"Burke","given":"Lora E."}],"issued":{"date-parts":[["2016",8]]}}}],"schema":"https://github.com/citation-style-language/schema/raw/master/csl-citation.json"} </w:instrText>
      </w:r>
      <w:r w:rsidRPr="00AA685E">
        <w:fldChar w:fldCharType="separate"/>
      </w:r>
      <w:r w:rsidRPr="00AA685E">
        <w:t>(Goode et al., 2016)</w:t>
      </w:r>
      <w:r w:rsidRPr="00AA685E">
        <w:fldChar w:fldCharType="end"/>
      </w:r>
      <w:r w:rsidRPr="00AA685E">
        <w:t>.</w:t>
      </w:r>
      <w:r w:rsidR="005F1C1C">
        <w:t xml:space="preserve"> </w:t>
      </w:r>
      <w:r w:rsidRPr="00AA685E">
        <w:t xml:space="preserve">These groups tend to be less educated than their white peers </w:t>
      </w:r>
      <w:r w:rsidRPr="00AA685E">
        <w:fldChar w:fldCharType="begin"/>
      </w:r>
      <w:r w:rsidRPr="00AA685E">
        <w:instrText xml:space="preserve"> ADDIN ZOTERO_ITEM CSL_CITATION {"citationID":"Q1GdDiMY","properties":{"formattedCitation":"(Goode et al., 2016)","plainCitation":"(Goode et al., 2016)","noteIndex":0},"citationItems":[{"id":13,"uris":["http://zotero.org/users/local/aUK5ZLEi/items/H8AWZYQ9"],"uri":["http://zotero.org/users/local/aUK5ZLEi/items/H8AWZYQ9"],"itemData":{"id":13,"type":"article-journal","container-title":"Health &amp; Social Work","DOI":"10.1093/hsw/hlw032","ISSN":"0360-7283, 1545-6854","issue":"3","journalAbbreviation":"Health Social Work","language":"en","page":"e60-e67","source":"DOI.org (Crossref)","title":"The Impact of Racial and Socioeconomic Disparities on Binge Eating and Self-Efficacy among Adults in a Behavioral Weight Loss Trial","volume":"41","author":[{"family":"Goode","given":"Rachel"},{"family":"Ye","given":"Lei"},{"family":"Zheng","given":"Yaguang"},{"family":"Ma","given":"Qianheng"},{"family":"Sereika","given":"Susan M."},{"family":"Burke","given":"Lora E."}],"issued":{"date-parts":[["2016",8]]}}}],"schema":"https://github.com/citation-style-language/schema/raw/master/csl-citation.json"} </w:instrText>
      </w:r>
      <w:r w:rsidRPr="00AA685E">
        <w:fldChar w:fldCharType="separate"/>
      </w:r>
      <w:r w:rsidRPr="00AA685E">
        <w:t>(Goode et al., 2016)</w:t>
      </w:r>
      <w:r w:rsidRPr="00AA685E">
        <w:fldChar w:fldCharType="end"/>
      </w:r>
      <w:r w:rsidRPr="00AA685E">
        <w:t>.</w:t>
      </w:r>
      <w:r w:rsidR="005F1C1C">
        <w:t xml:space="preserve"> </w:t>
      </w:r>
      <w:r w:rsidRPr="00AA685E">
        <w:t>Consequently, they may not understand the health risks of overeating.</w:t>
      </w:r>
    </w:p>
    <w:p w14:paraId="3BC0B500" w14:textId="04312B62" w:rsidR="00A2596F" w:rsidRPr="00AA685E" w:rsidRDefault="00A2596F" w:rsidP="00A2596F">
      <w:pPr>
        <w:spacing w:line="480" w:lineRule="auto"/>
      </w:pPr>
      <w:r w:rsidRPr="00AA685E">
        <w:tab/>
        <w:t xml:space="preserve">Socioeconomic factors may contribute to overeating among </w:t>
      </w:r>
      <w:r w:rsidR="00D722AF">
        <w:t>racial/ethnic</w:t>
      </w:r>
      <w:r w:rsidRPr="00AA685E">
        <w:t xml:space="preserve"> minorities.</w:t>
      </w:r>
      <w:r w:rsidR="005F1C1C">
        <w:t xml:space="preserve"> </w:t>
      </w:r>
      <w:r w:rsidRPr="00AA685E">
        <w:t xml:space="preserve">These populations have both historical and current trends of lower socioeconomic statuses </w:t>
      </w:r>
      <w:r w:rsidRPr="00AA685E">
        <w:fldChar w:fldCharType="begin"/>
      </w:r>
      <w:r w:rsidRPr="00AA685E">
        <w:instrText xml:space="preserve"> ADDIN ZOTERO_ITEM CSL_CITATION {"citationID":"NibtJCn4","properties":{"formattedCitation":"(Kumanyika et al., 2012)","plainCitation":"(Kumanyika et al., 2012)","noteIndex":0},"citationItems":[{"id":70,"uris":["http://zotero.org/users/local/aUK5ZLEi/items/BSQK4LNW"],"uri":["http://zotero.org/users/local/aUK5ZLEi/items/BSQK4LNW"],"itemData":{"id":70,"type":"article-journal","abstract":"Introduction: Increases in the availability, affordability, and promotion of high-calorie foods and beverages and decreased obligations for routine physical activity have fostered trends of increased obesity worldwide. In high-income, plural societies, above average obesity prevalence is often observed in ethnic minority communities, suggesting that obesity-promoting influences are more prevalent or potent in these communities. Methods: An interdisciplinary group of scholars engaged in multiple rounds of focused discussion and literature review to develop a Community Energy Balance Framework (CEB). The objective was to explore the nature of the excess obesity risk in African descent and other ethnic minority populations and identify related implications for planning and evaluating interventions to prevent obesity. Results: A key principle that emerged is that researchers and programmers working with ethnic minority communities should contextualize the food- and physical activity-related sociocultural perspectives of these communities, taking into account relevant historical, political, and structural contexts. This perspective underscores the fallacy of approaches that place the entire burden of change on the individual, particularly in circumstances of social disadvantage and rapid cultural shifts. Conclusion: The CEB framework is proposed for use and further development to aid in understanding potential health-adverse effects of cultural-contextual stresses and accommodations to these stresses. (PsycINFO Database Record (c) 2016 APA, all rights reserved) (Source: journal abstract)","container-title":"Preventive Medicine: An International Journal Devoted to Practice and Theory","DOI":"http://dx.doi.org.ezproxy.lib.ou.edu/10.1016/j.ypmed.2012.07.002","ISSN":"0091-7435","issue":"5","language":"English","page":"371-381","source":"ProQuest","title":"Community energy balance: A framework for contextualizing cultural influences on high risk of obesity in ethnic minority populations","title-short":"Community energy balance","volume":"55","author":[{"family":"Kumanyika","given":"Shiriki"},{"family":"Taylor","given":"Wendell C."},{"family":"Grier","given":"Sonya A."},{"family":"Lassiter","given":"Vikki"},{"family":"Lancaster","given":"Kristie J."},{"family":"Morssink","given":"Christiaan B."},{"family":"Renzaho","given":"André M. N."}],"issued":{"date-parts":[["2012",11]]}}}],"schema":"https://github.com/citation-style-language/schema/raw/master/csl-citation.json"} </w:instrText>
      </w:r>
      <w:r w:rsidRPr="00AA685E">
        <w:fldChar w:fldCharType="separate"/>
      </w:r>
      <w:r w:rsidRPr="00AA685E">
        <w:t>(Kumanyika et al., 2012)</w:t>
      </w:r>
      <w:r w:rsidRPr="00AA685E">
        <w:fldChar w:fldCharType="end"/>
      </w:r>
      <w:r w:rsidRPr="00AA685E">
        <w:t>.</w:t>
      </w:r>
      <w:r w:rsidR="005F1C1C">
        <w:t xml:space="preserve"> </w:t>
      </w:r>
      <w:r w:rsidRPr="00AA685E">
        <w:t xml:space="preserve">As previously mentioned, </w:t>
      </w:r>
      <w:proofErr w:type="spellStart"/>
      <w:r w:rsidRPr="00AA685E">
        <w:t>Reslan</w:t>
      </w:r>
      <w:proofErr w:type="spellEnd"/>
      <w:r w:rsidRPr="00AA685E">
        <w:t xml:space="preserve"> and Saules (2013) assessed factors associated with obesity and binge eating among a large sample of ethnically diverse college students.</w:t>
      </w:r>
      <w:r w:rsidR="005F1C1C">
        <w:t xml:space="preserve"> </w:t>
      </w:r>
      <w:r w:rsidRPr="00AA685E">
        <w:t xml:space="preserve">There was a significant association between obesity and financial insecurity; obesity was highest among African American, Hispanic, Asian American, and Caucasian participants who struggled financially </w:t>
      </w:r>
      <w:r w:rsidRPr="00AA685E">
        <w:fldChar w:fldCharType="begin"/>
      </w:r>
      <w:r w:rsidRPr="00AA685E">
        <w:instrText xml:space="preserve"> ADDIN ZOTERO_ITEM CSL_CITATION {"citationID":"8KN1S5y5","properties":{"formattedCitation":"(Reslan &amp; Saules, 2013)","plainCitation":"(Reslan &amp; Saules, 2013)","noteIndex":0},"citationItems":[{"id":21,"uris":["http://zotero.org/users/local/aUK5ZLEi/items/MAHN7PTK"],"uri":["http://zotero.org/users/local/aUK5ZLEi/items/MAHN7PTK"],"itemData":{"id":21,"type":"article-journal","abstract":"Objective: This study aimed to examine the prevalence of and factors associated with overweight, obesity, and binge eating as a function of ethnicity among a national sample of college students. Methods: Data were drawn from the 2010 Healthy Minds Study sample. Participants were 24,396 college students from 26 colleges and universities. This sample included 62 % females and a broad range of ethnic backgrounds; 30 % were overweight, 10 % were obese, and 7 % met criteria the for binge eating. Results: While African Americans reported the highest prevalence of overweight (49 %) and obesity (24 %), Arab-Americans reported the highest prevalence of binge eating (10 %). The factors associated with weight problems and binge eating differed by ethnicity. Conclusions: Research is warranted to develop more culturally sensitive interventions to target those ethnic minorities at elevated risk. Further study of binge eating among Arab-Americans is particularly important, as the prevalence of this condition was higher among this group over any other. (PsycINFO Database Record (c) 2016 APA, all rights reserved) (Source: journal abstract)","container-title":"Eating and Weight Disorders","DOI":"http://dx.doi.org.ezproxy.lib.ou.edu/10.1007/s40519-013-0022-2","ISSN":"1124-4909","issue":"2","language":"English","page":"209-219","source":"ProQuest","title":"Assessing the prevalence of and factors associated with overweight, obesity, and binge eating as a function of ethnicity","volume":"18","author":[{"family":"Reslan","given":"Summar"},{"family":"Saules","given":"Karen K."}],"issued":{"date-parts":[["2013",6]]}}}],"schema":"https://github.com/citation-style-language/schema/raw/master/csl-citation.json"} </w:instrText>
      </w:r>
      <w:r w:rsidRPr="00AA685E">
        <w:fldChar w:fldCharType="separate"/>
      </w:r>
      <w:r w:rsidRPr="00AA685E">
        <w:t>(Reslan &amp; Saules, 2013)</w:t>
      </w:r>
      <w:r w:rsidRPr="00AA685E">
        <w:fldChar w:fldCharType="end"/>
      </w:r>
      <w:r w:rsidRPr="00AA685E">
        <w:t>.</w:t>
      </w:r>
      <w:r w:rsidR="005F1C1C">
        <w:t xml:space="preserve"> </w:t>
      </w:r>
      <w:r w:rsidRPr="00AA685E">
        <w:t>When money is in short supply, food is consumed that is inexpensive and easily accessible.</w:t>
      </w:r>
      <w:r w:rsidR="005F1C1C">
        <w:t xml:space="preserve"> </w:t>
      </w:r>
      <w:r w:rsidRPr="00AA685E">
        <w:t xml:space="preserve">Bulk products make packaged, unhealthy foods convenient and cheap; people can pay less for calorically dense, low-nutrient foods (Kumanyika et al., 2012; </w:t>
      </w:r>
      <w:proofErr w:type="spellStart"/>
      <w:r w:rsidRPr="00AA685E">
        <w:t>Poelman</w:t>
      </w:r>
      <w:proofErr w:type="spellEnd"/>
      <w:r w:rsidRPr="00AA685E">
        <w:t xml:space="preserve"> et al., 2013).</w:t>
      </w:r>
      <w:r w:rsidR="005F1C1C">
        <w:t xml:space="preserve"> </w:t>
      </w:r>
      <w:r w:rsidRPr="00AA685E">
        <w:t>The more food that is present, the more food will be consumed, and since these bulk foods are lacking in nutrients, they fail to satisfy satiety and make it easier to consume mass amounts (</w:t>
      </w:r>
      <w:proofErr w:type="spellStart"/>
      <w:r w:rsidRPr="00AA685E">
        <w:t>Poelman</w:t>
      </w:r>
      <w:proofErr w:type="spellEnd"/>
      <w:r w:rsidRPr="00AA685E">
        <w:t xml:space="preserve"> et al., 2013).</w:t>
      </w:r>
      <w:r w:rsidR="005F1C1C">
        <w:t xml:space="preserve"> </w:t>
      </w:r>
      <w:r w:rsidRPr="00AA685E">
        <w:t xml:space="preserve">Historical traditions have also encouraged overeating when money or food was scarce </w:t>
      </w:r>
      <w:r w:rsidRPr="00AA685E">
        <w:fldChar w:fldCharType="begin"/>
      </w:r>
      <w:r w:rsidRPr="00AA685E">
        <w:instrText xml:space="preserve"> ADDIN ZOTERO_ITEM CSL_CITATION {"citationID":"K58t0e3G","properties":{"formattedCitation":"(Kumanyika et al., 2012)","plainCitation":"(Kumanyika et al., 2012)","noteIndex":0},"citationItems":[{"id":70,"uris":["http://zotero.org/users/local/aUK5ZLEi/items/BSQK4LNW"],"uri":["http://zotero.org/users/local/aUK5ZLEi/items/BSQK4LNW"],"itemData":{"id":70,"type":"article-journal","abstract":"Introduction: Increases in the availability, affordability, and promotion of high-calorie foods and beverages and decreased obligations for routine physical activity have fostered trends of increased obesity worldwide. In high-income, plural societies, above average obesity prevalence is often observed in ethnic minority communities, suggesting that obesity-promoting influences are more prevalent or potent in these communities. Methods: An interdisciplinary group of scholars engaged in multiple rounds of focused discussion and literature review to develop a Community Energy Balance Framework (CEB). The objective was to explore the nature of the excess obesity risk in African descent and other ethnic minority populations and identify related implications for planning and evaluating interventions to prevent obesity. Results: A key principle that emerged is that researchers and programmers working with ethnic minority communities should contextualize the food- and physical activity-related sociocultural perspectives of these communities, taking into account relevant historical, political, and structural contexts. This perspective underscores the fallacy of approaches that place the entire burden of change on the individual, particularly in circumstances of social disadvantage and rapid cultural shifts. Conclusion: The CEB framework is proposed for use and further development to aid in understanding potential health-adverse effects of cultural-contextual stresses and accommodations to these stresses. (PsycINFO Database Record (c) 2016 APA, all rights reserved) (Source: journal abstract)","container-title":"Preventive Medicine: An International Journal Devoted to Practice and Theory","DOI":"http://dx.doi.org.ezproxy.lib.ou.edu/10.1016/j.ypmed.2012.07.002","ISSN":"0091-7435","issue":"5","language":"English","page":"371-381","source":"ProQuest","title":"Community energy balance: A framework for contextualizing cultural influences on high risk of obesity in ethnic minority populations","title-short":"Community energy balance","volume":"55","author":[{"family":"Kumanyika","given":"Shiriki"},{"family":"Taylor","given":"Wendell C."},{"family":"Grier","given":"Sonya A."},{"family":"Lassiter","given":"Vikki"},{"family":"Lancaster","given":"Kristie J."},{"family":"Morssink","given":"Christiaan B."},{"family":"Renzaho","given":"André M. N."}],"issued":{"date-parts":[["2012",11]]}}}],"schema":"https://github.com/citation-style-language/schema/raw/master/csl-citation.json"} </w:instrText>
      </w:r>
      <w:r w:rsidRPr="00AA685E">
        <w:fldChar w:fldCharType="separate"/>
      </w:r>
      <w:r w:rsidRPr="00AA685E">
        <w:t>(Kumanyika et al., 2012)</w:t>
      </w:r>
      <w:r w:rsidRPr="00AA685E">
        <w:fldChar w:fldCharType="end"/>
      </w:r>
      <w:r w:rsidRPr="00AA685E">
        <w:t>.</w:t>
      </w:r>
      <w:r w:rsidR="005F1C1C">
        <w:t xml:space="preserve"> </w:t>
      </w:r>
      <w:r w:rsidRPr="00AA685E">
        <w:t>Consequently, for low socioeconomic populations, overeating is made easy and practical with environmental influences.</w:t>
      </w:r>
    </w:p>
    <w:p w14:paraId="6AEC82C9" w14:textId="1F11CFE9" w:rsidR="00A2596F" w:rsidRPr="00AA685E" w:rsidRDefault="00A2596F" w:rsidP="00A2596F">
      <w:pPr>
        <w:spacing w:line="480" w:lineRule="auto"/>
      </w:pPr>
      <w:r w:rsidRPr="00AA685E">
        <w:tab/>
        <w:t xml:space="preserve">Factor et al. (2011) proposed a more radical theory regarding </w:t>
      </w:r>
      <w:r w:rsidR="00D722AF">
        <w:t>racial/ethnic</w:t>
      </w:r>
      <w:r w:rsidRPr="00AA685E">
        <w:t xml:space="preserve"> minorities’ engagement in overeating.</w:t>
      </w:r>
      <w:r w:rsidR="005F1C1C">
        <w:t xml:space="preserve"> </w:t>
      </w:r>
      <w:r w:rsidRPr="00AA685E">
        <w:t>According to their theoretical framework, non-dominant groups consciously or unconsciously engage in daily, resistant behaviors (in the form of unhealthy behaviors) to challenge the hierarchical structure of society.</w:t>
      </w:r>
      <w:r w:rsidR="005F1C1C">
        <w:t xml:space="preserve"> </w:t>
      </w:r>
      <w:r w:rsidRPr="00AA685E">
        <w:t xml:space="preserve">Many healthy behaviors (e.g., portion control) may be perceived by </w:t>
      </w:r>
      <w:r w:rsidR="00D722AF">
        <w:t>racial/ethnic</w:t>
      </w:r>
      <w:r w:rsidRPr="00AA685E">
        <w:t xml:space="preserve"> minorities as adhering to the dominant race’s standards.</w:t>
      </w:r>
      <w:r w:rsidR="005F1C1C">
        <w:t xml:space="preserve"> </w:t>
      </w:r>
      <w:r w:rsidRPr="00AA685E">
        <w:t xml:space="preserve">Since non-dominant races may feel alienated from society due to prejudice and </w:t>
      </w:r>
      <w:r w:rsidRPr="00AA685E">
        <w:lastRenderedPageBreak/>
        <w:t xml:space="preserve">discrimination, they may defy these standards by actively choosing not to participate in healthy behaviors in order to preserve their own racial and cultural identity </w:t>
      </w:r>
      <w:r w:rsidRPr="00AA685E">
        <w:fldChar w:fldCharType="begin"/>
      </w:r>
      <w:r w:rsidRPr="00AA685E">
        <w:instrText xml:space="preserve"> ADDIN ZOTERO_ITEM CSL_CITATION {"citationID":"YlyMa6qi","properties":{"formattedCitation":"(Factor et al., 2011)","plainCitation":"(Factor et al., 2011)","noteIndex":0},"citationItems":[{"id":51,"uris":["http://zotero.org/users/local/aUK5ZLEi/items/NDAZ2PJZ"],"uri":["http://zotero.org/users/local/aUK5ZLEi/items/NDAZ2PJZ"],"itemData":{"id":51,"type":"article-journal","abstract":"Across different societies, non-dominant minority groups, compared to the dominant group, often exhibit higher rates of involvement in high-risk behaviors, such as smoking, drug and alcohol use, sexual risk behaviors, overeating, and unsafe driving habits. In turn, these behaviors have a well-documented impact on chronic disease, morbidity, and mortality. Previous studies have emphasized macrostructural or micro-agentic explanations for this phenomenon. Such explanations suffer from mirrorimage shortcomings, such as, by emphasizing structural barriers, macro-level explanations leave out individual agency (“the over-socialized conception of the individual”), while micro-level theories give short shrift to structural constraints that prevent individuals from engaging in health-promoting behaviors (“the under-socialized conception of the individual”). Moreover, most current theories regard individuals as passive players who are inﬂuenced by the social environment or by psychological problems, or who make “bad” choices. The current paper develops an integrated theoretical framework that incorporates structural inequalities while leaving intact the role of individual agency. According to the social resistance framework, power relations in society encourage members of non-dominant minority groups to actively engage in everyday resistance practices that include various unhealthy behaviors. The paper develops propositions from which testable hypotheses can be generated, and discusses the implications and contributions of the social resistance framework.","container-title":"Social Science &amp; Medicine","DOI":"10.1016/j.socscimed.2011.07.027","ISSN":"02779536","issue":"9","journalAbbreviation":"Social Science &amp; Medicine","language":"en","page":"1292-1301","source":"DOI.org (Crossref)","title":"Understanding high-risk behavior among non-dominant minorities: A social resistance framework","title-short":"Understanding high-risk behavior among non-dominant minorities","volume":"73","author":[{"family":"Factor","given":"Roni"},{"family":"Kawachi","given":"Ichiro"},{"family":"Williams","given":"David R."}],"issued":{"date-parts":[["2011",11]]}}}],"schema":"https://github.com/citation-style-language/schema/raw/master/csl-citation.json"} </w:instrText>
      </w:r>
      <w:r w:rsidRPr="00AA685E">
        <w:fldChar w:fldCharType="separate"/>
      </w:r>
      <w:r w:rsidRPr="00AA685E">
        <w:t>(Factor et al., 2011)</w:t>
      </w:r>
      <w:r w:rsidRPr="00AA685E">
        <w:fldChar w:fldCharType="end"/>
      </w:r>
      <w:r w:rsidRPr="00AA685E">
        <w:t>.</w:t>
      </w:r>
      <w:r w:rsidR="005F1C1C">
        <w:t xml:space="preserve"> </w:t>
      </w:r>
      <w:r w:rsidRPr="00AA685E">
        <w:t>Hence, overeating may be an intentional or unintentional act of cultural preservation and societal defiance.</w:t>
      </w:r>
    </w:p>
    <w:p w14:paraId="0E62454B" w14:textId="0A7D8E78" w:rsidR="00A2596F" w:rsidRPr="00AA685E" w:rsidRDefault="00A2596F" w:rsidP="00A2596F">
      <w:pPr>
        <w:spacing w:line="480" w:lineRule="auto"/>
      </w:pPr>
      <w:r w:rsidRPr="00AA685E">
        <w:tab/>
        <w:t>There are many factors that m</w:t>
      </w:r>
      <w:r w:rsidR="0038490A">
        <w:t xml:space="preserve">ay lead to </w:t>
      </w:r>
      <w:r w:rsidRPr="00AA685E">
        <w:t xml:space="preserve">overeating </w:t>
      </w:r>
      <w:r w:rsidR="0038490A">
        <w:t>among</w:t>
      </w:r>
      <w:r w:rsidRPr="00AA685E">
        <w:t xml:space="preserve"> </w:t>
      </w:r>
      <w:r w:rsidR="00D722AF">
        <w:t>racial/ethnic</w:t>
      </w:r>
      <w:r w:rsidRPr="00AA685E">
        <w:t xml:space="preserve"> minorities.</w:t>
      </w:r>
      <w:r w:rsidR="005F1C1C">
        <w:t xml:space="preserve"> </w:t>
      </w:r>
      <w:r w:rsidRPr="00AA685E">
        <w:t xml:space="preserve">Cultural, environmental, and socioeconomic all play a role in promoting </w:t>
      </w:r>
      <w:r w:rsidR="0038490A">
        <w:t xml:space="preserve">this </w:t>
      </w:r>
      <w:r w:rsidRPr="00AA685E">
        <w:t>unhealthy behavior among these populations</w:t>
      </w:r>
      <w:r>
        <w:t>.</w:t>
      </w:r>
      <w:r w:rsidRPr="00AA685E">
        <w:tab/>
      </w:r>
    </w:p>
    <w:p w14:paraId="6B0913DA" w14:textId="77777777" w:rsidR="00A2596F" w:rsidRPr="00AA685E" w:rsidRDefault="00A2596F" w:rsidP="00A2596F">
      <w:pPr>
        <w:spacing w:line="480" w:lineRule="auto"/>
        <w:rPr>
          <w:b/>
          <w:bCs/>
        </w:rPr>
      </w:pPr>
      <w:r w:rsidRPr="00AA685E">
        <w:rPr>
          <w:b/>
          <w:bCs/>
        </w:rPr>
        <w:t>Stress and Overeating</w:t>
      </w:r>
    </w:p>
    <w:p w14:paraId="2AC395AB" w14:textId="2D613F35" w:rsidR="00A2596F" w:rsidRPr="00AA685E" w:rsidRDefault="00A2596F" w:rsidP="00A2596F">
      <w:pPr>
        <w:spacing w:line="480" w:lineRule="auto"/>
      </w:pPr>
      <w:r w:rsidRPr="00AA685E">
        <w:rPr>
          <w:b/>
          <w:bCs/>
        </w:rPr>
        <w:tab/>
      </w:r>
      <w:r w:rsidRPr="00AA685E">
        <w:t>Although many would argue that overeating is a controllable behavior, there are physiological mechanisms that increase the risk of consuming excess food.</w:t>
      </w:r>
      <w:r w:rsidR="005F1C1C">
        <w:t xml:space="preserve"> </w:t>
      </w:r>
      <w:r w:rsidRPr="00AA685E">
        <w:t>Stress is one such mechanism that can drive overeating.</w:t>
      </w:r>
      <w:r w:rsidR="005F1C1C">
        <w:t xml:space="preserve"> </w:t>
      </w:r>
      <w:r w:rsidRPr="00AA685E">
        <w:t xml:space="preserve">When the body feels distressed, the brain responds by secreting cortisol </w:t>
      </w:r>
      <w:r w:rsidRPr="00AA685E">
        <w:fldChar w:fldCharType="begin"/>
      </w:r>
      <w:r w:rsidRPr="00AA685E">
        <w:instrText xml:space="preserve"> ADDIN ZOTERO_ITEM CSL_CITATION {"citationID":"DY7Pjudb","properties":{"formattedCitation":"(Kistenmacher et al., 2018)","plainCitation":"(Kistenmacher et al., 2018)","noteIndex":0},"citationItems":[{"id":30,"uris":["http://zotero.org/users/local/aUK5ZLEi/items/Q6J7HMIA"],"uri":["http://zotero.org/users/local/aUK5ZLEi/items/Q6J7HMIA"],"itemData":{"id":30,"type":"article-journal","abstract":"Psychosocial stress may lead to increased food consumption and overweight. In turn, obesity is related to reduced brain energy content. We hypothesized that psychosocial stress influencing food intake may alter the neuroenergetic status in the human brain. We tested 14 healthy normal weight men in a randomized crossover design. A modified version of the Trier Social Stress Test (TSST) was carried out to induce psychosocial stress vs. control in a neuroimaging setting. Cerebral energy content, i.e. high energy phosphates adenosine triphosphate (ATP) and phosphocreatine (PCr), was measured by 31phosphorus magnetic resonance spectroscopy. Food intake was quantified by an ad libitum buffet test. Stress hormonal response and alterations in glucose metabolism were monitored by blood sampling. Before data collection, we mainly expected a stress-induced reduction in cerebral high energy phosphates, followed by higher food intake. Psychosocial stress increased serum cortisol concentrations (p = .003) and fat intake of all participants by 25% (p = .043), as well as food intake of “stress-eaters” by 41.1% (p = .003) compared with controls. Blood glucose and insulin concentrations were not affected (p &gt; .174 for both). Cerebral ATP and PCr levels generally increased upon stress-induction (p &gt; = .022 and p = .037, respectively). Our data confirm that psychosocial stress may enhance food intake. Contrary to our expectations, stress induces a distinct increase in the neuroenergetic status. This insight suggests that the underlying central nervous mechanisms of stress-induced overeating may involve the regulation of the brain energy homeostasis. (PsycINFO Database Record (c) 2018 APA, all rights reserved) (Source: journal abstract)","container-title":"Stress: The International Journal on the Biology of Stress","DOI":"http://dx.doi.org.ezproxy.lib.ou.edu/10.1080/10253890.2018.1485645","ISSN":"1025-3890","language":"English","page":"No Pagination Specified","source":"ProQuest","title":"Psychosocial stress promotes food intake and enhances the neuroenergetic level in men","author":[{"family":"Kistenmacher","given":"Alina"},{"family":"Goetsch","given":"Jakob"},{"family":"Ullmann","given":"Dorothee"},{"family":"Wardzinski","given":"Ewelina K."},{"family":"Melchert","given":"Uwe H."},{"family":"Jauch-Chara","given":"Kamila"},{"family":"Oltmanns","given":"Kerstin M."}],"issued":{"date-parts":[["2018",6,28]]}}}],"schema":"https://github.com/citation-style-language/schema/raw/master/csl-citation.json"} </w:instrText>
      </w:r>
      <w:r w:rsidRPr="00AA685E">
        <w:fldChar w:fldCharType="separate"/>
      </w:r>
      <w:r w:rsidRPr="00AA685E">
        <w:t>(Kistenmacher et al., 2018)</w:t>
      </w:r>
      <w:r w:rsidRPr="00AA685E">
        <w:fldChar w:fldCharType="end"/>
      </w:r>
      <w:r w:rsidRPr="00AA685E">
        <w:t>.</w:t>
      </w:r>
      <w:r w:rsidR="005F1C1C">
        <w:t xml:space="preserve"> </w:t>
      </w:r>
      <w:r w:rsidRPr="00AA685E">
        <w:t xml:space="preserve">In a study conducted by </w:t>
      </w:r>
      <w:proofErr w:type="spellStart"/>
      <w:r w:rsidRPr="00AA685E">
        <w:t>Kristenmacher</w:t>
      </w:r>
      <w:proofErr w:type="spellEnd"/>
      <w:r w:rsidRPr="00AA685E">
        <w:t xml:space="preserve"> et al. (2018), researchers compared levels of cortisol secretion and energy levels of the central nervous system among fourteen healthy, male participants.</w:t>
      </w:r>
      <w:r w:rsidR="005F1C1C">
        <w:t xml:space="preserve"> </w:t>
      </w:r>
      <w:r w:rsidRPr="00AA685E">
        <w:t>Participants were randomly assigned to a stress group with an acute, psychological, stress stimulation or a control group.</w:t>
      </w:r>
      <w:r w:rsidR="005F1C1C">
        <w:t xml:space="preserve"> </w:t>
      </w:r>
      <w:r w:rsidRPr="00AA685E">
        <w:t xml:space="preserve">After the stress stimulation, there were significantly higher levels of cortisol secretion among participants in the stress group as compared to the control group, and central nervous system activity demonstrated an increased demand for energy </w:t>
      </w:r>
      <w:r w:rsidRPr="00AA685E">
        <w:fldChar w:fldCharType="begin"/>
      </w:r>
      <w:r w:rsidRPr="00AA685E">
        <w:instrText xml:space="preserve"> ADDIN ZOTERO_ITEM CSL_CITATION {"citationID":"6XG7JWrB","properties":{"formattedCitation":"(Kistenmacher et al., 2018)","plainCitation":"(Kistenmacher et al., 2018)","noteIndex":0},"citationItems":[{"id":30,"uris":["http://zotero.org/users/local/aUK5ZLEi/items/Q6J7HMIA"],"uri":["http://zotero.org/users/local/aUK5ZLEi/items/Q6J7HMIA"],"itemData":{"id":30,"type":"article-journal","abstract":"Psychosocial stress may lead to increased food consumption and overweight. In turn, obesity is related to reduced brain energy content. We hypothesized that psychosocial stress influencing food intake may alter the neuroenergetic status in the human brain. We tested 14 healthy normal weight men in a randomized crossover design. A modified version of the Trier Social Stress Test (TSST) was carried out to induce psychosocial stress vs. control in a neuroimaging setting. Cerebral energy content, i.e. high energy phosphates adenosine triphosphate (ATP) and phosphocreatine (PCr), was measured by 31phosphorus magnetic resonance spectroscopy. Food intake was quantified by an ad libitum buffet test. Stress hormonal response and alterations in glucose metabolism were monitored by blood sampling. Before data collection, we mainly expected a stress-induced reduction in cerebral high energy phosphates, followed by higher food intake. Psychosocial stress increased serum cortisol concentrations (p = .003) and fat intake of all participants by 25% (p = .043), as well as food intake of “stress-eaters” by 41.1% (p = .003) compared with controls. Blood glucose and insulin concentrations were not affected (p &gt; .174 for both). Cerebral ATP and PCr levels generally increased upon stress-induction (p &gt; = .022 and p = .037, respectively). Our data confirm that psychosocial stress may enhance food intake. Contrary to our expectations, stress induces a distinct increase in the neuroenergetic status. This insight suggests that the underlying central nervous mechanisms of stress-induced overeating may involve the regulation of the brain energy homeostasis. (PsycINFO Database Record (c) 2018 APA, all rights reserved) (Source: journal abstract)","container-title":"Stress: The International Journal on the Biology of Stress","DOI":"http://dx.doi.org.ezproxy.lib.ou.edu/10.1080/10253890.2018.1485645","ISSN":"1025-3890","language":"English","page":"No Pagination Specified","source":"ProQuest","title":"Psychosocial stress promotes food intake and enhances the neuroenergetic level in men","author":[{"family":"Kistenmacher","given":"Alina"},{"family":"Goetsch","given":"Jakob"},{"family":"Ullmann","given":"Dorothee"},{"family":"Wardzinski","given":"Ewelina K."},{"family":"Melchert","given":"Uwe H."},{"family":"Jauch-Chara","given":"Kamila"},{"family":"Oltmanns","given":"Kerstin M."}],"issued":{"date-parts":[["2018",6,28]]}}}],"schema":"https://github.com/citation-style-language/schema/raw/master/csl-citation.json"} </w:instrText>
      </w:r>
      <w:r w:rsidRPr="00AA685E">
        <w:fldChar w:fldCharType="separate"/>
      </w:r>
      <w:r w:rsidRPr="00AA685E">
        <w:t>(Kistenmacher et al., 2018)</w:t>
      </w:r>
      <w:r w:rsidRPr="00AA685E">
        <w:fldChar w:fldCharType="end"/>
      </w:r>
      <w:r w:rsidRPr="00AA685E">
        <w:t>.</w:t>
      </w:r>
      <w:r w:rsidR="005F1C1C">
        <w:t xml:space="preserve"> </w:t>
      </w:r>
      <w:r w:rsidRPr="00AA685E">
        <w:t xml:space="preserve">Similarly, </w:t>
      </w:r>
      <w:r w:rsidR="003E0A38">
        <w:t xml:space="preserve">participants with excess weight or affected by obesity </w:t>
      </w:r>
      <w:r w:rsidRPr="00AA685E">
        <w:t>in Sinha et al.’s study (2019) had increased levels of ghrelin after being exposed to a stressful, audio scenario.</w:t>
      </w:r>
      <w:r w:rsidR="005F1C1C">
        <w:t xml:space="preserve"> </w:t>
      </w:r>
      <w:r w:rsidRPr="00AA685E">
        <w:t xml:space="preserve">In both studies, participants induced with stressful simulations consumed significantly more food than control groups </w:t>
      </w:r>
      <w:r w:rsidRPr="00AA685E">
        <w:fldChar w:fldCharType="begin"/>
      </w:r>
      <w:r w:rsidRPr="00AA685E">
        <w:instrText xml:space="preserve"> ADDIN ZOTERO_ITEM CSL_CITATION {"citationID":"Nzgkl7Pk","properties":{"formattedCitation":"(Kistenmacher et al., 2018; Sinha et al., 2019)","plainCitation":"(Kistenmacher et al., 2018; Sinha et al., 2019)","noteIndex":0},"citationItems":[{"id":30,"uris":["http://zotero.org/users/local/aUK5ZLEi/items/Q6J7HMIA"],"uri":["http://zotero.org/users/local/aUK5ZLEi/items/Q6J7HMIA"],"itemData":{"id":30,"type":"article-journal","abstract":"Psychosocial stress may lead to increased food consumption and overweight. In turn, obesity is related to reduced brain energy content. We hypothesized that psychosocial stress influencing food intake may alter the neuroenergetic status in the human brain. We tested 14 healthy normal weight men in a randomized crossover design. A modified version of the Trier Social Stress Test (TSST) was carried out to induce psychosocial stress vs. control in a neuroimaging setting. Cerebral energy content, i.e. high energy phosphates adenosine triphosphate (ATP) and phosphocreatine (PCr), was measured by 31phosphorus magnetic resonance spectroscopy. Food intake was quantified by an ad libitum buffet test. Stress hormonal response and alterations in glucose metabolism were monitored by blood sampling. Before data collection, we mainly expected a stress-induced reduction in cerebral high energy phosphates, followed by higher food intake. Psychosocial stress increased serum cortisol concentrations (p = .003) and fat intake of all participants by 25% (p = .043), as well as food intake of “stress-eaters” by 41.1% (p = .003) compared with controls. Blood glucose and insulin concentrations were not affected (p &gt; .174 for both). Cerebral ATP and PCr levels generally increased upon stress-induction (p &gt; = .022 and p = .037, respectively). Our data confirm that psychosocial stress may enhance food intake. Contrary to our expectations, stress induces a distinct increase in the neuroenergetic status. This insight suggests that the underlying central nervous mechanisms of stress-induced overeating may involve the regulation of the brain energy homeostasis. (PsycINFO Database Record (c) 2018 APA, all rights reserved) (Source: journal abstract)","container-title":"Stress: The International Journal on the Biology of Stress","DOI":"http://dx.doi.org.ezproxy.lib.ou.edu/10.1080/10253890.2018.1485645","ISSN":"1025-3890","language":"English","page":"No Pagination Specified","source":"ProQuest","title":"Psychosocial stress promotes food intake and enhances the neuroenergetic level in men","author":[{"family":"Kistenmacher","given":"Alina"},{"family":"Goetsch","given":"Jakob"},{"family":"Ullmann","given":"Dorothee"},{"family":"Wardzinski","given":"Ewelina K."},{"family":"Melchert","given":"Uwe H."},{"family":"Jauch-Chara","given":"Kamila"},{"family":"Oltmanns","given":"Kerstin M."}],"issued":{"date-parts":[["2018",6,28]]}}},{"id":27,"uris":["http://zotero.org/users/local/aUK5ZLEi/items/IDGUI8DC"],"uri":["http://zotero.org/users/local/aUK5ZLEi/items/IDGUI8DC"],"itemData":{"id":27,"type":"article-journal","abstract":"Overeating of highly palatable (HP) foods in the ubiquitous HP food cue environment and under stress is associated with weight gain and contributes to the global obesity epidemic. However, subjective and biobehavioral processes that may increase HP overeating are not clear. Using a novel experimental approach, we examined HP food motivation and intake and neuroendocrine responses in the context of food cues, stress and a control neutral relaxing cue exposure in healthy individuals. Methods: Twenty individuals (12 M; 8F; ages 18–45) with body mass index (BMI) in the lean (LN: N = 8; 3/8 female BMI: 18–24.9) or overweight/obese (OW: N = 12; 5/ 12 female; BMI: 25–37) range were enrolled in a controlled, hospital-based, 3-day laboratory experiment. On each day, subjects were exposed to a brief 5-min individualized guided imagery of stress, food cue or an active neutral-relaxing control cue script, followed by a food snack test (FST), with one imagery condition per day and order of imagery exposure randomized and counterbalanced across subjects. Subjective HP food craving and caloric intake, anxiety, cortisol and total ghrelin was assessed repeatedly during each test day. Results: Significant condition and condition × group effects for food craving, anxiety and HP calorie intake were observed, with food cue relative to neutral condition increasing HP food craving and intake across all subjects (p &lt; .001), but stress relative to neutral condition increased HP food craving and intake in the OW but not LN group (p &lt; .01). Pre-snack increases in food craving after exposure to food cues and to stress predicted greater subsequent HP food intake (p's &lt; 0.01). Furthermore, ghrelin increased in the food cue and stress conditions (p &lt; .01), but stress-induced increases in ghrelin was associated with HP food intake only in the OW/OB condition (p &lt; .01). Finally, cortisol increased during food cue exposure and increased cortisol responses were associated with greater HP food caving and with intake (p's &lt; 0.05). Conclusions: These findings, while preliminary, validate a laboratory model of HP food motivation and intake and identify specific subjective and neuroendocrine responses that may play a role in HP snacking with implications for weight gain and obesity risk. (342 words).","container-title":"Physiology &amp; Behavior","DOI":"10.1016/j.physbeh.2019.112563","ISSN":"00319384","journalAbbreviation":"Physiology &amp; Behavior","language":"en","page":"112563","source":"DOI.org (Crossref)","title":"Food craving, cortisol and ghrelin responses in modeling highly palatable snack intake in the laboratory","volume":"208","author":[{"family":"Sinha","given":"Rajita"},{"family":"Gu","given":"Peihua"},{"family":"Hart","given":"Rachel"},{"family":"Guarnaccia","given":"J.B."}],"issued":{"date-parts":[["2019",9]]}}}],"schema":"https://github.com/citation-style-language/schema/raw/master/csl-citation.json"} </w:instrText>
      </w:r>
      <w:r w:rsidRPr="00AA685E">
        <w:fldChar w:fldCharType="separate"/>
      </w:r>
      <w:r w:rsidRPr="00AA685E">
        <w:t>(Kistenmacher et al., 2018; Sinha et al., 2019)</w:t>
      </w:r>
      <w:r w:rsidRPr="00AA685E">
        <w:fldChar w:fldCharType="end"/>
      </w:r>
      <w:r w:rsidRPr="00AA685E">
        <w:t>.</w:t>
      </w:r>
      <w:r w:rsidR="005F1C1C">
        <w:t xml:space="preserve"> </w:t>
      </w:r>
      <w:r w:rsidRPr="00AA685E">
        <w:t xml:space="preserve">When the brain senses distress, its energy demand increases </w:t>
      </w:r>
      <w:r w:rsidRPr="00AA685E">
        <w:fldChar w:fldCharType="begin"/>
      </w:r>
      <w:r w:rsidRPr="00AA685E">
        <w:instrText xml:space="preserve"> ADDIN ZOTERO_ITEM CSL_CITATION {"citationID":"nWT6lVxo","properties":{"formattedCitation":"(Kistenmacher et al., 2018)","plainCitation":"(Kistenmacher et al., 2018)","noteIndex":0},"citationItems":[{"id":30,"uris":["http://zotero.org/users/local/aUK5ZLEi/items/Q6J7HMIA"],"uri":["http://zotero.org/users/local/aUK5ZLEi/items/Q6J7HMIA"],"itemData":{"id":30,"type":"article-journal","abstract":"Psychosocial stress may lead to increased food consumption and overweight. In turn, obesity is related to reduced brain energy content. We hypothesized that psychosocial stress influencing food intake may alter the neuroenergetic status in the human brain. We tested 14 healthy normal weight men in a randomized crossover design. A modified version of the Trier Social Stress Test (TSST) was carried out to induce psychosocial stress vs. control in a neuroimaging setting. Cerebral energy content, i.e. high energy phosphates adenosine triphosphate (ATP) and phosphocreatine (PCr), was measured by 31phosphorus magnetic resonance spectroscopy. Food intake was quantified by an ad libitum buffet test. Stress hormonal response and alterations in glucose metabolism were monitored by blood sampling. Before data collection, we mainly expected a stress-induced reduction in cerebral high energy phosphates, followed by higher food intake. Psychosocial stress increased serum cortisol concentrations (p = .003) and fat intake of all participants by 25% (p = .043), as well as food intake of “stress-eaters” by 41.1% (p = .003) compared with controls. Blood glucose and insulin concentrations were not affected (p &gt; .174 for both). Cerebral ATP and PCr levels generally increased upon stress-induction (p &gt; = .022 and p = .037, respectively). Our data confirm that psychosocial stress may enhance food intake. Contrary to our expectations, stress induces a distinct increase in the neuroenergetic status. This insight suggests that the underlying central nervous mechanisms of stress-induced overeating may involve the regulation of the brain energy homeostasis. (PsycINFO Database Record (c) 2018 APA, all rights reserved) (Source: journal abstract)","container-title":"Stress: The International Journal on the Biology of Stress","DOI":"http://dx.doi.org.ezproxy.lib.ou.edu/10.1080/10253890.2018.1485645","ISSN":"1025-3890","language":"English","page":"No Pagination Specified","source":"ProQuest","title":"Psychosocial stress promotes food intake and enhances the neuroenergetic level in men","author":[{"family":"Kistenmacher","given":"Alina"},{"family":"Goetsch","given":"Jakob"},{"family":"Ullmann","given":"Dorothee"},{"family":"Wardzinski","given":"Ewelina K."},{"family":"Melchert","given":"Uwe H."},{"family":"Jauch-Chara","given":"Kamila"},{"family":"Oltmanns","given":"Kerstin M."}],"issued":{"date-parts":[["2018",6,28]]}}}],"schema":"https://github.com/citation-style-language/schema/raw/master/csl-citation.json"} </w:instrText>
      </w:r>
      <w:r w:rsidRPr="00AA685E">
        <w:fldChar w:fldCharType="separate"/>
      </w:r>
      <w:r w:rsidRPr="00AA685E">
        <w:t xml:space="preserve">(Kistenmacher et </w:t>
      </w:r>
      <w:r w:rsidRPr="00AA685E">
        <w:lastRenderedPageBreak/>
        <w:t>al., 2018)</w:t>
      </w:r>
      <w:r w:rsidRPr="00AA685E">
        <w:fldChar w:fldCharType="end"/>
      </w:r>
      <w:r w:rsidRPr="00AA685E">
        <w:t>.</w:t>
      </w:r>
      <w:r w:rsidR="005F1C1C">
        <w:t xml:space="preserve"> </w:t>
      </w:r>
      <w:r w:rsidRPr="00AA685E">
        <w:t xml:space="preserve">As a result, cortisol is secreted to induce food ingestion, but these responses may be more severe in </w:t>
      </w:r>
      <w:r w:rsidR="003E0A38">
        <w:t>individuals with excess weight or affected by obesity</w:t>
      </w:r>
      <w:r w:rsidRPr="00AA685E">
        <w:t>.</w:t>
      </w:r>
    </w:p>
    <w:p w14:paraId="2C519D49" w14:textId="7298D3D5" w:rsidR="00A2596F" w:rsidRPr="00AA685E" w:rsidRDefault="00A2596F" w:rsidP="00A2596F">
      <w:pPr>
        <w:spacing w:line="480" w:lineRule="auto"/>
      </w:pPr>
      <w:r w:rsidRPr="00AA685E">
        <w:tab/>
        <w:t xml:space="preserve">In Sinha et al.’s study (2019), only </w:t>
      </w:r>
      <w:r w:rsidR="003E0A38">
        <w:t xml:space="preserve">participants with weight above the normal range or suffering from obesity </w:t>
      </w:r>
      <w:r w:rsidRPr="00AA685E">
        <w:t>exhibited increases in ghrelin and food cravings in response to stress; however, these responses were not seen among lean participants.</w:t>
      </w:r>
      <w:r w:rsidR="005F1C1C">
        <w:t xml:space="preserve"> </w:t>
      </w:r>
      <w:r w:rsidRPr="00AA685E">
        <w:t xml:space="preserve">This suggests that </w:t>
      </w:r>
      <w:r w:rsidR="003E0A38">
        <w:t xml:space="preserve">individuals with obesity or excess weight </w:t>
      </w:r>
      <w:r w:rsidRPr="00AA685E">
        <w:t>may be more susceptible to overeating in response to stress.</w:t>
      </w:r>
      <w:r w:rsidR="005F1C1C">
        <w:t xml:space="preserve"> </w:t>
      </w:r>
      <w:r w:rsidRPr="00AA685E">
        <w:t>The continual process of overeating can</w:t>
      </w:r>
      <w:r>
        <w:t xml:space="preserve"> also</w:t>
      </w:r>
      <w:r w:rsidRPr="00AA685E">
        <w:t xml:space="preserve"> lead to reduced inhibitory control</w:t>
      </w:r>
      <w:r w:rsidR="007E32CE">
        <w:t>—</w:t>
      </w:r>
      <w:r w:rsidR="003E0A38">
        <w:t>a l</w:t>
      </w:r>
      <w:r w:rsidRPr="00AA685E">
        <w:t>ack of mental ability to resist cravings (</w:t>
      </w:r>
      <w:r w:rsidR="002E2882" w:rsidRPr="00AA685E">
        <w:t>Mason et al., 2018</w:t>
      </w:r>
      <w:r w:rsidR="002E2882">
        <w:t xml:space="preserve">; </w:t>
      </w:r>
      <w:proofErr w:type="spellStart"/>
      <w:r w:rsidRPr="002E2882">
        <w:t>Stice</w:t>
      </w:r>
      <w:proofErr w:type="spellEnd"/>
      <w:r w:rsidRPr="002E2882">
        <w:t xml:space="preserve"> et al., 201</w:t>
      </w:r>
      <w:r w:rsidR="002E2882">
        <w:t>7</w:t>
      </w:r>
      <w:r w:rsidRPr="00AA685E">
        <w:fldChar w:fldCharType="begin"/>
      </w:r>
      <w:r>
        <w:instrText xml:space="preserve"> ADDIN ZOTERO_ITEM CSL_CITATION {"citationID":"NY1b5E1o","properties":{"formattedCitation":"(Mason et al., 2018)","plainCitation":"(Mason et al., 2018)","dontUpdate":true,"noteIndex":0},"citationItems":[{"id":109,"uris":["http://zotero.org/users/local/aUK5ZLEi/items/JHT4RY2J"],"uri":["http://zotero.org/users/local/aUK5ZLEi/items/JHT4RY2J"],"itemData":{"id":109,"type":"article-journal","container-title":"Journal of Behavioral Medicine","DOI":"10.1007/s10865-017-9884-5","ISSN":"0160-7715, 1573-3521","issue":"2","journalAbbreviation":"J Behav Med","language":"en","page":"160-173","source":"DOI.org (Crossref)","title":"Testing a mobile mindful eating intervention targeting craving-related eating: feasibility and proof of concept","title-short":"Testing a mobile mindful eating intervention targeting craving-related eating","volume":"41","author":[{"family":"Mason","given":"Ashley E."},{"family":"Jhaveri","given":"Kinnari"},{"family":"Cohn","given":"Michael"},{"family":"Brewer","given":"Judson A."}],"issued":{"date-parts":[["2018",4]]}}}],"schema":"https://github.com/citation-style-language/schema/raw/master/csl-citation.json"} </w:instrText>
      </w:r>
      <w:r w:rsidRPr="00AA685E">
        <w:fldChar w:fldCharType="separate"/>
      </w:r>
      <w:r w:rsidRPr="00AA685E">
        <w:t>)</w:t>
      </w:r>
      <w:r w:rsidRPr="00AA685E">
        <w:fldChar w:fldCharType="end"/>
      </w:r>
      <w:r w:rsidRPr="00AA685E">
        <w:t>.</w:t>
      </w:r>
      <w:r w:rsidR="005F1C1C">
        <w:t xml:space="preserve"> </w:t>
      </w:r>
      <w:r w:rsidR="003E0A38">
        <w:t>Individuals affected by obesity or with excess weight</w:t>
      </w:r>
      <w:r w:rsidRPr="00AA685E">
        <w:t xml:space="preserve"> may be caught up in an endless cycle of stress and overeating that further contributes to excess weight and poor health outcomes.</w:t>
      </w:r>
    </w:p>
    <w:p w14:paraId="520BBD07" w14:textId="606BAC41" w:rsidR="00A2596F" w:rsidRPr="00AA685E" w:rsidRDefault="00A2596F" w:rsidP="00A2596F">
      <w:pPr>
        <w:spacing w:line="480" w:lineRule="auto"/>
      </w:pPr>
      <w:r w:rsidRPr="00AA685E">
        <w:tab/>
        <w:t>From a psychological standpoint, overeating may also be used as a coping mechanism.</w:t>
      </w:r>
      <w:r w:rsidR="005F1C1C">
        <w:t xml:space="preserve"> </w:t>
      </w:r>
      <w:r w:rsidRPr="00AA685E">
        <w:t>In a national survey conducted by the American Psychological Association (</w:t>
      </w:r>
      <w:r w:rsidR="003E0A38">
        <w:t xml:space="preserve">APA; </w:t>
      </w:r>
      <w:r w:rsidRPr="00AA685E">
        <w:t>2012), 39% of Americans reported overeating or eating unhealthy foods in response to stress.</w:t>
      </w:r>
      <w:r w:rsidR="005F1C1C">
        <w:t xml:space="preserve"> </w:t>
      </w:r>
      <w:r w:rsidRPr="00AA685E">
        <w:t xml:space="preserve">When exposed to stress, many turn to food, consuming excess calories to temporarily distract from foreboding distress </w:t>
      </w:r>
      <w:r w:rsidRPr="00AA685E">
        <w:fldChar w:fldCharType="begin"/>
      </w:r>
      <w:r w:rsidRPr="00AA685E">
        <w:instrText xml:space="preserve"> ADDIN ZOTERO_ITEM CSL_CITATION {"citationID":"xKMmMyj3","properties":{"formattedCitation":"(Christaki et al., 2013; O\\uc0\\u8217{}Connor et al., 2008)","plainCitation":"(Christaki et al., 2013; O’Connor et al., 2008)","noteIndex":0},"citationItems":[{"id":34,"uris":["http://zotero.org/users/local/aUK5ZLEi/items/UQH632DA"],"uri":["http://zotero.org/users/local/aUK5ZLEi/items/UQH632DA"],"itemData":{"id":34,"type":"article-journal","abstract":"Background Stress and negative emotions have been shown to be critical factors in inducing overeating as a form of maladaptive coping in obese people. Methods The present study aimed to evaluate the efficacy of an 8-week stress management programme that includes progressive muscle relaxation (PMR) and diaphragmatic breathing on weight loss and eating behaviour in a sample of overweight and obese women who started a weight-loss programme. A total of 34 women with a mean (SD) body mass index of 38.17 (7.19) kg m−² and mean (SD) age 47.35 (11.64) years were recruited from the outpatients Obesity Clinic of a public hospital in Athens. Participants were randomly assigned into a Stress Management (SM) and a control group. Anthropometric measurements were taken before and after the intervention, and the participants completed the following questionnaires: Dutch Eating Behaviour Questionnaire (DEBQ), Eating Attitudes Test (Eat-26), Health Locus of Control (HLC) and Perceived Stress Scale (PSS) before and after the intervention. Results The findings indicated a significant improvement in weight loss in the SM group [4.44 (0.83) kg] after intervention compared to the control group [1.38 (0.78) kg] (P &lt; 0.05). A higher restrained eating behaviour was observed in the SM group after intervention compared to the control group, although there was no significant difference in perceived stress levels. Conclusions The intervention group showed greater weight reduction, possibly because of the stress management programme, and a greater dietary restraint was demonstrated by them compared to the control group. It is likely that stress management could facilitate weight loss in obese women; however, more studies are needed to confirm this hypothesis.","container-title":"Journal of Human Nutrition and Dietetics","DOI":"10.1111/jhn.12086","ISSN":"1365-277X","issue":"s1","language":"en","page":"132-139","source":"Wiley Online Library","title":"Stress management can facilitate weight loss in Greek overweight and obese women: a pilot study","title-short":"Stress management can facilitate weight loss in Greek overweight and obese women","volume":"26","author":[{"family":"Christaki","given":"E."},{"family":"Kokkinos","given":"A."},{"family":"Costarelli","given":"V."},{"family":"Alexopoulos","given":"E. C."},{"family":"Chrousos","given":"G. P."},{"family":"Darviri","given":"C."}],"issued":{"date-parts":[["2013"]]}}},{"id":122,"uris":["http://zotero.org/users/local/aUK5ZLEi/items/T48ANEQA"],"uri":["http://zotero.org/users/local/aUK5ZLEi/items/T48ANEQA"],"itemData":{"id":122,"type":"article-journal","abstract":"Objective: This study investigated the daily hassles-eating behavior relationship and its moderators in a naturalistic setting. Design: A multilevel diary design was used to examine day-to-day within-person effects of daily hassles on eating behavior (N = 422), together with the individual and simultaneous influence of potential moderating variables. Main Outcome Measures: Daily diary reports of between-meal snacking, fruit and vegetable consumption and perceived variations in daily food intake. Results: The results showed daily hassles were associated with increased consumption of high fat/sugar snacks and with a reduction in main meals and vegetable consumption. Ego-threatening, interpersonal and work-related hassles were associated with increased snacking, whereas, physical stressors were associated with decreased snacking. The overall hassles-snacking relationship was significantly stronger and more positive at high compared to low levels of restraint, emotional eating, disinhibition, external eating and in females and obese participants. Simultaneous consideration of these moderators indicated that emotional eating was the pre-eminent moderator of the hassles-snacking relationship. Conclusion: Daily hassles were associated with an increase in unhealthy eating behavior. These changes may indicate an important indirect pathway through which stress influences health risk. (PsycINFO Database Record (c) 2016 APA, all rights reserved) (Source: journal abstract)","container-title":"Health Psychology","DOI":"http://dx.doi.org.ezproxy.lib.ou.edu/10.1037/0278-6133.27.1.S20","ISSN":"0278-6133","issue":"1, Suppl","language":"English","page":"S20-S31","source":"ProQuest","title":"Effects of daily hassles and eating style on eating behavior","volume":"27","author":[{"family":"O'Connor","given":"Daryl B."},{"family":"Jones","given":"Fiona"},{"family":"Conner","given":"Mark"},{"family":"Link to external site","given":"this","dropping-particle":"link will open in a new window"},{"family":"McMillan","given":"Brian"},{"family":"Ferguson","given":"Eamonn"}],"issued":{"date-parts":[["2008",1]]}}}],"schema":"https://github.com/citation-style-language/schema/raw/master/csl-citation.json"} </w:instrText>
      </w:r>
      <w:r w:rsidRPr="00AA685E">
        <w:fldChar w:fldCharType="separate"/>
      </w:r>
      <w:r w:rsidRPr="00AA685E">
        <w:t>(Christaki et al., 2013; O’Connor et al., 2008)</w:t>
      </w:r>
      <w:r w:rsidRPr="00AA685E">
        <w:fldChar w:fldCharType="end"/>
      </w:r>
      <w:r w:rsidRPr="00AA685E">
        <w:t>.</w:t>
      </w:r>
      <w:r w:rsidR="005F1C1C">
        <w:t xml:space="preserve"> </w:t>
      </w:r>
      <w:r>
        <w:t>When investigating the relationship between emotion regulation and overeating, expressive suppression (suppression of stress) and BMI were interactively predictive of overeatin</w:t>
      </w:r>
      <w:r w:rsidR="003E0A38">
        <w:t>g</w:t>
      </w:r>
      <w:r w:rsidR="007E32CE">
        <w:t>—</w:t>
      </w:r>
      <w:r>
        <w:t xml:space="preserve">participants with high BMIs who also reported higher levels of expressive suppression were at an intensified risk for overeating </w:t>
      </w:r>
      <w:r>
        <w:fldChar w:fldCharType="begin"/>
      </w:r>
      <w:r>
        <w:instrText xml:space="preserve"> ADDIN ZOTERO_ITEM CSL_CITATION {"citationID":"SgM23xWW","properties":{"formattedCitation":"(G\\uc0\\u246{}rlach et al., 2016)","plainCitation":"(Görlach et al., 2016)","noteIndex":0},"citationItems":[{"id":140,"uris":["http://zotero.org/users/local/aUK5ZLEi/items/CBPIBT3K"],"uri":["http://zotero.org/users/local/aUK5ZLEi/items/CBPIBT3K"],"itemData":{"id":140,"type":"article-journal","abstract":"Emotions have a considerable impact on eating behaviour; however, research addressing emotion regulation in obesity is rare. The present study is the first to investigate the association between emotional suppression and overeating in individuals with overweight. In total, 314 participants including 190 individuals with obesity filled in a cross-sectional online survey, which assessed emotional suppression, eating behaviour and psychopathology. A hierarchical linear regression analysis was conducted to identify factors associated with overeating. Individuals with obesity reported more frequent overeating compared with individuals without obesity. The habitual use of emotional suppression was associated with more overeating; however, this link was moderated by increased body mass index (BMI). The results suggest that suppression of emotional expression contributes to overeating and is maladaptive especially in individuals with obesity. Further research should longitudinally investigate the predictive value of emotional suppression on overweight, as the training of emotion regulation could contribute to treating obesity. Copyright © 2016 John Wiley &amp; Sons, Ltd and Eating Disorders Association.","container-title":"European Eating Disorders Review","DOI":"10.1002/erv.2452","ISSN":"1099-0968","issue":"5","language":"en","page":"377-382","source":"Wiley Online Library","title":"Expressive Suppression of Emotions and Overeating in Individuals with Overweight and Obesity","volume":"24","author":[{"family":"Görlach","given":"Mirja Gianna"},{"family":"Kohlmann","given":"Sebastian"},{"family":"Shedden‐Mora","given":"Meike"},{"family":"Rief","given":"Winfried"},{"family":"Westermann","given":"Stefan"}],"issued":{"date-parts":[["2016"]]}}}],"schema":"https://github.com/citation-style-language/schema/raw/master/csl-citation.json"} </w:instrText>
      </w:r>
      <w:r>
        <w:fldChar w:fldCharType="separate"/>
      </w:r>
      <w:r w:rsidRPr="0097535A">
        <w:t>(Görlach et al., 2016)</w:t>
      </w:r>
      <w:r>
        <w:fldChar w:fldCharType="end"/>
      </w:r>
      <w:r>
        <w:t>.</w:t>
      </w:r>
      <w:r w:rsidR="005F1C1C">
        <w:t xml:space="preserve"> </w:t>
      </w:r>
      <w:r>
        <w:t xml:space="preserve">Rather than expressing their emotions and stress, overeating may be used as a maladaptive means to cope, especially among </w:t>
      </w:r>
      <w:r w:rsidR="003E0A38">
        <w:t>individuals struggling with obesity or excess weight</w:t>
      </w:r>
      <w:r>
        <w:t>.</w:t>
      </w:r>
    </w:p>
    <w:p w14:paraId="275FA8A2" w14:textId="59C37285" w:rsidR="00A2596F" w:rsidRPr="00AA685E" w:rsidRDefault="00A2596F" w:rsidP="00A2596F">
      <w:pPr>
        <w:spacing w:line="480" w:lineRule="auto"/>
      </w:pPr>
      <w:r w:rsidRPr="00AA685E">
        <w:tab/>
        <w:t>O’Connor et al. (2008) sought to further investigate this association through the use of food intake diaries.</w:t>
      </w:r>
      <w:r w:rsidR="005F1C1C">
        <w:t xml:space="preserve"> </w:t>
      </w:r>
      <w:r w:rsidRPr="00AA685E">
        <w:t xml:space="preserve">Rather than lab-induced stress, participants </w:t>
      </w:r>
      <w:r w:rsidRPr="00AF01CD">
        <w:rPr>
          <w:i/>
          <w:iCs/>
        </w:rPr>
        <w:t>(</w:t>
      </w:r>
      <w:r w:rsidR="00DB53D2">
        <w:rPr>
          <w:i/>
          <w:iCs/>
        </w:rPr>
        <w:t>n</w:t>
      </w:r>
      <w:r w:rsidR="00D722AF">
        <w:rPr>
          <w:i/>
          <w:iCs/>
        </w:rPr>
        <w:t xml:space="preserve"> </w:t>
      </w:r>
      <w:r w:rsidRPr="00AF01CD">
        <w:rPr>
          <w:i/>
          <w:iCs/>
        </w:rPr>
        <w:t>=</w:t>
      </w:r>
      <w:r w:rsidR="00D722AF">
        <w:rPr>
          <w:i/>
          <w:iCs/>
        </w:rPr>
        <w:t xml:space="preserve"> </w:t>
      </w:r>
      <w:r w:rsidRPr="00AA685E">
        <w:t xml:space="preserve">422) recorded their daily </w:t>
      </w:r>
      <w:r w:rsidRPr="00AA685E">
        <w:lastRenderedPageBreak/>
        <w:t>intake along with hassles (stressors) they experienced throughout the day.</w:t>
      </w:r>
      <w:r w:rsidR="005F1C1C">
        <w:t xml:space="preserve"> </w:t>
      </w:r>
      <w:r w:rsidRPr="00AA685E">
        <w:t>The 28-day logs revealed a significant relationship between stressors and between-meal snacks.</w:t>
      </w:r>
      <w:r w:rsidR="005F1C1C">
        <w:t xml:space="preserve"> </w:t>
      </w:r>
      <w:r w:rsidRPr="00AA685E">
        <w:t>Snack consumption, particularly food high in fat and sugar, increased when participants reported one or more daily hassles.</w:t>
      </w:r>
      <w:r w:rsidR="005F1C1C">
        <w:t xml:space="preserve"> </w:t>
      </w:r>
      <w:r w:rsidRPr="00AA685E">
        <w:t>This association was strengthened among participants who were female or obese (O’Connor et al., 2008).</w:t>
      </w:r>
      <w:r w:rsidR="005F1C1C">
        <w:t xml:space="preserve"> </w:t>
      </w:r>
      <w:r w:rsidRPr="00AA685E">
        <w:t>The results were mirrored in a survey-based study conducted by Sims et al. (2008).</w:t>
      </w:r>
      <w:r w:rsidR="005F1C1C">
        <w:t xml:space="preserve"> </w:t>
      </w:r>
      <w:r w:rsidRPr="00AA685E">
        <w:t>There was a significant relationship between perceived stress and emotional eating.</w:t>
      </w:r>
      <w:r w:rsidR="005F1C1C">
        <w:t xml:space="preserve"> </w:t>
      </w:r>
      <w:r w:rsidRPr="00AA685E">
        <w:t>When hit with stress, participants were more likely to turn to food as a means to cope, especially calorically dense and easily accessible food.</w:t>
      </w:r>
      <w:r w:rsidR="005F1C1C">
        <w:t xml:space="preserve"> </w:t>
      </w:r>
      <w:r w:rsidRPr="00AA685E">
        <w:t xml:space="preserve">Once again, this association was stronger among </w:t>
      </w:r>
      <w:r w:rsidR="003E0A38">
        <w:t>participants with obesity or excess weight</w:t>
      </w:r>
      <w:r w:rsidRPr="00AA685E">
        <w:t xml:space="preserve"> </w:t>
      </w:r>
      <w:r w:rsidRPr="00AA685E">
        <w:fldChar w:fldCharType="begin"/>
      </w:r>
      <w:r w:rsidRPr="00AA685E">
        <w:instrText xml:space="preserve"> ADDIN ZOTERO_ITEM CSL_CITATION {"citationID":"s9TzstuB","properties":{"formattedCitation":"(Sims et al., 2008)","plainCitation":"(Sims et al., 2008)","noteIndex":0},"citationItems":[{"id":78,"uris":["http://zotero.org/users/local/aUK5ZLEi/items/KNJMQ9FQ"],"uri":["http://zotero.org/users/local/aUK5ZLEi/items/KNJMQ9FQ"],"itemData":{"id":78,"type":"article-journal","abstract":"Previous studies have reported that psychological stress is associated with greater food consumption, particularly consumption of high fat foods. We are unaware of any studies that have examined stressinduced eating among African Americans (AAs). The goals of the current study were to examine the relationship between perceived stress and high fat eating behaviors in a sample of AAs, to examine whether this relationship is stronger among overweight and obese participants, and to examine whether haphazard meal planning mediates the relationship between perceived stress and high fat eating behaviors. One hundred fifty-nine adults from a metropolitan area completed the Perceived Stress Scale (PSS-10), the Eating Behaviors Pattern Questionnaire (EBPQ), a demographic questionnaire, and body mass was assessed with BMI. Perceived stress was associated with haphazard planning and emotional eating, but not related to other high fat eating domains in the overall sample. These findings held for overweight and obese participants with the addition of snacking on sweets. High fat eating behaviors were not mediated by haphazard meal planning. These findings are consistent with other studies which demonstrate a link between stress and eating. Longterm interventions for high fat consumption and obesity should include an examination of perceived stress among AAs.","container-title":"Eating Behaviors","DOI":"10.1016/j.eatbeh.2007.06.006","ISSN":"14710153","issue":"2","journalAbbreviation":"Eating Behaviors","language":"en","page":"137-142","source":"DOI.org (Crossref)","title":"Perceived stress and eating behaviors in a community-based sample of African Americans","volume":"9","author":[{"family":"Sims","given":"Regina"},{"family":"Gordon","given":"Shalanda"},{"family":"Garcia","given":"Wanda"},{"family":"Clark","given":"Elijah"},{"family":"Monye","given":"Deloris"},{"family":"Callender","given":"Clive"},{"family":"Campbell","given":"Alfonso"}],"issued":{"date-parts":[["2008",4]]}}}],"schema":"https://github.com/citation-style-language/schema/raw/master/csl-citation.json"} </w:instrText>
      </w:r>
      <w:r w:rsidRPr="00AA685E">
        <w:fldChar w:fldCharType="separate"/>
      </w:r>
      <w:r w:rsidRPr="00AA685E">
        <w:t>(Sims et al., 2008)</w:t>
      </w:r>
      <w:r w:rsidRPr="00AA685E">
        <w:fldChar w:fldCharType="end"/>
      </w:r>
      <w:r w:rsidRPr="00AA685E">
        <w:t>.</w:t>
      </w:r>
      <w:r w:rsidR="005F1C1C">
        <w:t xml:space="preserve"> </w:t>
      </w:r>
      <w:r w:rsidR="003E0A38">
        <w:t xml:space="preserve">Participants exceeding a normal weight range or suffering from obesity </w:t>
      </w:r>
      <w:r w:rsidRPr="00AA685E">
        <w:t>may be more likely to overeat due to stress.</w:t>
      </w:r>
    </w:p>
    <w:p w14:paraId="1BD528B1" w14:textId="12C19C7A" w:rsidR="00A2596F" w:rsidRDefault="00A2596F" w:rsidP="00A2596F">
      <w:pPr>
        <w:spacing w:line="480" w:lineRule="auto"/>
        <w:rPr>
          <w:b/>
          <w:bCs/>
        </w:rPr>
      </w:pPr>
      <w:r>
        <w:rPr>
          <w:b/>
          <w:bCs/>
        </w:rPr>
        <w:t>Discriminatory Stress among Racial</w:t>
      </w:r>
      <w:r w:rsidR="00327996">
        <w:rPr>
          <w:b/>
          <w:bCs/>
        </w:rPr>
        <w:t>/</w:t>
      </w:r>
      <w:r>
        <w:rPr>
          <w:b/>
          <w:bCs/>
        </w:rPr>
        <w:t>Ethnic Minorities</w:t>
      </w:r>
    </w:p>
    <w:p w14:paraId="5B86DFF9" w14:textId="29410393" w:rsidR="00A2596F" w:rsidRPr="00AA685E" w:rsidRDefault="00A2596F" w:rsidP="00A2596F">
      <w:pPr>
        <w:spacing w:line="480" w:lineRule="auto"/>
      </w:pPr>
      <w:r>
        <w:tab/>
      </w:r>
      <w:r w:rsidRPr="00AA685E">
        <w:t>Since stress appears to be a significant risk factor for obesity, it is important to determine the salient sources of stress.</w:t>
      </w:r>
      <w:r w:rsidR="005F1C1C">
        <w:t xml:space="preserve"> </w:t>
      </w:r>
      <w:r w:rsidRPr="00AA685E">
        <w:t>In 2019, next to gun violence and political uncertainty, discrimination was reported as a major source of stress in modern America.</w:t>
      </w:r>
      <w:r w:rsidR="005F1C1C">
        <w:t xml:space="preserve"> </w:t>
      </w:r>
      <w:r w:rsidRPr="00AA685E">
        <w:t>One in four U.S. adults reported discrimination as a significant stressor, and more specifically, nearly two in three (64%) racial minority adults reported discrimination to be a barrier to their overall quality of life (A</w:t>
      </w:r>
      <w:r w:rsidR="00CB4D8C">
        <w:t>PA</w:t>
      </w:r>
      <w:r w:rsidRPr="00AA685E">
        <w:t>, 2019).</w:t>
      </w:r>
      <w:r w:rsidR="005F1C1C">
        <w:t xml:space="preserve"> </w:t>
      </w:r>
      <w:r w:rsidR="00D722AF">
        <w:t>Racial/ethnic</w:t>
      </w:r>
      <w:r w:rsidRPr="00AA685E">
        <w:t xml:space="preserve"> minorities chronically experience unfair treatment due to their culture or skin tone (Ford </w:t>
      </w:r>
      <w:r w:rsidR="003E0A38">
        <w:t xml:space="preserve">&amp; </w:t>
      </w:r>
      <w:proofErr w:type="spellStart"/>
      <w:r w:rsidR="00D722AF" w:rsidRPr="000409D6">
        <w:t>Airhihenbuwa</w:t>
      </w:r>
      <w:proofErr w:type="spellEnd"/>
      <w:r w:rsidRPr="00AA685E">
        <w:t>, 2010</w:t>
      </w:r>
      <w:r>
        <w:t>a</w:t>
      </w:r>
      <w:r w:rsidRPr="00AA685E">
        <w:t xml:space="preserve">; </w:t>
      </w:r>
      <w:r w:rsidRPr="00AA685E">
        <w:fldChar w:fldCharType="begin"/>
      </w:r>
      <w:r w:rsidRPr="00AA685E">
        <w:instrText xml:space="preserve"> ADDIN ZOTERO_ITEM CSL_CITATION {"citationID":"gVlRVjV5","properties":{"formattedCitation":"(Simons et al., 2018)","plainCitation":"(Simons et al., 2018)","dontUpdate":true,"noteIndex":0},"citationItems":[{"id":95,"uris":["http://zotero.org/users/local/aUK5ZLEi/items/F3B665QW"],"uri":["http://zotero.org/users/local/aUK5ZLEi/items/F3B665QW"],"itemData":{"id":95,"type":"article-journal","abstract":"Several studies have reported a relation between race-related stressors and the poor health of Black Americans. Such findings raise questions regarding the mediating biological mechanisms that might account for this link. The present study investigated elevated systemic inflammation, a factor shown to be a strong predictor of chronic illness and mortality in all ethnic populations, as a possible factor. Using 7 waves of data from the Family and Community Health Study, collected over a 20-year period from over 400 Black Americans, we investigated the extent to which exposure to discrimination and segregation at various points in the life course predicted adult inflammation at age 28. Our analyses examined whether cumulative stress, stress generation, or predictive adaptive response (PAR) models best accounted for any associations that existed between these race-related stressors and adult inflammation. At every wave of data collection, assessments of discrimination and segregation were related to adult inflammation. However, multivariate analyses using structure equation modeling indicated that the PAR model best explained the effect of these race-related stressors on inflammation. Exposure to discrimination and segregation during the juvenile years predicted adult inflammation and amplified the inflammatory effect of adult exposure to these race-related stressors. These effects were considerably more robust than that of traditional health risk factors such as diet, exercise, smoking, and low SES. Implications of these findings are discussed, including the limitations of the widely accepted risk factor approach to increasing the health of Black Americans. (PsycINFO Database Record (c) 2018 APA, all rights reserved) (Source: journal abstract)","container-title":"Developmental Psychology","DOI":"http://dx.doi.org.ezproxy.lib.ou.edu/10.1037/dev0000511","ISSN":"0012-1649","issue":"10","language":"English","page":"1993-2006","source":"ProQuest","title":"Discrimination, segregation, and chronic inflammation: Testing the weathering explanation for the poor health of Black Americans","title-short":"Discrimination, segregation, and chronic inflammation","volume":"54","author":[{"family":"Simons","given":"Ronald L."},{"family":"Lei","given":"Man-Kit"},{"family":"Beach","given":"Steven R. H."},{"family":"Barr","given":"Ashley B."},{"family":"Simons","given":"Leslie G."},{"family":"Gibbons","given":"Frederick X."},{"family":"Philibert","given":"Robert A."}],"issued":{"date-parts":[["2018",10]]}}}],"schema":"https://github.com/citation-style-language/schema/raw/master/csl-citation.json"} </w:instrText>
      </w:r>
      <w:r w:rsidRPr="00AA685E">
        <w:fldChar w:fldCharType="separate"/>
      </w:r>
      <w:r w:rsidRPr="00AA685E">
        <w:t>Simons et al., 2018)</w:t>
      </w:r>
      <w:r w:rsidRPr="00AA685E">
        <w:fldChar w:fldCharType="end"/>
      </w:r>
      <w:r w:rsidRPr="00AA685E">
        <w:t>.</w:t>
      </w:r>
      <w:r w:rsidR="005F1C1C">
        <w:t xml:space="preserve"> </w:t>
      </w:r>
    </w:p>
    <w:p w14:paraId="604B2CD8" w14:textId="64B2732E" w:rsidR="00A2596F" w:rsidRDefault="00A2596F" w:rsidP="00A2596F">
      <w:pPr>
        <w:spacing w:line="480" w:lineRule="auto"/>
      </w:pPr>
      <w:r>
        <w:tab/>
        <w:t xml:space="preserve">Discrimination is any act or unequitable treatment that degrades an individual or group based on physical race or ethnic affiliation </w:t>
      </w:r>
      <w:r>
        <w:fldChar w:fldCharType="begin"/>
      </w:r>
      <w:r>
        <w:instrText xml:space="preserve"> ADDIN ZOTERO_ITEM CSL_CITATION {"citationID":"XoYJ1AaH","properties":{"formattedCitation":"(R. Clark et al., 1999)","plainCitation":"(R. Clark et al., 1999)","noteIndex":0},"citationItems":[{"id":58,"uris":["http://zotero.org/users/local/aUK5ZLEi/items/W6CA634W"],"uri":["http://zotero.org/users/local/aUK5ZLEi/items/W6CA634W"],"itemData":{"id":58,"type":"article-journal","abstract":"Various authors have noted that interethnic group and intraethnic group racism are significant stressors for many African Americans. As such, intergroup and intragroup racism may play a role in the high rates of morbidity and mortality in this population. Yet, although scientific examinations of the effects of stress have proliferated, few researchers have explored the psychological, social, and physiological effects of perceived racism among African Americans. The purpose of this article was to outline a biopsychosocial model for perceived racism as a guide for future research. The first section of this article provides a brief overview of how racism has been conceptualized in the scientific literature. The second section reviews research exploring the existence of intergroup and intragroup racism. A contextual model for systematic studies of the biopsychosocial effects of perceived racism is then presented, along with recommendations for future research. (PsycINFO Database Record (c) 2016 APA, all rights reserved) (Source: journal abstract)","container-title":"American Psychologist","DOI":"http://dx.doi.org.ezproxy.lib.ou.edu/10.1037/0003-066X.54.10.805","ISSN":"0003-066X","issue":"10","language":"English","page":"805-816","source":"ProQuest","title":"Racism as a stressor for African Americans: A biopsychosocial model","title-short":"Racism as a stressor for African Americans","volume":"54","author":[{"family":"Clark","given":"Rodney"},{"family":"Anderson","given":"Norman B."},{"family":"Clark","given":"Vernessa R."},{"family":"Williams","given":"David R."}],"issued":{"date-parts":[["1999",10]]}}}],"schema":"https://github.com/citation-style-language/schema/raw/master/csl-citation.json"} </w:instrText>
      </w:r>
      <w:r>
        <w:fldChar w:fldCharType="separate"/>
      </w:r>
      <w:r>
        <w:rPr>
          <w:noProof/>
        </w:rPr>
        <w:t>(Clark et al., 1999)</w:t>
      </w:r>
      <w:r>
        <w:fldChar w:fldCharType="end"/>
      </w:r>
      <w:r>
        <w:t>.</w:t>
      </w:r>
      <w:r w:rsidR="005F1C1C">
        <w:t xml:space="preserve"> </w:t>
      </w:r>
      <w:r>
        <w:t xml:space="preserve">Among </w:t>
      </w:r>
      <w:r w:rsidR="005F1C1C">
        <w:t>African Americans/Blacks</w:t>
      </w:r>
      <w:r>
        <w:t xml:space="preserve">, </w:t>
      </w:r>
      <w:r w:rsidR="003E0A38">
        <w:t>Hispanic/Latino(a)/Spanish Americans</w:t>
      </w:r>
      <w:r>
        <w:t xml:space="preserve">, and American Indians, discrimination has been substantiated to be a significant source of stress </w:t>
      </w:r>
      <w:r>
        <w:fldChar w:fldCharType="begin"/>
      </w:r>
      <w:r>
        <w:instrText xml:space="preserve"> ADDIN ZOTERO_ITEM CSL_CITATION {"citationID":"gl3h7Hu0","properties":{"formattedCitation":"(Belcourt-Dittloff &amp; Stewart, 2000; R. Clark et al., 1999; Higgins Neyland &amp; Bardone-Cone, 2017; Utsey et al., 2002)","plainCitation":"(Belcourt-Dittloff &amp; Stewart, 2000; R. Clark et al., 1999; Higgins Neyland &amp; Bardone-Cone, 2017; Utsey et al., 2002)","noteIndex":0},"citationItems":[{"id":172,"uris":["http://zotero.org/users/local/aUK5ZLEi/items/6CZMTC3J"],"uri":["http://zotero.org/users/local/aUK5ZLEi/items/6CZMTC3J"],"itemData":{"id":172,"type":"article-journal","abstract":"Comments on the article by R. Clark et al (see record 1999-11644-001), which outlines a biopsychosocial model for perceived racism as a stressor among African Americans. One long-standing example of intergroup racism that continues to have pervasive effects is historical racism. It is argued that historical racism has had and continues to have a profound impact on Native Americans. The authors outline some possible ways in which historical racism constitutes a stressor with biopsychosocial implications for American Indians. (PsycINFO Database Record (c) 2016 APA, all rights reserved)","container-title":"American Psychologist","DOI":"http://dx.doi.org.ezproxy.lib.ou.edu/10.1037/0003-066X.55.10.1166","ISSN":"0003-066X","issue":"10","language":"English","page":"1166-1167","source":"ProQuest","title":"Historical racism: Implications for Native Americans","title-short":"Historical racism","volume":"55","author":[{"family":"Belcourt-Dittloff","given":"Annjeanette"},{"family":"Stewart","given":"Jera"}],"issued":{"date-parts":[["2000",10]]}}},{"id":58,"uris":["http://zotero.org/users/local/aUK5ZLEi/items/W6CA634W"],"uri":["http://zotero.org/users/local/aUK5ZLEi/items/W6CA634W"],"itemData":{"id":58,"type":"article-journal","abstract":"Various authors have noted that interethnic group and intraethnic group racism are significant stressors for many African Americans. As such, intergroup and intragroup racism may play a role in the high rates of morbidity and mortality in this population. Yet, although scientific examinations of the effects of stress have proliferated, few researchers have explored the psychological, social, and physiological effects of perceived racism among African Americans. The purpose of this article was to outline a biopsychosocial model for perceived racism as a guide for future research. The first section of this article provides a brief overview of how racism has been conceptualized in the scientific literature. The second section reviews research exploring the existence of intergroup and intragroup racism. A contextual model for systematic studies of the biopsychosocial effects of perceived racism is then presented, along with recommendations for future research. (PsycINFO Database Record (c) 2016 APA, all rights reserved) (Source: journal abstract)","container-title":"American Psychologist","DOI":"http://dx.doi.org.ezproxy.lib.ou.edu/10.1037/0003-066X.54.10.805","ISSN":"0003-066X","issue":"10","language":"English","page":"805-816","source":"ProQuest","title":"Racism as a stressor for African Americans: A biopsychosocial model","title-short":"Racism as a stressor for African Americans","volume":"54","author":[{"family":"Clark","given":"Rodney"},{"family":"Anderson","given":"Norman B."},{"family":"Clark","given":"Vernessa R."},{"family":"Williams","given":"David R."}],"issued":{"date-parts":[["1999",10]]}}},{"id":4,"uris":["http://zotero.org/users/local/aUK5ZLEi/items/5WIXFV2L"],"uri":["http://zotero.org/users/local/aUK5ZLEi/items/5WIXFV2L"],"itemData":{"id":4,"type":"article-journal","abstract":"Objectives: Despite comparable prevalence of some eating disorders (e.g., binge eating disorder) among Latinas compared with Caucasians, eating disorders are still thought of as primarily afflicting Caucasian women. This has led to a lag in research on eating disorders among Latinas. Our objective was to test 3 escape theory models involving the culturally specific independent variables of acculturative stress, family disconnection, and discriminatory stress; the mediator of negative affect; and the dependent variable of binge eating frequency. Method: We recruited a female sample of 119 Latinas (78 who have suffered from an eating disorder, 41 who have never had an eating disorder). Results: Results indicated that all of the relationships between culturally specific factors and binge eating were mediated by negative affect, and that there was a significant direct pathway from discriminatory stress to binge eating. Conclusions: Findings from this study can be used to tailor interventions to Latinas who engage in binge eating, targeting culturally specific factors and their relationships with negative affect and binge eating. (PsycINFO Database Record (c) 2017 APA, all rights reserved) (Source: journal abstract)","container-title":"Cultural Diversity and Ethnic Minority Psychology","DOI":"http://dx.doi.org.ezproxy.lib.ou.edu/10.1037/cdp0000130","ISSN":"1099-9809","issue":"3","language":"English","page":"373-381","source":"ProQuest","title":"Tests of escape theory of binge eating among Latinas","volume":"23","author":[{"family":"Higgins Neyland","given":"M. K."},{"family":"Bardone-Cone","given":"Anna M."}],"issued":{"date-parts":[["2017",7]]}}},{"id":147,"uris":["http://zotero.org/users/local/aUK5ZLEi/items/ZLWKJX34"],"uri":["http://zotero.org/users/local/aUK5ZLEi/items/ZLWKJX34"],"itemData":{"id":147,"type":"article-journal","abstract":"This study examined the effect of ethnic group membership on ethnic identity, race-related stress, and quality of life (QOL). The Multigroup Ethnic Identity Measure, the Index of Race Related Stress-Brief Version, and the World Health Organization Quality of Life-Brief Version were administered to 160 male and female participants from 3 ethnic groups (African American, Asian American, and Latino American). Results indicated that African American participants had significantly higher race-related stress, ethnic identity, and psychological QOL scores than did Asian and Latino American participants. A stepwise multiple regression analysis revealed that ethnic identity and cultural racism were significant predictors of QOL and accounted for 16% of the total variance for the entire sample. (PsycINFO Database Record (c) 2017 APA, all rights reserved) (Source: journal abstract)","container-title":"Cultural Diversity and Ethnic Minority Psychology","DOI":"http://dx.doi.org.ezproxy.lib.ou.edu/10.1037/1099-9809.8.4.367","ISSN":"1099-9809","issue":"4","language":"English","page":"366-377","source":"ProQuest","title":"Effect of ethnic group membership on ethnic identity, race-related stress, and quality of life","volume":"8","author":[{"family":"Utsey","given":"Shawn O."},{"family":"Chae","given":"Mark H."},{"family":"Brown","given":"Christa F."},{"family":"Kelly","given":"Deborah"}],"issued":{"date-parts":[["2002",11]]}}}],"schema":"https://github.com/citation-style-language/schema/raw/master/csl-citation.json"} </w:instrText>
      </w:r>
      <w:r>
        <w:fldChar w:fldCharType="separate"/>
      </w:r>
      <w:r>
        <w:rPr>
          <w:noProof/>
        </w:rPr>
        <w:t xml:space="preserve">(Belcourt-Dittloff &amp; </w:t>
      </w:r>
      <w:r>
        <w:rPr>
          <w:noProof/>
        </w:rPr>
        <w:lastRenderedPageBreak/>
        <w:t xml:space="preserve">Stewart, 2000; Clark et al., 1999; </w:t>
      </w:r>
      <w:r w:rsidR="00932390">
        <w:rPr>
          <w:noProof/>
        </w:rPr>
        <w:t>Higgins-Neyland</w:t>
      </w:r>
      <w:r>
        <w:rPr>
          <w:noProof/>
        </w:rPr>
        <w:t xml:space="preserve"> &amp; Bardone-Cone, 2017; Utsey et al., 2002)</w:t>
      </w:r>
      <w:r>
        <w:fldChar w:fldCharType="end"/>
      </w:r>
      <w:r>
        <w:t>.</w:t>
      </w:r>
      <w:r w:rsidR="005F1C1C">
        <w:t xml:space="preserve"> </w:t>
      </w:r>
      <w:r>
        <w:t>However, each group has its own distinct, discriminatory experiences.</w:t>
      </w:r>
    </w:p>
    <w:p w14:paraId="3F044F0F" w14:textId="098080AB" w:rsidR="00A2596F" w:rsidRDefault="00A2596F" w:rsidP="00A2596F">
      <w:pPr>
        <w:spacing w:line="480" w:lineRule="auto"/>
      </w:pPr>
      <w:r>
        <w:tab/>
        <w:t>American Indians’ cultural discrimination stems from a history of forced assimilation, loss of tribal lands, and mass genocide.</w:t>
      </w:r>
      <w:r w:rsidR="005F1C1C">
        <w:t xml:space="preserve"> </w:t>
      </w:r>
      <w:r>
        <w:t xml:space="preserve">This historical loss continues to be a psychological strain among Native Americans </w:t>
      </w:r>
      <w:r>
        <w:fldChar w:fldCharType="begin"/>
      </w:r>
      <w:r>
        <w:instrText xml:space="preserve"> ADDIN ZOTERO_ITEM CSL_CITATION {"citationID":"XSL8QMjc","properties":{"formattedCitation":"(J. D. Clark &amp; Winterowd, 2012)","plainCitation":"(J. D. Clark &amp; Winterowd, 2012)","noteIndex":0},"citationItems":[{"id":119,"uris":["http://zotero.org/users/local/aUK5ZLEi/items/CAQUCQKE"],"uri":["http://zotero.org/users/local/aUK5ZLEi/items/CAQUCQKE"],"itemData":{"id":119,"type":"article-journal","abstract":"Among a sample of Native American/American Indian women, this study explored the linear relationship of historical loss, acculturation, racism, and emotional distress to binge-eating behavior and level of obesity as determined by body mass index. Emotional distress, experiences of racism, and feelings about historical loss were significantly related to binge-eating behaviors, with emotional distress being the most significant predictor. Este estudio exploró entre Indios Americanos la relación linear de la pérdida histórica, la aculturación, el racismo y la angustia emocional con el comportamiento de atracones compulsivos y la obesidad, determinada por el índice de masa corporal. La angustia emocional, las experiencias de racismo y los sentimientos de pérdida histórica estuvieron significativamente relacionados con los comportamientos de atracones compulsivos, siendo la angustia emocional el vaticinador más significativo.","container-title":"Journal of Multicultural Counseling and Development","DOI":"10.1002/j.2161-1912.2012.00011.x","ISSN":"2161-1912","issue":"2","language":"en","page":"117-127","source":"Wiley Online Library","title":"Correlates and Predictors of Binge Eating Among Native American Women","volume":"40","author":[{"family":"Clark","given":"Julie Dorton"},{"family":"Winterowd","given":"Carrie"}],"issued":{"date-parts":[["2012"]]}}}],"schema":"https://github.com/citation-style-language/schema/raw/master/csl-citation.json"} </w:instrText>
      </w:r>
      <w:r>
        <w:fldChar w:fldCharType="separate"/>
      </w:r>
      <w:r>
        <w:rPr>
          <w:noProof/>
        </w:rPr>
        <w:t>(Clark &amp; Winterowd, 2012)</w:t>
      </w:r>
      <w:r>
        <w:fldChar w:fldCharType="end"/>
      </w:r>
      <w:r>
        <w:t>.</w:t>
      </w:r>
      <w:r w:rsidR="005F1C1C">
        <w:t xml:space="preserve"> </w:t>
      </w:r>
      <w:r>
        <w:t xml:space="preserve">Skewes et al. (2019) investigated both contemporary and past prejudice’s effect on a sample of rural American Indians </w:t>
      </w:r>
      <w:r w:rsidRPr="00AF01CD">
        <w:rPr>
          <w:i/>
          <w:iCs/>
        </w:rPr>
        <w:t>(</w:t>
      </w:r>
      <w:r w:rsidR="00DB53D2">
        <w:rPr>
          <w:i/>
          <w:iCs/>
        </w:rPr>
        <w:t>n</w:t>
      </w:r>
      <w:r w:rsidR="00D722AF">
        <w:rPr>
          <w:i/>
          <w:iCs/>
        </w:rPr>
        <w:t xml:space="preserve"> </w:t>
      </w:r>
      <w:r w:rsidRPr="00AF01CD">
        <w:rPr>
          <w:i/>
          <w:iCs/>
        </w:rPr>
        <w:t>=</w:t>
      </w:r>
      <w:r w:rsidR="00D722AF">
        <w:rPr>
          <w:i/>
          <w:iCs/>
        </w:rPr>
        <w:t xml:space="preserve"> </w:t>
      </w:r>
      <w:r>
        <w:t xml:space="preserve">25; </w:t>
      </w:r>
      <w:r w:rsidR="00DB53D2">
        <w:rPr>
          <w:i/>
          <w:iCs/>
        </w:rPr>
        <w:t>M</w:t>
      </w:r>
      <w:r w:rsidR="00D722AF">
        <w:rPr>
          <w:i/>
          <w:iCs/>
        </w:rPr>
        <w:t xml:space="preserve"> </w:t>
      </w:r>
      <w:r>
        <w:t>=</w:t>
      </w:r>
      <w:r w:rsidR="00D722AF">
        <w:t xml:space="preserve"> </w:t>
      </w:r>
      <w:r>
        <w:t>52).</w:t>
      </w:r>
      <w:r w:rsidR="005F1C1C">
        <w:t xml:space="preserve"> </w:t>
      </w:r>
      <w:r>
        <w:t>Drug and alcohol problems plagued the tribal community, and participants linked these negative behaviors to colonialism and racism.</w:t>
      </w:r>
      <w:r w:rsidR="005F1C1C">
        <w:t xml:space="preserve"> </w:t>
      </w:r>
      <w:r>
        <w:t>Along with American Indians across the country, the Montana tribe was forced onto a reservation and pressured to assimilate, and in the process, a structural system of inequality was catalyzed and embedded, resulting in poorer socioeconomic and health statuses.</w:t>
      </w:r>
      <w:r w:rsidR="005F1C1C">
        <w:t xml:space="preserve"> </w:t>
      </w:r>
      <w:r>
        <w:t xml:space="preserve">Native Americans deal with daily and historical discrimination that leads many to turn to drugs and alcohol as a means to cope with the stress </w:t>
      </w:r>
      <w:r>
        <w:fldChar w:fldCharType="begin"/>
      </w:r>
      <w:r>
        <w:instrText xml:space="preserve"> ADDIN ZOTERO_ITEM CSL_CITATION {"citationID":"7T85mCZt","properties":{"formattedCitation":"(Skewes et al., 2019)","plainCitation":"(Skewes et al., 2019)","noteIndex":0},"citationItems":[{"id":176,"uris":["http://zotero.org/users/local/aUK5ZLEi/items/GRW6B936"],"uri":["http://zotero.org/users/local/aUK5ZLEi/items/GRW6B936"],"itemData":{"id":176,"type":"article-journal","abstract":"Historians and scholars from various disciplines have documented the pervasive influence of racism on American society and culture, including effects on the health and well-being of American Indian (AI) people. Among the many health problems affected by racial discrimination and oppression, both historical and current, are substance use disorders. Epidemiological studies have documented greater drug and alcohol-related morbidity and mortality among AI/AN Alaska Natives compared to other ethnic groups, and culturally appropriate, effective interventions are sorely needed. We collected, as part of a larger community-based participatory research project to address substance use disparities in rural AI communities, qualitative interview data from 25 AI key informants from a frontier reservation in Montana. Using a semistructured interview guide, we asked participants to discuss their perceptions of the causes of substance use problems and barriers to recovery on the reservation. Although no questions specifically asked about discrimination, key informants identified stress from racism as an important precipitant of substance use and barrier to recovery. As one participant stated: “Oppression is the overarching umbrella for all sickness with drugs and alcohol.” Participants also identified historical trauma resulting from colonization as a manifestation of race-based stress that drives behavioral health problems. Findings suggest that interventions for AIs with substance use disorders, and possibly other chronic health problems, may be more effective if they address social determinants of health such as racial discrimination and historical trauma. (PsycINFO Database Record (c) 2019 APA, all rights reserved) (Source: journal abstract)","container-title":"American Psychologist","DOI":"http://dx.doi.org.ezproxy.lib.ou.edu/10.1037/amp0000331","ISSN":"0003-066X","issue":"1","language":"English","page":"88-100","source":"ProQuest","title":"Understanding the link between racial trauma and substance use among American Indians","volume":"74","author":[{"family":"Skewes","given":"Monica C."},{"family":"Link to external site","given":"this","dropping-particle":"link will open in a new window"},{"family":"Blume","given":"Arthur W."}],"issued":{"date-parts":[["2019",1]]}}}],"schema":"https://github.com/citation-style-language/schema/raw/master/csl-citation.json"} </w:instrText>
      </w:r>
      <w:r>
        <w:fldChar w:fldCharType="separate"/>
      </w:r>
      <w:r>
        <w:rPr>
          <w:noProof/>
        </w:rPr>
        <w:t>(Skewes et al., 2019)</w:t>
      </w:r>
      <w:r>
        <w:fldChar w:fldCharType="end"/>
      </w:r>
      <w:r>
        <w:t>.</w:t>
      </w:r>
      <w:r w:rsidR="005F1C1C">
        <w:t xml:space="preserve"> </w:t>
      </w:r>
    </w:p>
    <w:p w14:paraId="2359BE34" w14:textId="56DEB52C" w:rsidR="00A2596F" w:rsidRDefault="00A2596F" w:rsidP="00A2596F">
      <w:pPr>
        <w:spacing w:line="480" w:lineRule="auto"/>
      </w:pPr>
      <w:r>
        <w:tab/>
        <w:t xml:space="preserve">Despite the legal gains in equality through emancipation and the Civil Rights Era, racism and prejudice still pervasively impacts </w:t>
      </w:r>
      <w:r w:rsidR="005F1C1C">
        <w:t>African Americans/Blacks</w:t>
      </w:r>
      <w:r>
        <w:t>.</w:t>
      </w:r>
      <w:r w:rsidR="005F1C1C">
        <w:t xml:space="preserve"> African Americans/Blacks</w:t>
      </w:r>
      <w:r>
        <w:t xml:space="preserve"> have been the central, target population of racism research, and research has proven discriminatory stress’ unfavorable health associations among Black adolescents </w:t>
      </w:r>
      <w:r>
        <w:fldChar w:fldCharType="begin"/>
      </w:r>
      <w:r>
        <w:instrText xml:space="preserve"> ADDIN ZOTERO_ITEM CSL_CITATION {"citationID":"47Sdp2hm","properties":{"formattedCitation":"(Simons et al., 2018)","plainCitation":"(Simons et al., 2018)","noteIndex":0},"citationItems":[{"id":95,"uris":["http://zotero.org/users/local/aUK5ZLEi/items/F3B665QW"],"uri":["http://zotero.org/users/local/aUK5ZLEi/items/F3B665QW"],"itemData":{"id":95,"type":"article-journal","abstract":"Several studies have reported a relation between race-related stressors and the poor health of Black Americans. Such findings raise questions regarding the mediating biological mechanisms that might account for this link. The present study investigated elevated systemic inflammation, a factor shown to be a strong predictor of chronic illness and mortality in all ethnic populations, as a possible factor. Using 7 waves of data from the Family and Community Health Study, collected over a 20-year period from over 400 Black Americans, we investigated the extent to which exposure to discrimination and segregation at various points in the life course predicted adult inflammation at age 28. Our analyses examined whether cumulative stress, stress generation, or predictive adaptive response (PAR) models best accounted for any associations that existed between these race-related stressors and adult inflammation. At every wave of data collection, assessments of discrimination and segregation were related to adult inflammation. However, multivariate analyses using structure equation modeling indicated that the PAR model best explained the effect of these race-related stressors on inflammation. Exposure to discrimination and segregation during the juvenile years predicted adult inflammation and amplified the inflammatory effect of adult exposure to these race-related stressors. These effects were considerably more robust than that of traditional health risk factors such as diet, exercise, smoking, and low SES. Implications of these findings are discussed, including the limitations of the widely accepted risk factor approach to increasing the health of Black Americans. (PsycINFO Database Record (c) 2018 APA, all rights reserved) (Source: journal abstract)","container-title":"Developmental Psychology","DOI":"http://dx.doi.org.ezproxy.lib.ou.edu/10.1037/dev0000511","ISSN":"0012-1649","issue":"10","language":"English","page":"1993-2006","source":"ProQuest","title":"Discrimination, segregation, and chronic inflammation: Testing the weathering explanation for the poor health of Black Americans","title-short":"Discrimination, segregation, and chronic inflammation","volume":"54","author":[{"family":"Simons","given":"Ronald L."},{"family":"Lei","given":"Man-Kit"},{"family":"Beach","given":"Steven R. H."},{"family":"Barr","given":"Ashley B."},{"family":"Simons","given":"Leslie G."},{"family":"Gibbons","given":"Frederick X."},{"family":"Philibert","given":"Robert A."}],"issued":{"date-parts":[["2018",10]]}}}],"schema":"https://github.com/citation-style-language/schema/raw/master/csl-citation.json"} </w:instrText>
      </w:r>
      <w:r>
        <w:fldChar w:fldCharType="separate"/>
      </w:r>
      <w:r>
        <w:rPr>
          <w:noProof/>
        </w:rPr>
        <w:t>(Simons et al., 2018)</w:t>
      </w:r>
      <w:r>
        <w:fldChar w:fldCharType="end"/>
      </w:r>
      <w:r>
        <w:t xml:space="preserve">, young adults </w:t>
      </w:r>
      <w:r>
        <w:fldChar w:fldCharType="begin"/>
      </w:r>
      <w:r>
        <w:instrText xml:space="preserve"> ADDIN ZOTERO_ITEM CSL_CITATION {"citationID":"F6PvdU2s","properties":{"formattedCitation":"(Pittman et al., 2019)","plainCitation":"(Pittman et al., 2019)","noteIndex":0},"citationItems":[{"id":111,"uris":["http://zotero.org/users/local/aUK5ZLEi/items/H2IIJ7FK"],"uri":["http://zotero.org/users/local/aUK5ZLEi/items/H2IIJ7FK"],"itemData":{"id":111,"type":"article-journal","abstract":"A motivational drinking framework is utilized to understand the relationship between minority stressors (e.g., race-related stress and acculturative stress) and alcohol use behaviors (risky alcohol use and coping-motivated drinking) among a large sample of Black American college students. Six hundred fortynine Black college students from 8 colleges and universities in the United States were recruited as part of a large, multiwave, cross-sectional study investigating the stress and coping experiences of Black emerging adults. Results from the current investigation provide support for the independent contributions of acculturative stress and race-related stress to the risky alcohol use behavior of Black college students, while acculturative stress significantly predicted coping-motivated drinking behaviors in the sample. Findings underscore the need to better understand the unique relationships between minority stress and risky alcohol use behaviors of Black college students, namely, relationships not shared by their nonminority peers that increase their risk of problem drinking.","container-title":"Journal of Ethnicity in Substance Abuse","DOI":"10.1080/15332640.2017.1336958","ISSN":"1533-2640, 1533-2659","issue":"2","journalAbbreviation":"Journal of Ethnicity in Substance Abuse","language":"en","page":"257-278","source":"DOI.org (Crossref)","title":"The cost of minority stress: Risky alcohol use and coping-motivated drinking behavior in African American college students","title-short":"The cost of minority stress","volume":"18","author":[{"family":"Pittman","given":"Delishia M."},{"family":"Brooks","given":"Jessica J."},{"family":"Kaur","given":"Paramjit"},{"family":"Obasi","given":"Ezemenari M."}],"issued":{"date-parts":[["2019",4,3]]}}}],"schema":"https://github.com/citation-style-language/schema/raw/master/csl-citation.json"} </w:instrText>
      </w:r>
      <w:r>
        <w:fldChar w:fldCharType="separate"/>
      </w:r>
      <w:r>
        <w:rPr>
          <w:noProof/>
        </w:rPr>
        <w:t>(Pittman et al., 2019)</w:t>
      </w:r>
      <w:r>
        <w:fldChar w:fldCharType="end"/>
      </w:r>
      <w:r>
        <w:t xml:space="preserve">, and elderly </w:t>
      </w:r>
      <w:r>
        <w:fldChar w:fldCharType="begin"/>
      </w:r>
      <w:r>
        <w:instrText xml:space="preserve"> ADDIN ZOTERO_ITEM CSL_CITATION {"citationID":"PFAj7uHy","properties":{"formattedCitation":"(Lee et al., 2017)","plainCitation":"(Lee et al., 2017)","noteIndex":0},"citationItems":[{"id":153,"uris":["http://zotero.org/users/local/aUK5ZLEi/items/4XXZHA6F"],"uri":["http://zotero.org/users/local/aUK5ZLEi/items/4XXZHA6F"],"itemData":{"id":153,"type":"article-journal","abstract":"Objective: Prior work shows that discrimination is associated with a wide array of negative health outcomes. However, the biological mechanisms through which this link occurs require more study. We evaluated the association between discrimination and leukocyte telomere length (LTL; a biological marker of systemic aging). Method: Cross-sectional data were from the Health and Retirement study, a study of people aged 51+ in the United States, and included 595 African American males and females. Multiple regression analyses were used to evaluate whether discrimination was independently associated with LTL. We also considered the role of potential confounders including sociodemographic factors, health factors, depressive symptoms, and stress. Results: High discrimination was associated with shorter LTL after controlling for sociodemographic factors (b = −.034, SE = 0.14, p = .017). This association persisted in analyses that further adjusted for health factors, depressive symptoms, and stress. Conclusion: Results suggest that discrimination experiences accelerate biological aging in older African American males and females, alike. This finding helps advance our understanding of how discrimination generates greater disease vulnerability and premature death in African Americans. (PsycINFO Database Record (c) 2019 APA, all rights reserved) (Source: journal abstract)","container-title":"Health Psychology","DOI":"http://dx.doi.org.ezproxy.lib.ou.edu/10.1037/hea0000450","ISSN":"0278-6133","issue":"5","language":"English","page":"458-467","source":"ProQuest","title":"The link between discrimination and telomere length in African American adults","volume":"36","author":[{"family":"Lee","given":"Daniel B."},{"family":"Kim","given":"Eric S."},{"family":"Neblett","given":"Enrique W."}],"issued":{"date-parts":[["2017",5]]}}}],"schema":"https://github.com/citation-style-language/schema/raw/master/csl-citation.json"} </w:instrText>
      </w:r>
      <w:r>
        <w:fldChar w:fldCharType="separate"/>
      </w:r>
      <w:r>
        <w:rPr>
          <w:noProof/>
        </w:rPr>
        <w:t>(Lee et al., 2017)</w:t>
      </w:r>
      <w:r>
        <w:fldChar w:fldCharType="end"/>
      </w:r>
      <w:r>
        <w:t>.</w:t>
      </w:r>
      <w:r w:rsidR="005F1C1C">
        <w:t xml:space="preserve"> </w:t>
      </w:r>
      <w:r>
        <w:t xml:space="preserve">The health outcomes range from maladaptive coping strategies </w:t>
      </w:r>
      <w:r>
        <w:fldChar w:fldCharType="begin"/>
      </w:r>
      <w:r>
        <w:instrText xml:space="preserve"> ADDIN ZOTERO_ITEM CSL_CITATION {"citationID":"SNzKF4Hs","properties":{"formattedCitation":"(Pittman et al., 2019)","plainCitation":"(Pittman et al., 2019)","noteIndex":0},"citationItems":[{"id":111,"uris":["http://zotero.org/users/local/aUK5ZLEi/items/H2IIJ7FK"],"uri":["http://zotero.org/users/local/aUK5ZLEi/items/H2IIJ7FK"],"itemData":{"id":111,"type":"article-journal","abstract":"A motivational drinking framework is utilized to understand the relationship between minority stressors (e.g., race-related stress and acculturative stress) and alcohol use behaviors (risky alcohol use and coping-motivated drinking) among a large sample of Black American college students. Six hundred fortynine Black college students from 8 colleges and universities in the United States were recruited as part of a large, multiwave, cross-sectional study investigating the stress and coping experiences of Black emerging adults. Results from the current investigation provide support for the independent contributions of acculturative stress and race-related stress to the risky alcohol use behavior of Black college students, while acculturative stress significantly predicted coping-motivated drinking behaviors in the sample. Findings underscore the need to better understand the unique relationships between minority stress and risky alcohol use behaviors of Black college students, namely, relationships not shared by their nonminority peers that increase their risk of problem drinking.","container-title":"Journal of Ethnicity in Substance Abuse","DOI":"10.1080/15332640.2017.1336958","ISSN":"1533-2640, 1533-2659","issue":"2","journalAbbreviation":"Journal of Ethnicity in Substance Abuse","language":"en","page":"257-278","source":"DOI.org (Crossref)","title":"The cost of minority stress: Risky alcohol use and coping-motivated drinking behavior in African American college students","title-short":"The cost of minority stress","volume":"18","author":[{"family":"Pittman","given":"Delishia M."},{"family":"Brooks","given":"Jessica J."},{"family":"Kaur","given":"Paramjit"},{"family":"Obasi","given":"Ezemenari M."}],"issued":{"date-parts":[["2019",4,3]]}}}],"schema":"https://github.com/citation-style-language/schema/raw/master/csl-citation.json"} </w:instrText>
      </w:r>
      <w:r>
        <w:fldChar w:fldCharType="separate"/>
      </w:r>
      <w:r>
        <w:rPr>
          <w:noProof/>
        </w:rPr>
        <w:t>(Pittman et al., 2019)</w:t>
      </w:r>
      <w:r>
        <w:fldChar w:fldCharType="end"/>
      </w:r>
      <w:r>
        <w:t xml:space="preserve"> to decreased leukocyte telomere length </w:t>
      </w:r>
      <w:r>
        <w:fldChar w:fldCharType="begin"/>
      </w:r>
      <w:r>
        <w:instrText xml:space="preserve"> ADDIN ZOTERO_ITEM CSL_CITATION {"citationID":"fhtwlmDV","properties":{"formattedCitation":"(Lee et al., 2017)","plainCitation":"(Lee et al., 2017)","noteIndex":0},"citationItems":[{"id":153,"uris":["http://zotero.org/users/local/aUK5ZLEi/items/4XXZHA6F"],"uri":["http://zotero.org/users/local/aUK5ZLEi/items/4XXZHA6F"],"itemData":{"id":153,"type":"article-journal","abstract":"Objective: Prior work shows that discrimination is associated with a wide array of negative health outcomes. However, the biological mechanisms through which this link occurs require more study. We evaluated the association between discrimination and leukocyte telomere length (LTL; a biological marker of systemic aging). Method: Cross-sectional data were from the Health and Retirement study, a study of people aged 51+ in the United States, and included 595 African American males and females. Multiple regression analyses were used to evaluate whether discrimination was independently associated with LTL. We also considered the role of potential confounders including sociodemographic factors, health factors, depressive symptoms, and stress. Results: High discrimination was associated with shorter LTL after controlling for sociodemographic factors (b = −.034, SE = 0.14, p = .017). This association persisted in analyses that further adjusted for health factors, depressive symptoms, and stress. Conclusion: Results suggest that discrimination experiences accelerate biological aging in older African American males and females, alike. This finding helps advance our understanding of how discrimination generates greater disease vulnerability and premature death in African Americans. (PsycINFO Database Record (c) 2019 APA, all rights reserved) (Source: journal abstract)","container-title":"Health Psychology","DOI":"http://dx.doi.org.ezproxy.lib.ou.edu/10.1037/hea0000450","ISSN":"0278-6133","issue":"5","language":"English","page":"458-467","source":"ProQuest","title":"The link between discrimination and telomere length in African American adults","volume":"36","author":[{"family":"Lee","given":"Daniel B."},{"family":"Kim","given":"Eric S."},{"family":"Neblett","given":"Enrique W."}],"issued":{"date-parts":[["2017",5]]}}}],"schema":"https://github.com/citation-style-language/schema/raw/master/csl-citation.json"} </w:instrText>
      </w:r>
      <w:r>
        <w:fldChar w:fldCharType="separate"/>
      </w:r>
      <w:r>
        <w:rPr>
          <w:noProof/>
        </w:rPr>
        <w:t>(Lee et al., 2017)</w:t>
      </w:r>
      <w:r>
        <w:fldChar w:fldCharType="end"/>
      </w:r>
      <w:r>
        <w:t>.</w:t>
      </w:r>
      <w:r w:rsidR="005F1C1C">
        <w:t xml:space="preserve"> </w:t>
      </w:r>
      <w:r>
        <w:t xml:space="preserve">However, </w:t>
      </w:r>
      <w:r w:rsidR="005F1C1C">
        <w:t>African Americans/Blacks</w:t>
      </w:r>
      <w:r>
        <w:t xml:space="preserve"> may have a unique protective strategy.</w:t>
      </w:r>
      <w:r w:rsidR="005F1C1C">
        <w:t xml:space="preserve"> </w:t>
      </w:r>
      <w:r>
        <w:t xml:space="preserve">Although </w:t>
      </w:r>
      <w:r w:rsidR="005F1C1C">
        <w:t>African Americans/Blacks</w:t>
      </w:r>
      <w:r>
        <w:t xml:space="preserve"> reported the highest levels of individual, cultural, and institutional race-related stress compared to Latino and Asian Americans, they had the highest levels of psychological well-being and overall quality of life </w:t>
      </w:r>
      <w:r>
        <w:fldChar w:fldCharType="begin"/>
      </w:r>
      <w:r>
        <w:instrText xml:space="preserve"> ADDIN ZOTERO_ITEM CSL_CITATION {"citationID":"JHicHqx9","properties":{"formattedCitation":"(Utsey et al., 2002)","plainCitation":"(Utsey et al., 2002)","noteIndex":0},"citationItems":[{"id":147,"uris":["http://zotero.org/users/local/aUK5ZLEi/items/ZLWKJX34"],"uri":["http://zotero.org/users/local/aUK5ZLEi/items/ZLWKJX34"],"itemData":{"id":147,"type":"article-journal","abstract":"This study examined the effect of ethnic group membership on ethnic identity, race-related stress, and quality of life (QOL). The Multigroup Ethnic Identity Measure, the Index of Race Related Stress-Brief Version, and the World Health Organization Quality of Life-Brief Version were administered to 160 male and female participants from 3 ethnic groups (African American, Asian American, and Latino American). Results indicated that African American participants had significantly higher race-related stress, ethnic identity, and psychological QOL scores than did Asian and Latino American participants. A stepwise multiple regression analysis revealed that ethnic identity and cultural racism were significant predictors of QOL and accounted for 16% of the total variance for the entire sample. (PsycINFO Database Record (c) 2017 APA, all rights reserved) (Source: journal abstract)","container-title":"Cultural Diversity and Ethnic Minority Psychology","DOI":"http://dx.doi.org.ezproxy.lib.ou.edu/10.1037/1099-9809.8.4.367","ISSN":"1099-9809","issue":"4","language":"English","page":"366-377","source":"ProQuest","title":"Effect of ethnic group membership on ethnic identity, race-related stress, and quality of life","volume":"8","author":[{"family":"Utsey","given":"Shawn O."},{"family":"Chae","given":"Mark H."},{"family":"Brown","given":"Christa F."},{"family":"Kelly","given":"Deborah"}],"issued":{"date-parts":[["2002",11]]}}}],"schema":"https://github.com/citation-style-language/schema/raw/master/csl-citation.json"} </w:instrText>
      </w:r>
      <w:r>
        <w:fldChar w:fldCharType="separate"/>
      </w:r>
      <w:r>
        <w:rPr>
          <w:noProof/>
        </w:rPr>
        <w:t>(Utsey et al., 2002)</w:t>
      </w:r>
      <w:r>
        <w:fldChar w:fldCharType="end"/>
      </w:r>
      <w:r>
        <w:t>.</w:t>
      </w:r>
      <w:r w:rsidR="005F1C1C">
        <w:t xml:space="preserve"> </w:t>
      </w:r>
      <w:r>
        <w:t xml:space="preserve">Cultural bonds and identity is associated with increases in quality of life, and compared to other </w:t>
      </w:r>
      <w:r>
        <w:lastRenderedPageBreak/>
        <w:t xml:space="preserve">races, </w:t>
      </w:r>
      <w:r w:rsidR="005F1C1C">
        <w:t>African Americans/Blacks</w:t>
      </w:r>
      <w:r>
        <w:t xml:space="preserve"> have higher levels of ethnic identity affirmation </w:t>
      </w:r>
      <w:r>
        <w:fldChar w:fldCharType="begin"/>
      </w:r>
      <w:r>
        <w:instrText xml:space="preserve"> ADDIN ZOTERO_ITEM CSL_CITATION {"citationID":"nCL8GOZd","properties":{"formattedCitation":"(Driscoll et al., 2015; Utsey et al., 2002)","plainCitation":"(Driscoll et al., 2015; Utsey et al., 2002)","noteIndex":0},"citationItems":[{"id":112,"uris":["http://zotero.org/users/local/aUK5ZLEi/items/BCBREFNF"],"uri":["http://zotero.org/users/local/aUK5ZLEi/items/BCBREFNF"],"itemData":{"id":112,"type":"article-journal","abstract":"This study used a cultural stress and coping framework to investigate the influence of three dimensions of discrimination-based race-related stress (i.e., individual, institutional, and cultural) and collective efficacy on African American life satisfaction. African American adults (N = 247) completed self-report measures of race-related stress, collective efficacy, and life satisfaction. Analyses indicated that all three forms of race-related stress were significantly associated with lower life satisfaction, and that collective efficacy was significantly associated with greater life satisfaction. Moderated analyses further revealed that collective efficacy significantly protected against the influence of race-related stress on life satisfaction for cultural race-related stress and, possibly, individual race-related stress. The results suggest that sociocultural resources such as collective efficacy may serve as protective factors against racial discrimination through enhanced social cohesion and community agency. Results are further considered in the context of stress and coping models that emphasize secondary coping processes and use of collective coping. Clinical and theoretical implications of collective efficacy as a sociocultural resource for the promotion of African American mental health are discussed.","container-title":"Journal of Black Psychology","DOI":"10.1177/0095798414543690","ISSN":"0095-7984","issue":"5","journalAbbreviation":"Journal of Black Psychology","page":"462-486","source":"SAGE Journals","title":"Dimensions of Race-Related Stress and African American Life Satisfaction: A Test of the Protective Role of Collective Efficacy","title-short":"Dimensions of Race-Related Stress and African American Life Satisfaction","volume":"41","author":[{"family":"Driscoll","given":"Mark W."},{"family":"Reynolds","given":"Jason R."},{"family":"Todman","given":"Lynn C."}],"issued":{"date-parts":[["2015",10,1]]}}},{"id":147,"uris":["http://zotero.org/users/local/aUK5ZLEi/items/ZLWKJX34"],"uri":["http://zotero.org/users/local/aUK5ZLEi/items/ZLWKJX34"],"itemData":{"id":147,"type":"article-journal","abstract":"This study examined the effect of ethnic group membership on ethnic identity, race-related stress, and quality of life (QOL). The Multigroup Ethnic Identity Measure, the Index of Race Related Stress-Brief Version, and the World Health Organization Quality of Life-Brief Version were administered to 160 male and female participants from 3 ethnic groups (African American, Asian American, and Latino American). Results indicated that African American participants had significantly higher race-related stress, ethnic identity, and psychological QOL scores than did Asian and Latino American participants. A stepwise multiple regression analysis revealed that ethnic identity and cultural racism were significant predictors of QOL and accounted for 16% of the total variance for the entire sample. (PsycINFO Database Record (c) 2017 APA, all rights reserved) (Source: journal abstract)","container-title":"Cultural Diversity and Ethnic Minority Psychology","DOI":"http://dx.doi.org.ezproxy.lib.ou.edu/10.1037/1099-9809.8.4.367","ISSN":"1099-9809","issue":"4","language":"English","page":"366-377","source":"ProQuest","title":"Effect of ethnic group membership on ethnic identity, race-related stress, and quality of life","volume":"8","author":[{"family":"Utsey","given":"Shawn O."},{"family":"Chae","given":"Mark H."},{"family":"Brown","given":"Christa F."},{"family":"Kelly","given":"Deborah"}],"issued":{"date-parts":[["2002",11]]}}}],"schema":"https://github.com/citation-style-language/schema/raw/master/csl-citation.json"} </w:instrText>
      </w:r>
      <w:r>
        <w:fldChar w:fldCharType="separate"/>
      </w:r>
      <w:r>
        <w:rPr>
          <w:noProof/>
        </w:rPr>
        <w:t>(Driscoll et al., 2015; Utsey et al., 2002)</w:t>
      </w:r>
      <w:r>
        <w:fldChar w:fldCharType="end"/>
      </w:r>
      <w:r>
        <w:t>.</w:t>
      </w:r>
      <w:r w:rsidR="005F1C1C">
        <w:t xml:space="preserve"> </w:t>
      </w:r>
      <w:r>
        <w:t>They may combat extensive discrimination with cultural ties and group unity.</w:t>
      </w:r>
      <w:r w:rsidR="005F1C1C">
        <w:t xml:space="preserve"> </w:t>
      </w:r>
      <w:r>
        <w:t xml:space="preserve">Ultimately, though, this race has a lower life expectancy and higher rates of chronic diseases than the white majority and other </w:t>
      </w:r>
      <w:r w:rsidR="00D722AF">
        <w:t>racial/ethnic</w:t>
      </w:r>
      <w:r>
        <w:t xml:space="preserve"> minority groups </w:t>
      </w:r>
      <w:r>
        <w:fldChar w:fldCharType="begin"/>
      </w:r>
      <w:r>
        <w:instrText xml:space="preserve"> ADDIN ZOTERO_ITEM CSL_CITATION {"citationID":"ifb7MQ70","properties":{"formattedCitation":"(Lee et al., 2017)","plainCitation":"(Lee et al., 2017)","noteIndex":0},"citationItems":[{"id":153,"uris":["http://zotero.org/users/local/aUK5ZLEi/items/4XXZHA6F"],"uri":["http://zotero.org/users/local/aUK5ZLEi/items/4XXZHA6F"],"itemData":{"id":153,"type":"article-journal","abstract":"Objective: Prior work shows that discrimination is associated with a wide array of negative health outcomes. However, the biological mechanisms through which this link occurs require more study. We evaluated the association between discrimination and leukocyte telomere length (LTL; a biological marker of systemic aging). Method: Cross-sectional data were from the Health and Retirement study, a study of people aged 51+ in the United States, and included 595 African American males and females. Multiple regression analyses were used to evaluate whether discrimination was independently associated with LTL. We also considered the role of potential confounders including sociodemographic factors, health factors, depressive symptoms, and stress. Results: High discrimination was associated with shorter LTL after controlling for sociodemographic factors (b = −.034, SE = 0.14, p = .017). This association persisted in analyses that further adjusted for health factors, depressive symptoms, and stress. Conclusion: Results suggest that discrimination experiences accelerate biological aging in older African American males and females, alike. This finding helps advance our understanding of how discrimination generates greater disease vulnerability and premature death in African Americans. (PsycINFO Database Record (c) 2019 APA, all rights reserved) (Source: journal abstract)","container-title":"Health Psychology","DOI":"http://dx.doi.org.ezproxy.lib.ou.edu/10.1037/hea0000450","ISSN":"0278-6133","issue":"5","language":"English","page":"458-467","source":"ProQuest","title":"The link between discrimination and telomere length in African American adults","volume":"36","author":[{"family":"Lee","given":"Daniel B."},{"family":"Kim","given":"Eric S."},{"family":"Neblett","given":"Enrique W."}],"issued":{"date-parts":[["2017",5]]}}}],"schema":"https://github.com/citation-style-language/schema/raw/master/csl-citation.json"} </w:instrText>
      </w:r>
      <w:r>
        <w:fldChar w:fldCharType="separate"/>
      </w:r>
      <w:r>
        <w:rPr>
          <w:noProof/>
        </w:rPr>
        <w:t>(Lee et al., 2017)</w:t>
      </w:r>
      <w:r>
        <w:fldChar w:fldCharType="end"/>
      </w:r>
      <w:r>
        <w:t>.</w:t>
      </w:r>
    </w:p>
    <w:p w14:paraId="44E29CDE" w14:textId="3DC0DDF7" w:rsidR="00A2596F" w:rsidRPr="00314EAA" w:rsidRDefault="00A2596F" w:rsidP="00A2596F">
      <w:pPr>
        <w:spacing w:line="480" w:lineRule="auto"/>
      </w:pPr>
      <w:r>
        <w:tab/>
        <w:t xml:space="preserve">In addition to white inferiority, Latino and Hispanic Americans may be regularly questioned about their immigration and legal status </w:t>
      </w:r>
      <w:r>
        <w:fldChar w:fldCharType="begin"/>
      </w:r>
      <w:r>
        <w:instrText xml:space="preserve"> ADDIN ZOTERO_ITEM CSL_CITATION {"citationID":"bxCFSDW6","properties":{"formattedCitation":"(Huynh et al., 2012)","plainCitation":"(Huynh et al., 2012)","noteIndex":0},"citationItems":[{"id":155,"uris":["http://zotero.org/users/local/aUK5ZLEi/items/7TWWSCF9"],"uri":["http://zotero.org/users/local/aUK5ZLEi/items/7TWWSCF9"],"itemData":{"id":155,"type":"article-journal","abstract":"When studying discrimination, it is important to examine both perceived frequency and stress associated with these experiences, as well as the interplay between these two dimensions. Using data from Latino/a participants (N = 168), we found an interaction effect of the reported frequency and reported stressfulness of discrimination on psychological distress (depression and anxiety), such that frequency predicted greater psychological distress for low-stress events, but high-stress events were associated with greater distress regardless of frequency. In addition, using the constructs of “stated” and “derived” stressfulness, we found that the frequency of experiences of discrimination that were rated as less stressful were, in fact, correlated with greater psychological distress. Discrimination events not experienced as stressful nonetheless may have negative implications for the target, especially if they occur frequently. (PsycINFO Database Record (c) 2016 APA, all rights reserved) (Source: journal abstract)","container-title":"Cultural Diversity and Ethnic Minority Psychology","DOI":"http://dx.doi.org.ezproxy.lib.ou.edu/10.1037/a0026601","ISSN":"1099-9809","issue":"1","language":"English","page":"26-34","source":"ProQuest","title":"The psychological costs of painless but recurring experiences of racial discrimination","volume":"18","author":[{"family":"Huynh","given":"Que-Lam"},{"family":"Devos","given":"Thierry"},{"family":"Dunbar","given":"Cheyenne M."}],"issued":{"date-parts":[["2012",1]]}}}],"schema":"https://github.com/citation-style-language/schema/raw/master/csl-citation.json"} </w:instrText>
      </w:r>
      <w:r>
        <w:fldChar w:fldCharType="separate"/>
      </w:r>
      <w:r>
        <w:rPr>
          <w:noProof/>
        </w:rPr>
        <w:t>(Huynh et al., 2012)</w:t>
      </w:r>
      <w:r>
        <w:fldChar w:fldCharType="end"/>
      </w:r>
      <w:r>
        <w:t>.</w:t>
      </w:r>
      <w:r w:rsidR="005F1C1C">
        <w:t xml:space="preserve"> </w:t>
      </w:r>
      <w:r>
        <w:t xml:space="preserve">Like American Indians, they may also feel pressured to adopt white, American culture and renounce their own </w:t>
      </w:r>
      <w:r>
        <w:fldChar w:fldCharType="begin"/>
      </w:r>
      <w:r>
        <w:instrText xml:space="preserve"> ADDIN ZOTERO_ITEM CSL_CITATION {"citationID":"TgtKKyFJ","properties":{"formattedCitation":"(Higgins Neyland &amp; Bardone-Cone, 2017)","plainCitation":"(Higgins Neyland &amp; Bardone-Cone, 2017)","noteIndex":0},"citationItems":[{"id":4,"uris":["http://zotero.org/users/local/aUK5ZLEi/items/5WIXFV2L"],"uri":["http://zotero.org/users/local/aUK5ZLEi/items/5WIXFV2L"],"itemData":{"id":4,"type":"article-journal","abstract":"Objectives: Despite comparable prevalence of some eating disorders (e.g., binge eating disorder) among Latinas compared with Caucasians, eating disorders are still thought of as primarily afflicting Caucasian women. This has led to a lag in research on eating disorders among Latinas. Our objective was to test 3 escape theory models involving the culturally specific independent variables of acculturative stress, family disconnection, and discriminatory stress; the mediator of negative affect; and the dependent variable of binge eating frequency. Method: We recruited a female sample of 119 Latinas (78 who have suffered from an eating disorder, 41 who have never had an eating disorder). Results: Results indicated that all of the relationships between culturally specific factors and binge eating were mediated by negative affect, and that there was a significant direct pathway from discriminatory stress to binge eating. Conclusions: Findings from this study can be used to tailor interventions to Latinas who engage in binge eating, targeting culturally specific factors and their relationships with negative affect and binge eating. (PsycINFO Database Record (c) 2017 APA, all rights reserved) (Source: journal abstract)","container-title":"Cultural Diversity and Ethnic Minority Psychology","DOI":"http://dx.doi.org.ezproxy.lib.ou.edu/10.1037/cdp0000130","ISSN":"1099-9809","issue":"3","language":"English","page":"373-381","source":"ProQuest","title":"Tests of escape theory of binge eating among Latinas","volume":"23","author":[{"family":"Higgins Neyland","given":"M. K."},{"family":"Bardone-Cone","given":"Anna M."}],"issued":{"date-parts":[["2017",7]]}}}],"schema":"https://github.com/citation-style-language/schema/raw/master/csl-citation.json"} </w:instrText>
      </w:r>
      <w:r>
        <w:fldChar w:fldCharType="separate"/>
      </w:r>
      <w:r>
        <w:rPr>
          <w:noProof/>
        </w:rPr>
        <w:t>(</w:t>
      </w:r>
      <w:r w:rsidR="00932390">
        <w:rPr>
          <w:noProof/>
        </w:rPr>
        <w:t>Higgins-Neyland</w:t>
      </w:r>
      <w:r>
        <w:rPr>
          <w:noProof/>
        </w:rPr>
        <w:t xml:space="preserve"> &amp; Bardone-Cone, 2017)</w:t>
      </w:r>
      <w:r>
        <w:fldChar w:fldCharType="end"/>
      </w:r>
      <w:r>
        <w:t>.</w:t>
      </w:r>
      <w:r w:rsidR="005F1C1C">
        <w:t xml:space="preserve"> </w:t>
      </w:r>
      <w:r>
        <w:t>However, blatant or covert discrimination may not always be appraised as stressful.</w:t>
      </w:r>
      <w:r w:rsidR="005F1C1C">
        <w:t xml:space="preserve"> </w:t>
      </w:r>
      <w:r>
        <w:t xml:space="preserve">A sample of 168 Latino American adults reported a low amount of stress from discrimination; however, both perceived stressfulness </w:t>
      </w:r>
      <w:r w:rsidRPr="000409D6">
        <w:t xml:space="preserve">and </w:t>
      </w:r>
      <w:r>
        <w:t>frequency of discrimination were predictive of psychological stress.</w:t>
      </w:r>
      <w:r w:rsidR="005F1C1C">
        <w:t xml:space="preserve"> </w:t>
      </w:r>
      <w:r>
        <w:t>When frequency was increased, symptoms of depression and anxiety were subsequently increased, no matter the level of perceived stress.</w:t>
      </w:r>
      <w:r w:rsidR="005F1C1C">
        <w:t xml:space="preserve"> </w:t>
      </w:r>
      <w:r>
        <w:t xml:space="preserve">Despite discriminatory acts failing to be appraised as stress, these events still had negative psychological impacts on participants </w:t>
      </w:r>
      <w:r>
        <w:fldChar w:fldCharType="begin"/>
      </w:r>
      <w:r>
        <w:instrText xml:space="preserve"> ADDIN ZOTERO_ITEM CSL_CITATION {"citationID":"74MdfYNL","properties":{"formattedCitation":"(Huynh et al., 2012)","plainCitation":"(Huynh et al., 2012)","noteIndex":0},"citationItems":[{"id":155,"uris":["http://zotero.org/users/local/aUK5ZLEi/items/7TWWSCF9"],"uri":["http://zotero.org/users/local/aUK5ZLEi/items/7TWWSCF9"],"itemData":{"id":155,"type":"article-journal","abstract":"When studying discrimination, it is important to examine both perceived frequency and stress associated with these experiences, as well as the interplay between these two dimensions. Using data from Latino/a participants (N = 168), we found an interaction effect of the reported frequency and reported stressfulness of discrimination on psychological distress (depression and anxiety), such that frequency predicted greater psychological distress for low-stress events, but high-stress events were associated with greater distress regardless of frequency. In addition, using the constructs of “stated” and “derived” stressfulness, we found that the frequency of experiences of discrimination that were rated as less stressful were, in fact, correlated with greater psychological distress. Discrimination events not experienced as stressful nonetheless may have negative implications for the target, especially if they occur frequently. (PsycINFO Database Record (c) 2016 APA, all rights reserved) (Source: journal abstract)","container-title":"Cultural Diversity and Ethnic Minority Psychology","DOI":"http://dx.doi.org.ezproxy.lib.ou.edu/10.1037/a0026601","ISSN":"1099-9809","issue":"1","language":"English","page":"26-34","source":"ProQuest","title":"The psychological costs of painless but recurring experiences of racial discrimination","volume":"18","author":[{"family":"Huynh","given":"Que-Lam"},{"family":"Devos","given":"Thierry"},{"family":"Dunbar","given":"Cheyenne M."}],"issued":{"date-parts":[["2012",1]]}}}],"schema":"https://github.com/citation-style-language/schema/raw/master/csl-citation.json"} </w:instrText>
      </w:r>
      <w:r>
        <w:fldChar w:fldCharType="separate"/>
      </w:r>
      <w:r>
        <w:rPr>
          <w:noProof/>
        </w:rPr>
        <w:t>(Huynh et al., 2012)</w:t>
      </w:r>
      <w:r>
        <w:fldChar w:fldCharType="end"/>
      </w:r>
      <w:r>
        <w:t>.</w:t>
      </w:r>
      <w:r w:rsidR="005F1C1C">
        <w:t xml:space="preserve"> </w:t>
      </w:r>
      <w:r>
        <w:t>Even when prejudiced treatment may not feel as distressing, discriminatory stress can still subconsciously affect this minority and hinder their health as a result.</w:t>
      </w:r>
    </w:p>
    <w:p w14:paraId="44A8D188" w14:textId="77777777" w:rsidR="00A2596F" w:rsidRDefault="00A2596F" w:rsidP="00A2596F">
      <w:pPr>
        <w:spacing w:line="480" w:lineRule="auto"/>
        <w:rPr>
          <w:b/>
          <w:bCs/>
        </w:rPr>
      </w:pPr>
      <w:r w:rsidRPr="00AA685E">
        <w:rPr>
          <w:b/>
          <w:bCs/>
        </w:rPr>
        <w:t>Discriminatory Stress and Health</w:t>
      </w:r>
    </w:p>
    <w:p w14:paraId="1B7B22EE" w14:textId="600233F6" w:rsidR="00A2596F" w:rsidRPr="005275F3" w:rsidRDefault="00A2596F" w:rsidP="00A2596F">
      <w:pPr>
        <w:spacing w:line="480" w:lineRule="auto"/>
      </w:pPr>
      <w:r>
        <w:rPr>
          <w:b/>
          <w:bCs/>
        </w:rPr>
        <w:tab/>
      </w:r>
      <w:r>
        <w:t xml:space="preserve">In spite of their distinctions and unique experiences, American Indians, </w:t>
      </w:r>
      <w:r w:rsidR="005F1C1C">
        <w:t>African Americans/Blacks</w:t>
      </w:r>
      <w:r>
        <w:t xml:space="preserve">, Hispanic Americans, and Latino Americans all report discrimination to be a significant source of stress, and their health is consequentially diminished </w:t>
      </w:r>
      <w:r>
        <w:fldChar w:fldCharType="begin"/>
      </w:r>
      <w:r>
        <w:instrText xml:space="preserve"> ADDIN ZOTERO_ITEM CSL_CITATION {"citationID":"wFX2XGfY","properties":{"formattedCitation":"(Higgins Neyland &amp; Bardone-Cone, 2017; Jones &amp; Galliher, 2015; Utsey et al., 2002)","plainCitation":"(Higgins Neyland &amp; Bardone-Cone, 2017; Jones &amp; Galliher, 2015; Utsey et al., 2002)","noteIndex":0},"citationItems":[{"id":4,"uris":["http://zotero.org/users/local/aUK5ZLEi/items/5WIXFV2L"],"uri":["http://zotero.org/users/local/aUK5ZLEi/items/5WIXFV2L"],"itemData":{"id":4,"type":"article-journal","abstract":"Objectives: Despite comparable prevalence of some eating disorders (e.g., binge eating disorder) among Latinas compared with Caucasians, eating disorders are still thought of as primarily afflicting Caucasian women. This has led to a lag in research on eating disorders among Latinas. Our objective was to test 3 escape theory models involving the culturally specific independent variables of acculturative stress, family disconnection, and discriminatory stress; the mediator of negative affect; and the dependent variable of binge eating frequency. Method: We recruited a female sample of 119 Latinas (78 who have suffered from an eating disorder, 41 who have never had an eating disorder). Results: Results indicated that all of the relationships between culturally specific factors and binge eating were mediated by negative affect, and that there was a significant direct pathway from discriminatory stress to binge eating. Conclusions: Findings from this study can be used to tailor interventions to Latinas who engage in binge eating, targeting culturally specific factors and their relationships with negative affect and binge eating. (PsycINFO Database Record (c) 2017 APA, all rights reserved) (Source: journal abstract)","container-title":"Cultural Diversity and Ethnic Minority Psychology","DOI":"http://dx.doi.org.ezproxy.lib.ou.edu/10.1037/cdp0000130","ISSN":"1099-9809","issue":"3","language":"English","page":"373-381","source":"ProQuest","title":"Tests of escape theory of binge eating among Latinas","volume":"23","author":[{"family":"Higgins Neyland","given":"M. K."},{"family":"Bardone-Cone","given":"Anna M."}],"issued":{"date-parts":[["2017",7]]}}},{"id":174,"uris":["http://zotero.org/users/local/aUK5ZLEi/items/B56N9B6K"],"uri":["http://zotero.org/users/local/aUK5ZLEi/items/B56N9B6K"],"itemData":{"id":174,"type":"article-journal","abstract":"The current study investigated 114 Native American young adults’ experiences of racial microaggressions, and links between microaggression experiences and self-reported ethnic and cultural identification. Microaggressions were assessed using the Daily Racial Microaggressions Scale, Short Form (DRM). Ethnic identity and cultural participation were assessed using the Multigroup Ethnic Identity Measure (MEIM) and the Orthogonal Cultural Identification Scale (OCIS). Participants reported strong identification with their Native/indigenous ethnicity, along with stronger commitment than exploration on the 2 MEIM subscales. On the OCIS, participants reported moderately strong identification with Native culture and practices, with strong identification with White American culture. Females reported higher White identification than males, and females also reported significantly stronger identification with White culture than Native. On the DRM, 98% of participants reported experiencing at least 1 type of racial microaggression. Generally, the extent to which participants were upset by the microaggressions was mild, but all types of microaggressions received ratings from not upsetting at all to extremely upsetting. Microinvalidations were significantly more upsetting than microinsults for females, but there was no difference among the forms of microaggression for males. Correlational findings demonstrated that greater Native identification was strongly associated with more microaggression experiences, especially among males. Regression analyses found several identity correlates of microaggression experiences. “Assumption of criminality” and “assumed superiority of White values” were most frequently associated with identity scales. Results are discussed within the context of identity development theory. (PsycINFO Database Record (c) 2016 APA, all rights reserved) (Source: journal abstract)","container-title":"Cultural Diversity and Ethnic Minority Psychology","DOI":"http://dx.doi.org.ezproxy.lib.ou.edu/10.1037/a0037537","ISSN":"1099-9809","issue":"1","language":"English","page":"1-9","source":"ProQuest","title":"Daily racial microaggressions and ethnic identification among Native American young adults","volume":"21","author":[{"family":"Jones","given":"Merrill L."},{"family":"Galliher","given":"Renee V."}],"issued":{"date-parts":[["2015",1]]}}},{"id":147,"uris":["http://zotero.org/users/local/aUK5ZLEi/items/ZLWKJX34"],"uri":["http://zotero.org/users/local/aUK5ZLEi/items/ZLWKJX34"],"itemData":{"id":147,"type":"article-journal","abstract":"This study examined the effect of ethnic group membership on ethnic identity, race-related stress, and quality of life (QOL). The Multigroup Ethnic Identity Measure, the Index of Race Related Stress-Brief Version, and the World Health Organization Quality of Life-Brief Version were administered to 160 male and female participants from 3 ethnic groups (African American, Asian American, and Latino American). Results indicated that African American participants had significantly higher race-related stress, ethnic identity, and psychological QOL scores than did Asian and Latino American participants. A stepwise multiple regression analysis revealed that ethnic identity and cultural racism were significant predictors of QOL and accounted for 16% of the total variance for the entire sample. (PsycINFO Database Record (c) 2017 APA, all rights reserved) (Source: journal abstract)","container-title":"Cultural Diversity and Ethnic Minority Psychology","DOI":"http://dx.doi.org.ezproxy.lib.ou.edu/10.1037/1099-9809.8.4.367","ISSN":"1099-9809","issue":"4","language":"English","page":"366-377","source":"ProQuest","title":"Effect of ethnic group membership on ethnic identity, race-related stress, and quality of life","volume":"8","author":[{"family":"Utsey","given":"Shawn O."},{"family":"Chae","given":"Mark H."},{"family":"Brown","given":"Christa F."},{"family":"Kelly","given":"Deborah"}],"issued":{"date-parts":[["2002",11]]}}}],"schema":"https://github.com/citation-style-language/schema/raw/master/csl-citation.json"} </w:instrText>
      </w:r>
      <w:r>
        <w:fldChar w:fldCharType="separate"/>
      </w:r>
      <w:r>
        <w:rPr>
          <w:noProof/>
        </w:rPr>
        <w:t>(</w:t>
      </w:r>
      <w:r w:rsidR="00932390">
        <w:rPr>
          <w:noProof/>
        </w:rPr>
        <w:t>Higgins-Neyland</w:t>
      </w:r>
      <w:r>
        <w:rPr>
          <w:noProof/>
        </w:rPr>
        <w:t xml:space="preserve"> &amp; Bardone-Cone, 2017; Jones &amp; Galliher, 2015; Utsey et al., 2002)</w:t>
      </w:r>
      <w:r>
        <w:fldChar w:fldCharType="end"/>
      </w:r>
      <w:r>
        <w:t>.</w:t>
      </w:r>
      <w:r w:rsidR="005F1C1C">
        <w:t xml:space="preserve"> </w:t>
      </w:r>
      <w:r>
        <w:t xml:space="preserve">Increased exposure to discriminatory stress without proper coping strategies may result in biological changes (e.g., increased sympathetic nervous system activation or high resting blood pressure) that lead to </w:t>
      </w:r>
      <w:r>
        <w:lastRenderedPageBreak/>
        <w:t xml:space="preserve">long-lasting health problems </w:t>
      </w:r>
      <w:r>
        <w:fldChar w:fldCharType="begin"/>
      </w:r>
      <w:r>
        <w:instrText xml:space="preserve"> ADDIN ZOTERO_ITEM CSL_CITATION {"citationID":"XievVjtY","properties":{"formattedCitation":"(R. Clark et al., 1999)","plainCitation":"(R. Clark et al., 1999)","noteIndex":0},"citationItems":[{"id":58,"uris":["http://zotero.org/users/local/aUK5ZLEi/items/W6CA634W"],"uri":["http://zotero.org/users/local/aUK5ZLEi/items/W6CA634W"],"itemData":{"id":58,"type":"article-journal","abstract":"Various authors have noted that interethnic group and intraethnic group racism are significant stressors for many African Americans. As such, intergroup and intragroup racism may play a role in the high rates of morbidity and mortality in this population. Yet, although scientific examinations of the effects of stress have proliferated, few researchers have explored the psychological, social, and physiological effects of perceived racism among African Americans. The purpose of this article was to outline a biopsychosocial model for perceived racism as a guide for future research. The first section of this article provides a brief overview of how racism has been conceptualized in the scientific literature. The second section reviews research exploring the existence of intergroup and intragroup racism. A contextual model for systematic studies of the biopsychosocial effects of perceived racism is then presented, along with recommendations for future research. (PsycINFO Database Record (c) 2016 APA, all rights reserved) (Source: journal abstract)","container-title":"American Psychologist","DOI":"http://dx.doi.org.ezproxy.lib.ou.edu/10.1037/0003-066X.54.10.805","ISSN":"0003-066X","issue":"10","language":"English","page":"805-816","source":"ProQuest","title":"Racism as a stressor for African Americans: A biopsychosocial model","title-short":"Racism as a stressor for African Americans","volume":"54","author":[{"family":"Clark","given":"Rodney"},{"family":"Anderson","given":"Norman B."},{"family":"Clark","given":"Vernessa R."},{"family":"Williams","given":"David R."}],"issued":{"date-parts":[["1999",10]]}}}],"schema":"https://github.com/citation-style-language/schema/raw/master/csl-citation.json"} </w:instrText>
      </w:r>
      <w:r>
        <w:fldChar w:fldCharType="separate"/>
      </w:r>
      <w:r>
        <w:rPr>
          <w:noProof/>
        </w:rPr>
        <w:t>(Clark et al., 1999)</w:t>
      </w:r>
      <w:r>
        <w:fldChar w:fldCharType="end"/>
      </w:r>
      <w:r>
        <w:t>.</w:t>
      </w:r>
      <w:r w:rsidR="005F1C1C">
        <w:t xml:space="preserve"> </w:t>
      </w:r>
      <w:r>
        <w:t xml:space="preserve">With poorer health outcomes and growing health disparities, researchers point to discriminatory stress as the key contributing factor </w:t>
      </w:r>
      <w:r>
        <w:fldChar w:fldCharType="begin"/>
      </w:r>
      <w:r>
        <w:instrText xml:space="preserve"> ADDIN ZOTERO_ITEM CSL_CITATION {"citationID":"IpKAbefU","properties":{"formattedCitation":"(Belcourt-Dittloff &amp; Stewart, 2000; Simons et al., 2018)","plainCitation":"(Belcourt-Dittloff &amp; Stewart, 2000; Simons et al., 2018)","noteIndex":0},"citationItems":[{"id":172,"uris":["http://zotero.org/users/local/aUK5ZLEi/items/6CZMTC3J"],"uri":["http://zotero.org/users/local/aUK5ZLEi/items/6CZMTC3J"],"itemData":{"id":172,"type":"article-journal","abstract":"Comments on the article by R. Clark et al (see record 1999-11644-001), which outlines a biopsychosocial model for perceived racism as a stressor among African Americans. One long-standing example of intergroup racism that continues to have pervasive effects is historical racism. It is argued that historical racism has had and continues to have a profound impact on Native Americans. The authors outline some possible ways in which historical racism constitutes a stressor with biopsychosocial implications for American Indians. (PsycINFO Database Record (c) 2016 APA, all rights reserved)","container-title":"American Psychologist","DOI":"http://dx.doi.org.ezproxy.lib.ou.edu/10.1037/0003-066X.55.10.1166","ISSN":"0003-066X","issue":"10","language":"English","page":"1166-1167","source":"ProQuest","title":"Historical racism: Implications for Native Americans","title-short":"Historical racism","volume":"55","author":[{"family":"Belcourt-Dittloff","given":"Annjeanette"},{"family":"Stewart","given":"Jera"}],"issued":{"date-parts":[["2000",10]]}}},{"id":95,"uris":["http://zotero.org/users/local/aUK5ZLEi/items/F3B665QW"],"uri":["http://zotero.org/users/local/aUK5ZLEi/items/F3B665QW"],"itemData":{"id":95,"type":"article-journal","abstract":"Several studies have reported a relation between race-related stressors and the poor health of Black Americans. Such findings raise questions regarding the mediating biological mechanisms that might account for this link. The present study investigated elevated systemic inflammation, a factor shown to be a strong predictor of chronic illness and mortality in all ethnic populations, as a possible factor. Using 7 waves of data from the Family and Community Health Study, collected over a 20-year period from over 400 Black Americans, we investigated the extent to which exposure to discrimination and segregation at various points in the life course predicted adult inflammation at age 28. Our analyses examined whether cumulative stress, stress generation, or predictive adaptive response (PAR) models best accounted for any associations that existed between these race-related stressors and adult inflammation. At every wave of data collection, assessments of discrimination and segregation were related to adult inflammation. However, multivariate analyses using structure equation modeling indicated that the PAR model best explained the effect of these race-related stressors on inflammation. Exposure to discrimination and segregation during the juvenile years predicted adult inflammation and amplified the inflammatory effect of adult exposure to these race-related stressors. These effects were considerably more robust than that of traditional health risk factors such as diet, exercise, smoking, and low SES. Implications of these findings are discussed, including the limitations of the widely accepted risk factor approach to increasing the health of Black Americans. (PsycINFO Database Record (c) 2018 APA, all rights reserved) (Source: journal abstract)","container-title":"Developmental Psychology","DOI":"http://dx.doi.org.ezproxy.lib.ou.edu/10.1037/dev0000511","ISSN":"0012-1649","issue":"10","language":"English","page":"1993-2006","source":"ProQuest","title":"Discrimination, segregation, and chronic inflammation: Testing the weathering explanation for the poor health of Black Americans","title-short":"Discrimination, segregation, and chronic inflammation","volume":"54","author":[{"family":"Simons","given":"Ronald L."},{"family":"Lei","given":"Man-Kit"},{"family":"Beach","given":"Steven R. H."},{"family":"Barr","given":"Ashley B."},{"family":"Simons","given":"Leslie G."},{"family":"Gibbons","given":"Frederick X."},{"family":"Philibert","given":"Robert A."}],"issued":{"date-parts":[["2018",10]]}}}],"schema":"https://github.com/citation-style-language/schema/raw/master/csl-citation.json"} </w:instrText>
      </w:r>
      <w:r>
        <w:fldChar w:fldCharType="separate"/>
      </w:r>
      <w:r>
        <w:rPr>
          <w:noProof/>
        </w:rPr>
        <w:t>(Belcourt-Dittloff &amp; Stewart, 2000; Simons et al., 2018)</w:t>
      </w:r>
      <w:r>
        <w:fldChar w:fldCharType="end"/>
      </w:r>
      <w:r>
        <w:t>.</w:t>
      </w:r>
    </w:p>
    <w:p w14:paraId="5DF7B3BD" w14:textId="109CA9AF" w:rsidR="00A2596F" w:rsidRPr="00AA685E" w:rsidRDefault="00A2596F" w:rsidP="00A2596F">
      <w:pPr>
        <w:spacing w:line="480" w:lineRule="auto"/>
      </w:pPr>
      <w:r w:rsidRPr="00AA685E">
        <w:tab/>
        <w:t>The impact of discriminatory stress was illustrated in a sample of African American adults (</w:t>
      </w:r>
      <w:r w:rsidRPr="00AF01CD">
        <w:rPr>
          <w:i/>
          <w:iCs/>
        </w:rPr>
        <w:t>n</w:t>
      </w:r>
      <w:r w:rsidR="00D722AF">
        <w:rPr>
          <w:i/>
          <w:iCs/>
        </w:rPr>
        <w:t xml:space="preserve"> </w:t>
      </w:r>
      <w:r w:rsidRPr="00AA685E">
        <w:t>=</w:t>
      </w:r>
      <w:r w:rsidR="00D722AF">
        <w:t xml:space="preserve"> </w:t>
      </w:r>
      <w:r w:rsidRPr="00AA685E">
        <w:t>247</w:t>
      </w:r>
      <w:r w:rsidR="00DB53D2">
        <w:t xml:space="preserve">; </w:t>
      </w:r>
      <w:r w:rsidRPr="00AA685E">
        <w:fldChar w:fldCharType="begin"/>
      </w:r>
      <w:r w:rsidR="00B22514">
        <w:instrText xml:space="preserve"> ADDIN ZOTERO_ITEM CSL_CITATION {"citationID":"Vf6CqbY3","properties":{"formattedCitation":"(Driscoll et al., 2015)","plainCitation":"(Driscoll et al., 2015)","dontUpdate":true,"noteIndex":0},"citationItems":[{"id":112,"uris":["http://zotero.org/users/local/aUK5ZLEi/items/BCBREFNF"],"uri":["http://zotero.org/users/local/aUK5ZLEi/items/BCBREFNF"],"itemData":{"id":112,"type":"article-journal","abstract":"This study used a cultural stress and coping framework to investigate the influence of three dimensions of discrimination-based race-related stress (i.e., individual, institutional, and cultural) and collective efficacy on African American life satisfaction. African American adults (N = 247) completed self-report measures of race-related stress, collective efficacy, and life satisfaction. Analyses indicated that all three forms of race-related stress were significantly associated with lower life satisfaction, and that collective efficacy was significantly associated with greater life satisfaction. Moderated analyses further revealed that collective efficacy significantly protected against the influence of race-related stress on life satisfaction for cultural race-related stress and, possibly, individual race-related stress. The results suggest that sociocultural resources such as collective efficacy may serve as protective factors against racial discrimination through enhanced social cohesion and community agency. Results are further considered in the context of stress and coping models that emphasize secondary coping processes and use of collective coping. Clinical and theoretical implications of collective efficacy as a sociocultural resource for the promotion of African American mental health are discussed.","container-title":"Journal of Black Psychology","DOI":"10.1177/0095798414543690","ISSN":"0095-7984","issue":"5","journalAbbreviation":"Journal of Black Psychology","page":"462-486","source":"SAGE Journals","title":"Dimensions of Race-Related Stress and African American Life Satisfaction: A Test of the Protective Role of Collective Efficacy","title-short":"Dimensions of Race-Related Stress and African American Life Satisfaction","volume":"41","author":[{"family":"Driscoll","given":"Mark W."},{"family":"Reynolds","given":"Jason R."},{"family":"Todman","given":"Lynn C."}],"issued":{"date-parts":[["2015",10,1]]}}}],"schema":"https://github.com/citation-style-language/schema/raw/master/csl-citation.json"} </w:instrText>
      </w:r>
      <w:r w:rsidRPr="00AA685E">
        <w:fldChar w:fldCharType="separate"/>
      </w:r>
      <w:r w:rsidRPr="00AA685E">
        <w:t>Driscoll et al., 2015)</w:t>
      </w:r>
      <w:r w:rsidRPr="00AA685E">
        <w:fldChar w:fldCharType="end"/>
      </w:r>
      <w:r w:rsidRPr="00AA685E">
        <w:t>.</w:t>
      </w:r>
      <w:r w:rsidR="005F1C1C">
        <w:t xml:space="preserve"> </w:t>
      </w:r>
      <w:r w:rsidRPr="00AA685E">
        <w:t>Study results indicated a significant, negative relationship between individual, institutional, and cultural race-related stress and life satisfaction.</w:t>
      </w:r>
      <w:r w:rsidR="005F1C1C">
        <w:t xml:space="preserve"> </w:t>
      </w:r>
      <w:r w:rsidRPr="00AA685E">
        <w:t xml:space="preserve">Whether participants experienced discrimination interpersonally, occupationally, or due to their heritage, all dimensions were associated with significant decreases in life satisfaction </w:t>
      </w:r>
      <w:r w:rsidRPr="00AA685E">
        <w:fldChar w:fldCharType="begin"/>
      </w:r>
      <w:r w:rsidRPr="00AA685E">
        <w:instrText xml:space="preserve"> ADDIN ZOTERO_ITEM CSL_CITATION {"citationID":"vDeUfM4Y","properties":{"formattedCitation":"(Driscoll et al., 2015)","plainCitation":"(Driscoll et al., 2015)","noteIndex":0},"citationItems":[{"id":112,"uris":["http://zotero.org/users/local/aUK5ZLEi/items/BCBREFNF"],"uri":["http://zotero.org/users/local/aUK5ZLEi/items/BCBREFNF"],"itemData":{"id":112,"type":"article-journal","abstract":"This study used a cultural stress and coping framework to investigate the influence of three dimensions of discrimination-based race-related stress (i.e., individual, institutional, and cultural) and collective efficacy on African American life satisfaction. African American adults (N = 247) completed self-report measures of race-related stress, collective efficacy, and life satisfaction. Analyses indicated that all three forms of race-related stress were significantly associated with lower life satisfaction, and that collective efficacy was significantly associated with greater life satisfaction. Moderated analyses further revealed that collective efficacy significantly protected against the influence of race-related stress on life satisfaction for cultural race-related stress and, possibly, individual race-related stress. The results suggest that sociocultural resources such as collective efficacy may serve as protective factors against racial discrimination through enhanced social cohesion and community agency. Results are further considered in the context of stress and coping models that emphasize secondary coping processes and use of collective coping. Clinical and theoretical implications of collective efficacy as a sociocultural resource for the promotion of African American mental health are discussed.","container-title":"Journal of Black Psychology","DOI":"10.1177/0095798414543690","ISSN":"0095-7984","issue":"5","journalAbbreviation":"Journal of Black Psychology","page":"462-486","source":"SAGE Journals","title":"Dimensions of Race-Related Stress and African American Life Satisfaction: A Test of the Protective Role of Collective Efficacy","title-short":"Dimensions of Race-Related Stress and African American Life Satisfaction","volume":"41","author":[{"family":"Driscoll","given":"Mark W."},{"family":"Reynolds","given":"Jason R."},{"family":"Todman","given":"Lynn C."}],"issued":{"date-parts":[["2015",10,1]]}}}],"schema":"https://github.com/citation-style-language/schema/raw/master/csl-citation.json"} </w:instrText>
      </w:r>
      <w:r w:rsidRPr="00AA685E">
        <w:fldChar w:fldCharType="separate"/>
      </w:r>
      <w:r w:rsidRPr="00AA685E">
        <w:t>(Driscoll et al., 2015)</w:t>
      </w:r>
      <w:r w:rsidRPr="00AA685E">
        <w:fldChar w:fldCharType="end"/>
      </w:r>
      <w:r w:rsidRPr="00AA685E">
        <w:t>.</w:t>
      </w:r>
      <w:r w:rsidR="005F1C1C">
        <w:t xml:space="preserve"> </w:t>
      </w:r>
      <w:r w:rsidRPr="00AA685E">
        <w:t xml:space="preserve">Race-related stress was also a significant predictor of mental health among another sample of African American adults </w:t>
      </w:r>
      <w:r w:rsidRPr="00AF01CD">
        <w:rPr>
          <w:i/>
          <w:iCs/>
        </w:rPr>
        <w:t>(</w:t>
      </w:r>
      <w:r w:rsidR="00D722AF">
        <w:rPr>
          <w:i/>
          <w:iCs/>
        </w:rPr>
        <w:t xml:space="preserve">n = </w:t>
      </w:r>
      <w:r w:rsidRPr="00DB53D2">
        <w:t>255</w:t>
      </w:r>
      <w:r w:rsidR="00DB53D2">
        <w:t xml:space="preserve">; </w:t>
      </w:r>
      <w:r w:rsidRPr="00AF01CD">
        <w:fldChar w:fldCharType="begin"/>
      </w:r>
      <w:r w:rsidR="00B22514">
        <w:instrText xml:space="preserve"> ADDIN ZOTERO_ITEM CSL_CITATION {"citationID":"hYK2NK6G","properties":{"formattedCitation":"(Franklin-Jackson &amp; Carter, 2007)","plainCitation":"(Franklin-Jackson &amp; Carter, 2007)","dontUpdate":true,"noteIndex":0},"citationItems":[{"id":117,"uris":["http://zotero.org/users/local/aUK5ZLEi/items/6464P2A8"],"uri":["http://zotero.org/users/local/aUK5ZLEi/items/6464P2A8"],"itemData":{"id":117,"type":"article-journal","abstract":"The purpose of this study was to explore the relationships between race-related stress, racial identity, and mental health in a sample of 255 Black American adults. Hierarchical regression analyses indicated that racial identity and race-related stress predicted mental health; however, racial identity accounted for more of the variance in mental health. These findings provide evidence that a person?s racial identity must be considered when understanding race-related stress and mental health. Implications for practice and research are discussed.","container-title":"Journal of Black Psychology","DOI":"10.1177/0095798406295092","ISSN":"0095-7984","issue":"1","journalAbbreviation":"Journal of Black Psychology","page":"5-26","source":"SAGE Journals","title":"The Relationships Between Race-Related Stress, Racial Identity, and Mental Health for Black Americans","volume":"33","author":[{"family":"Franklin-Jackson","given":"Deidre"},{"family":"Carter","given":"Robert T."}],"issued":{"date-parts":[["2007",2,1]]}}}],"schema":"https://github.com/citation-style-language/schema/raw/master/csl-citation.json"} </w:instrText>
      </w:r>
      <w:r w:rsidRPr="00AF01CD">
        <w:fldChar w:fldCharType="separate"/>
      </w:r>
      <w:r w:rsidRPr="00DB53D2">
        <w:t>Franklin-Jackson &amp; Carter, 2007)</w:t>
      </w:r>
      <w:r w:rsidRPr="00AF01CD">
        <w:fldChar w:fldCharType="end"/>
      </w:r>
      <w:r w:rsidRPr="00AA685E">
        <w:t>.</w:t>
      </w:r>
      <w:r w:rsidR="005F1C1C">
        <w:t xml:space="preserve"> </w:t>
      </w:r>
      <w:r w:rsidRPr="00AA685E">
        <w:t xml:space="preserve">Discriminatory stress can have deleterious impacts on </w:t>
      </w:r>
      <w:r w:rsidR="00D722AF">
        <w:t>racial/ethnic</w:t>
      </w:r>
      <w:r w:rsidRPr="00AA685E">
        <w:t xml:space="preserve"> minorities’ mental health, and in the process, their overall quality of life may suffer.</w:t>
      </w:r>
    </w:p>
    <w:p w14:paraId="02B74B1B" w14:textId="2EABB024" w:rsidR="00A2596F" w:rsidRPr="00AA685E" w:rsidRDefault="00A2596F" w:rsidP="00A2596F">
      <w:pPr>
        <w:spacing w:line="480" w:lineRule="auto"/>
      </w:pPr>
      <w:r w:rsidRPr="00AA685E">
        <w:tab/>
        <w:t>Discriminatory stress can also affect health status.</w:t>
      </w:r>
      <w:r w:rsidR="005F1C1C">
        <w:t xml:space="preserve"> </w:t>
      </w:r>
      <w:r w:rsidRPr="00AA685E">
        <w:t xml:space="preserve">Race-related stress produces biological changes that increase the risk for chronic diseases and other health complications </w:t>
      </w:r>
      <w:r w:rsidRPr="00AA685E">
        <w:fldChar w:fldCharType="begin"/>
      </w:r>
      <w:r w:rsidRPr="00AA685E">
        <w:instrText xml:space="preserve"> ADDIN ZOTERO_ITEM CSL_CITATION {"citationID":"cYwl03Vq","properties":{"formattedCitation":"(Brody et al., 2018; Simons et al., 2018)","plainCitation":"(Brody et al., 2018; Simons et al., 2018)","noteIndex":0},"citationItems":[{"id":40,"uris":["http://zotero.org/users/local/aUK5ZLEi/items/8PD4HQTK"],"uri":["http://zotero.org/users/local/aUK5ZLEi/items/8PD4HQTK"],"itemData":{"id":40,"type":"article-journal","abstract":"Objective: To examine prospective relations of perceived racial discrimination at ages 16–18 with body mass index (BMI) at ages 19–21 and insulin resistance (IR) at ages 25 and 27 among Black youth in the rural South, and to determine whether BMI connected discrimination to IR as a mediator. Method: Participants were 315 African American adolescents in rural counties in Georgia who provided data on their perceptions of discrimination during adolescence. BMI was measured during a yearly home visit, and a certified phlebotomist drew a fasting blood sample from which IR was measured. Results: The data analysis, with all confounding variables controlled, revealed that, over time, (a) discrimination was associated positively with both BMI and IR; (b) BMI was associated positively with IR; and (c) BMI acted as a mediator connecting discrimination with IR. Conclusions: The findings are consistent with the hypothesis that exposure to discrimination presages IR through its effects on BMI. (PsycINFO Database Record (c) 2018 APA, all rights reserved) (Source: journal abstract)","container-title":"Health Psychology","DOI":"http://dx.doi.org.ezproxy.lib.ou.edu/10.1037/hea0000674","ISSN":"0278-6133","issue":"12","language":"English","page":"1107-1114","source":"ProQuest","title":"Racial discrimination, body mass index, and insulin resistance: A longitudinal analysis","title-short":"Racial discrimination, body mass index, and insulin resistance","volume":"37","author":[{"family":"Brody","given":"Gene H."},{"family":"Link to external site","given":"this","dropping-particle":"link will open in a new window"},{"family":"Yu","given":"Tianyi"},{"family":"Chen","given":"Edith"},{"family":"Ehrlich","given":"Katherine B."},{"family":"Miller","given":"Gregory E."}],"issued":{"date-parts":[["2018",12]]}}},{"id":95,"uris":["http://zotero.org/users/local/aUK5ZLEi/items/F3B665QW"],"uri":["http://zotero.org/users/local/aUK5ZLEi/items/F3B665QW"],"itemData":{"id":95,"type":"article-journal","abstract":"Several studies have reported a relation between race-related stressors and the poor health of Black Americans. Such findings raise questions regarding the mediating biological mechanisms that might account for this link. The present study investigated elevated systemic inflammation, a factor shown to be a strong predictor of chronic illness and mortality in all ethnic populations, as a possible factor. Using 7 waves of data from the Family and Community Health Study, collected over a 20-year period from over 400 Black Americans, we investigated the extent to which exposure to discrimination and segregation at various points in the life course predicted adult inflammation at age 28. Our analyses examined whether cumulative stress, stress generation, or predictive adaptive response (PAR) models best accounted for any associations that existed between these race-related stressors and adult inflammation. At every wave of data collection, assessments of discrimination and segregation were related to adult inflammation. However, multivariate analyses using structure equation modeling indicated that the PAR model best explained the effect of these race-related stressors on inflammation. Exposure to discrimination and segregation during the juvenile years predicted adult inflammation and amplified the inflammatory effect of adult exposure to these race-related stressors. These effects were considerably more robust than that of traditional health risk factors such as diet, exercise, smoking, and low SES. Implications of these findings are discussed, including the limitations of the widely accepted risk factor approach to increasing the health of Black Americans. (PsycINFO Database Record (c) 2018 APA, all rights reserved) (Source: journal abstract)","container-title":"Developmental Psychology","DOI":"http://dx.doi.org.ezproxy.lib.ou.edu/10.1037/dev0000511","ISSN":"0012-1649","issue":"10","language":"English","page":"1993-2006","source":"ProQuest","title":"Discrimination, segregation, and chronic inflammation: Testing the weathering explanation for the poor health of Black Americans","title-short":"Discrimination, segregation, and chronic inflammation","volume":"54","author":[{"family":"Simons","given":"Ronald L."},{"family":"Lei","given":"Man-Kit"},{"family":"Beach","given":"Steven R. H."},{"family":"Barr","given":"Ashley B."},{"family":"Simons","given":"Leslie G."},{"family":"Gibbons","given":"Frederick X."},{"family":"Philibert","given":"Robert A."}],"issued":{"date-parts":[["2018",10]]}}}],"schema":"https://github.com/citation-style-language/schema/raw/master/csl-citation.json"} </w:instrText>
      </w:r>
      <w:r w:rsidRPr="00AA685E">
        <w:fldChar w:fldCharType="separate"/>
      </w:r>
      <w:r w:rsidRPr="00AA685E">
        <w:t>(Brody et al., 2018; Simons et al., 2018)</w:t>
      </w:r>
      <w:r w:rsidRPr="00AA685E">
        <w:fldChar w:fldCharType="end"/>
      </w:r>
      <w:r w:rsidRPr="00AA685E">
        <w:t>.</w:t>
      </w:r>
      <w:r w:rsidR="005F1C1C">
        <w:t xml:space="preserve"> </w:t>
      </w:r>
      <w:r w:rsidRPr="00AA685E">
        <w:t>Simons et al. (2018) posited that discriminatory stress’ impact on health is greater than any behavioral factor, regardless of socioeconomic status.</w:t>
      </w:r>
      <w:r w:rsidR="005F1C1C">
        <w:t xml:space="preserve"> </w:t>
      </w:r>
      <w:r w:rsidRPr="00AA685E">
        <w:t xml:space="preserve">To test this theory, the researchers conducted a longitudinal study with fifth grade-aged </w:t>
      </w:r>
      <w:r w:rsidR="005F1C1C">
        <w:t>African Americans/Blacks</w:t>
      </w:r>
      <w:r w:rsidRPr="00AA685E">
        <w:t xml:space="preserve"> </w:t>
      </w:r>
      <w:r w:rsidRPr="00AF01CD">
        <w:rPr>
          <w:i/>
          <w:iCs/>
        </w:rPr>
        <w:t>(</w:t>
      </w:r>
      <w:r w:rsidR="00D722AF">
        <w:rPr>
          <w:i/>
          <w:iCs/>
        </w:rPr>
        <w:t xml:space="preserve">n = </w:t>
      </w:r>
      <w:r w:rsidRPr="00AA685E">
        <w:t>889) until participants reached about 28 years of age (</w:t>
      </w:r>
      <w:r w:rsidR="00D722AF">
        <w:rPr>
          <w:i/>
          <w:iCs/>
        </w:rPr>
        <w:t xml:space="preserve">n = </w:t>
      </w:r>
      <w:r w:rsidRPr="00AA685E">
        <w:t>479).</w:t>
      </w:r>
      <w:r w:rsidR="005F1C1C">
        <w:t xml:space="preserve"> </w:t>
      </w:r>
      <w:r w:rsidRPr="00AA685E">
        <w:t>Using chronic inflammation as a marker of biological deterioration, both racial segregation and discrimination were significantly related to inflammation at every age</w:t>
      </w:r>
      <w:r w:rsidR="009B112A">
        <w:t xml:space="preserve"> that</w:t>
      </w:r>
      <w:r w:rsidRPr="00AA685E">
        <w:t xml:space="preserve"> participants were assessed.</w:t>
      </w:r>
      <w:r w:rsidR="005F1C1C">
        <w:t xml:space="preserve"> </w:t>
      </w:r>
      <w:r w:rsidRPr="00AA685E">
        <w:t>Neither education nor income were related to inflammation, and most negative health behaviors (with the exception of exercise) were not related to inflammation.</w:t>
      </w:r>
      <w:r w:rsidR="005F1C1C">
        <w:t xml:space="preserve"> </w:t>
      </w:r>
      <w:r w:rsidRPr="00AA685E">
        <w:t xml:space="preserve">Though not inclusive of all health complications, inflammation can be indicative of an adverse immune </w:t>
      </w:r>
      <w:r w:rsidRPr="00AA685E">
        <w:lastRenderedPageBreak/>
        <w:t>response, that if left uncontrolled, can increase the risk for chronic diseases (</w:t>
      </w:r>
      <w:r w:rsidRPr="00DB53D2">
        <w:t>e.g., type-II diabetes and cardiovascular disease</w:t>
      </w:r>
      <w:r w:rsidRPr="00AF01CD">
        <w:fldChar w:fldCharType="begin"/>
      </w:r>
      <w:r w:rsidR="00B22514">
        <w:instrText xml:space="preserve"> ADDIN ZOTERO_ITEM CSL_CITATION {"citationID":"LEOzbD9X","properties":{"formattedCitation":"(Simons et al., 2018)","plainCitation":"(Simons et al., 2018)","dontUpdate":true,"noteIndex":0},"citationItems":[{"id":95,"uris":["http://zotero.org/users/local/aUK5ZLEi/items/F3B665QW"],"uri":["http://zotero.org/users/local/aUK5ZLEi/items/F3B665QW"],"itemData":{"id":95,"type":"article-journal","abstract":"Several studies have reported a relation between race-related stressors and the poor health of Black Americans. Such findings raise questions regarding the mediating biological mechanisms that might account for this link. The present study investigated elevated systemic inflammation, a factor shown to be a strong predictor of chronic illness and mortality in all ethnic populations, as a possible factor. Using 7 waves of data from the Family and Community Health Study, collected over a 20-year period from over 400 Black Americans, we investigated the extent to which exposure to discrimination and segregation at various points in the life course predicted adult inflammation at age 28. Our analyses examined whether cumulative stress, stress generation, or predictive adaptive response (PAR) models best accounted for any associations that existed between these race-related stressors and adult inflammation. At every wave of data collection, assessments of discrimination and segregation were related to adult inflammation. However, multivariate analyses using structure equation modeling indicated that the PAR model best explained the effect of these race-related stressors on inflammation. Exposure to discrimination and segregation during the juvenile years predicted adult inflammation and amplified the inflammatory effect of adult exposure to these race-related stressors. These effects were considerably more robust than that of traditional health risk factors such as diet, exercise, smoking, and low SES. Implications of these findings are discussed, including the limitations of the widely accepted risk factor approach to increasing the health of Black Americans. (PsycINFO Database Record (c) 2018 APA, all rights reserved) (Source: journal abstract)","container-title":"Developmental Psychology","DOI":"http://dx.doi.org.ezproxy.lib.ou.edu/10.1037/dev0000511","ISSN":"0012-1649","issue":"10","language":"English","page":"1993-2006","source":"ProQuest","title":"Discrimination, segregation, and chronic inflammation: Testing the weathering explanation for the poor health of Black Americans","title-short":"Discrimination, segregation, and chronic inflammation","volume":"54","author":[{"family":"Simons","given":"Ronald L."},{"family":"Lei","given":"Man-Kit"},{"family":"Beach","given":"Steven R. H."},{"family":"Barr","given":"Ashley B."},{"family":"Simons","given":"Leslie G."},{"family":"Gibbons","given":"Frederick X."},{"family":"Philibert","given":"Robert A."}],"issued":{"date-parts":[["2018",10]]}}}],"schema":"https://github.com/citation-style-language/schema/raw/master/csl-citation.json"} </w:instrText>
      </w:r>
      <w:r w:rsidRPr="00AF01CD">
        <w:fldChar w:fldCharType="separate"/>
      </w:r>
      <w:r w:rsidR="00DB53D2">
        <w:t xml:space="preserve">; </w:t>
      </w:r>
      <w:r w:rsidRPr="00DB53D2">
        <w:t>Simons et al., 2018)</w:t>
      </w:r>
      <w:r w:rsidRPr="00AF01CD">
        <w:fldChar w:fldCharType="end"/>
      </w:r>
      <w:r w:rsidRPr="00AA685E">
        <w:t>.</w:t>
      </w:r>
      <w:r w:rsidR="005F1C1C">
        <w:t xml:space="preserve"> </w:t>
      </w:r>
      <w:r w:rsidRPr="00AA685E">
        <w:t xml:space="preserve">As </w:t>
      </w:r>
      <w:r w:rsidR="00D722AF">
        <w:t>racial/ethnic</w:t>
      </w:r>
      <w:r w:rsidRPr="00AA685E">
        <w:t xml:space="preserve"> minorities experience high levels of stress from discrimination and racism throughout their lifetime, inflammation levels may also increase, putting them more at risk for future health problems.</w:t>
      </w:r>
      <w:r w:rsidR="005F1C1C">
        <w:t xml:space="preserve"> </w:t>
      </w:r>
      <w:r w:rsidRPr="00AA685E">
        <w:t xml:space="preserve">Since neither socioeconomic status nor health behaviors were significantly associated with inflammation levels (Simons et al., 2018), discriminatory stress may be the critical link in the chain of </w:t>
      </w:r>
      <w:r w:rsidR="00D722AF">
        <w:t>racial/ethnic</w:t>
      </w:r>
      <w:r w:rsidRPr="00AA685E">
        <w:t xml:space="preserve"> health disparities.</w:t>
      </w:r>
    </w:p>
    <w:p w14:paraId="4CC8FE6F" w14:textId="5AFE47D6" w:rsidR="00A2596F" w:rsidRPr="00AA685E" w:rsidRDefault="00A2596F" w:rsidP="00A2596F">
      <w:pPr>
        <w:spacing w:line="480" w:lineRule="auto"/>
      </w:pPr>
      <w:r w:rsidRPr="00AA685E">
        <w:tab/>
        <w:t>Discriminatory stress has also been associated with engagement in risk behaviors.</w:t>
      </w:r>
      <w:r w:rsidR="005F1C1C">
        <w:t xml:space="preserve"> </w:t>
      </w:r>
      <w:r w:rsidRPr="00AA685E">
        <w:t>Pittman et al. (2019) investigated the relationships of race-related stress and acculturative stress with drinking behaviors among a sample of African American college students (</w:t>
      </w:r>
      <w:r w:rsidR="00D722AF">
        <w:rPr>
          <w:i/>
          <w:iCs/>
        </w:rPr>
        <w:t xml:space="preserve">n = </w:t>
      </w:r>
      <w:r w:rsidRPr="00AA685E">
        <w:t>649).</w:t>
      </w:r>
      <w:r w:rsidR="005F1C1C">
        <w:t xml:space="preserve"> </w:t>
      </w:r>
      <w:r w:rsidRPr="00AA685E">
        <w:t xml:space="preserve">Both measures of minority stress were significantly associated with risky alcohol use and coping-motivated drinking, and the stressors were also significant predictors of risky alcohol use </w:t>
      </w:r>
      <w:r w:rsidRPr="00AA685E">
        <w:fldChar w:fldCharType="begin"/>
      </w:r>
      <w:r w:rsidRPr="00AA685E">
        <w:instrText xml:space="preserve"> ADDIN ZOTERO_ITEM CSL_CITATION {"citationID":"Lh9HAucY","properties":{"formattedCitation":"(Pittman et al., 2019)","plainCitation":"(Pittman et al., 2019)","noteIndex":0},"citationItems":[{"id":111,"uris":["http://zotero.org/users/local/aUK5ZLEi/items/H2IIJ7FK"],"uri":["http://zotero.org/users/local/aUK5ZLEi/items/H2IIJ7FK"],"itemData":{"id":111,"type":"article-journal","abstract":"A motivational drinking framework is utilized to understand the relationship between minority stressors (e.g., race-related stress and acculturative stress) and alcohol use behaviors (risky alcohol use and coping-motivated drinking) among a large sample of Black American college students. Six hundred fortynine Black college students from 8 colleges and universities in the United States were recruited as part of a large, multiwave, cross-sectional study investigating the stress and coping experiences of Black emerging adults. Results from the current investigation provide support for the independent contributions of acculturative stress and race-related stress to the risky alcohol use behavior of Black college students, while acculturative stress significantly predicted coping-motivated drinking behaviors in the sample. Findings underscore the need to better understand the unique relationships between minority stress and risky alcohol use behaviors of Black college students, namely, relationships not shared by their nonminority peers that increase their risk of problem drinking.","container-title":"Journal of Ethnicity in Substance Abuse","DOI":"10.1080/15332640.2017.1336958","ISSN":"1533-2640, 1533-2659","issue":"2","journalAbbreviation":"Journal of Ethnicity in Substance Abuse","language":"en","page":"257-278","source":"DOI.org (Crossref)","title":"The cost of minority stress: Risky alcohol use and coping-motivated drinking behavior in African American college students","title-short":"The cost of minority stress","volume":"18","author":[{"family":"Pittman","given":"Delishia M."},{"family":"Brooks","given":"Jessica J."},{"family":"Kaur","given":"Paramjit"},{"family":"Obasi","given":"Ezemenari M."}],"issued":{"date-parts":[["2019",4,3]]}}}],"schema":"https://github.com/citation-style-language/schema/raw/master/csl-citation.json"} </w:instrText>
      </w:r>
      <w:r w:rsidRPr="00AA685E">
        <w:fldChar w:fldCharType="separate"/>
      </w:r>
      <w:r w:rsidRPr="00AA685E">
        <w:t>(Pittman et al., 2019)</w:t>
      </w:r>
      <w:r w:rsidRPr="00AA685E">
        <w:fldChar w:fldCharType="end"/>
      </w:r>
      <w:r w:rsidRPr="00AA685E">
        <w:t>.</w:t>
      </w:r>
      <w:r w:rsidR="005F1C1C">
        <w:t xml:space="preserve"> </w:t>
      </w:r>
      <w:r w:rsidRPr="00AA685E">
        <w:t>As levels of discriminatory stress increased, risky alcohol use and drinking as a</w:t>
      </w:r>
      <w:r>
        <w:t>n unhealthy</w:t>
      </w:r>
      <w:r w:rsidRPr="00AA685E">
        <w:t xml:space="preserve"> means to cope also increased.</w:t>
      </w:r>
      <w:r w:rsidR="005F1C1C">
        <w:t xml:space="preserve"> </w:t>
      </w:r>
    </w:p>
    <w:p w14:paraId="55D5C7EF" w14:textId="1565BA7B" w:rsidR="00A2596F" w:rsidRPr="00AA685E" w:rsidRDefault="00A2596F" w:rsidP="00A2596F">
      <w:pPr>
        <w:spacing w:line="480" w:lineRule="auto"/>
      </w:pPr>
      <w:r w:rsidRPr="00AA685E">
        <w:tab/>
      </w:r>
      <w:r w:rsidRPr="001162D1">
        <w:t xml:space="preserve">In addition, racism has also been associated with weight gain; as the amount of racist encounters increases, weight tends to increase along with it </w:t>
      </w:r>
      <w:r w:rsidRPr="001162D1">
        <w:fldChar w:fldCharType="begin"/>
      </w:r>
      <w:r w:rsidRPr="001162D1">
        <w:instrText xml:space="preserve"> ADDIN ZOTERO_ITEM CSL_CITATION {"citationID":"tCm83vBA","properties":{"formattedCitation":"(Brody et al., 2018; Cozier et al., 2009)","plainCitation":"(Brody et al., 2018; Cozier et al., 2009)","noteIndex":0},"citationItems":[{"id":40,"uris":["http://zotero.org/users/local/aUK5ZLEi/items/8PD4HQTK"],"uri":["http://zotero.org/users/local/aUK5ZLEi/items/8PD4HQTK"],"itemData":{"id":40,"type":"article-journal","abstract":"Objective: To examine prospective relations of perceived racial discrimination at ages 16–18 with body mass index (BMI) at ages 19–21 and insulin resistance (IR) at ages 25 and 27 among Black youth in the rural South, and to determine whether BMI connected discrimination to IR as a mediator. Method: Participants were 315 African American adolescents in rural counties in Georgia who provided data on their perceptions of discrimination during adolescence. BMI was measured during a yearly home visit, and a certified phlebotomist drew a fasting blood sample from which IR was measured. Results: The data analysis, with all confounding variables controlled, revealed that, over time, (a) discrimination was associated positively with both BMI and IR; (b) BMI was associated positively with IR; and (c) BMI acted as a mediator connecting discrimination with IR. Conclusions: The findings are consistent with the hypothesis that exposure to discrimination presages IR through its effects on BMI. (PsycINFO Database Record (c) 2018 APA, all rights reserved) (Source: journal abstract)","container-title":"Health Psychology","DOI":"http://dx.doi.org.ezproxy.lib.ou.edu/10.1037/hea0000674","ISSN":"0278-6133","issue":"12","language":"English","page":"1107-1114","source":"ProQuest","title":"Racial discrimination, body mass index, and insulin resistance: A longitudinal analysis","title-short":"Racial discrimination, body mass index, and insulin resistance","volume":"37","author":[{"family":"Brody","given":"Gene H."},{"family":"Link to external site","given":"this","dropping-particle":"link will open in a new window"},{"family":"Yu","given":"Tianyi"},{"family":"Chen","given":"Edith"},{"family":"Ehrlich","given":"Katherine B."},{"family":"Miller","given":"Gregory E."}],"issued":{"date-parts":[["2018",12]]}}},{"id":80,"uris":["http://zotero.org/users/local/aUK5ZLEi/items/2YKLA3VA"],"uri":["http://zotero.org/users/local/aUK5ZLEi/items/2YKLA3VA"],"itemData":{"id":80,"type":"article-journal","abstract":"PURPOSE: Obesity is more common in black women than in white women. Racial discrimination is a form of chronic stress that may inﬂuence weight.\nMETHODS: We assessed the association of perceived racism with weight change between 1997 and 2005 in 43,103 women from the Black Women’s Health Study, a prospective follow-up of U.S. black women aged 21–69 years at entry in 1995. Eight questions about perceptions and experiences of racism were asked in 1997 from which two summary variables were created: everyday racism (e.g., how often do people act ‘‘as if you are not intelligent?’’), and lifetime racism (e.g., unfair treatment due to race ‘‘on the job’’). Mixed linear regression models were used to calculate the multivariate adjusted means for changes in body weight across categories of perceived racism.\nRESULTS: Weight gain increased as levels of everyday and lifetime racism increased. The mean multivariable-adjusted difference in weight change between the highest and the lowest quartile of everyday racism was 0.56 kg. The mean difference comparing the highest category of lifetime racism to the lowest was 0.48 kg.\nCONCLUSION: These prospective data suggest that experiences of racism may contribute to the excess burden of obesity in U.S. black women. Ann Epidemiol 2009;19:379–387. Ó 2009 Elsevier Inc. All rights reserved.","container-title":"Annals of Epidemiology","DOI":"10.1016/j.annepidem.2009.01.008","ISSN":"10472797","issue":"6","journalAbbreviation":"Annals of Epidemiology","language":"en","page":"379-387","source":"DOI.org (Crossref)","title":"Perceived Racism in Relation to Weight Change in the Black Women's Health Study","volume":"19","author":[{"family":"Cozier","given":"Yvette C."},{"family":"Wise","given":"Lauren A."},{"family":"Palmer","given":"Julie R."},{"family":"Rosenberg","given":"Lynn"}],"issued":{"date-parts":[["2009",6]]}}}],"schema":"https://github.com/citation-style-language/schema/raw/master/csl-citation.json"} </w:instrText>
      </w:r>
      <w:r w:rsidRPr="001162D1">
        <w:fldChar w:fldCharType="separate"/>
      </w:r>
      <w:r w:rsidRPr="001162D1">
        <w:t>(Brody et al., 2018; Cozier et al., 2009)</w:t>
      </w:r>
      <w:r w:rsidRPr="001162D1">
        <w:fldChar w:fldCharType="end"/>
      </w:r>
      <w:r w:rsidRPr="001162D1">
        <w:t>.</w:t>
      </w:r>
      <w:r w:rsidR="005F1C1C">
        <w:t xml:space="preserve"> </w:t>
      </w:r>
      <w:r w:rsidRPr="001162D1">
        <w:t xml:space="preserve">If discriminatory stress can lead to health complications </w:t>
      </w:r>
      <w:r w:rsidRPr="001162D1">
        <w:fldChar w:fldCharType="begin"/>
      </w:r>
      <w:r w:rsidRPr="001162D1">
        <w:instrText xml:space="preserve"> ADDIN ZOTERO_ITEM CSL_CITATION {"citationID":"85nwlFP6","properties":{"formattedCitation":"(Simons et al., 2018)","plainCitation":"(Simons et al., 2018)","noteIndex":0},"citationItems":[{"id":95,"uris":["http://zotero.org/users/local/aUK5ZLEi/items/F3B665QW"],"uri":["http://zotero.org/users/local/aUK5ZLEi/items/F3B665QW"],"itemData":{"id":95,"type":"article-journal","abstract":"Several studies have reported a relation between race-related stressors and the poor health of Black Americans. Such findings raise questions regarding the mediating biological mechanisms that might account for this link. The present study investigated elevated systemic inflammation, a factor shown to be a strong predictor of chronic illness and mortality in all ethnic populations, as a possible factor. Using 7 waves of data from the Family and Community Health Study, collected over a 20-year period from over 400 Black Americans, we investigated the extent to which exposure to discrimination and segregation at various points in the life course predicted adult inflammation at age 28. Our analyses examined whether cumulative stress, stress generation, or predictive adaptive response (PAR) models best accounted for any associations that existed between these race-related stressors and adult inflammation. At every wave of data collection, assessments of discrimination and segregation were related to adult inflammation. However, multivariate analyses using structure equation modeling indicated that the PAR model best explained the effect of these race-related stressors on inflammation. Exposure to discrimination and segregation during the juvenile years predicted adult inflammation and amplified the inflammatory effect of adult exposure to these race-related stressors. These effects were considerably more robust than that of traditional health risk factors such as diet, exercise, smoking, and low SES. Implications of these findings are discussed, including the limitations of the widely accepted risk factor approach to increasing the health of Black Americans. (PsycINFO Database Record (c) 2018 APA, all rights reserved) (Source: journal abstract)","container-title":"Developmental Psychology","DOI":"http://dx.doi.org.ezproxy.lib.ou.edu/10.1037/dev0000511","ISSN":"0012-1649","issue":"10","language":"English","page":"1993-2006","source":"ProQuest","title":"Discrimination, segregation, and chronic inflammation: Testing the weathering explanation for the poor health of Black Americans","title-short":"Discrimination, segregation, and chronic inflammation","volume":"54","author":[{"family":"Simons","given":"Ronald L."},{"family":"Lei","given":"Man-Kit"},{"family":"Beach","given":"Steven R. H."},{"family":"Barr","given":"Ashley B."},{"family":"Simons","given":"Leslie G."},{"family":"Gibbons","given":"Frederick X."},{"family":"Philibert","given":"Robert A."}],"issued":{"date-parts":[["2018",10]]}}}],"schema":"https://github.com/citation-style-language/schema/raw/master/csl-citation.json"} </w:instrText>
      </w:r>
      <w:r w:rsidRPr="001162D1">
        <w:fldChar w:fldCharType="separate"/>
      </w:r>
      <w:r w:rsidRPr="001162D1">
        <w:t>(Simons et al., 2018)</w:t>
      </w:r>
      <w:r w:rsidRPr="001162D1">
        <w:fldChar w:fldCharType="end"/>
      </w:r>
      <w:r w:rsidRPr="001162D1">
        <w:t xml:space="preserve"> and increase the risk for obesity </w:t>
      </w:r>
      <w:r w:rsidRPr="001162D1">
        <w:fldChar w:fldCharType="begin"/>
      </w:r>
      <w:r w:rsidRPr="001162D1">
        <w:instrText xml:space="preserve"> ADDIN ZOTERO_ITEM CSL_CITATION {"citationID":"vRQaoXEY","properties":{"formattedCitation":"(Brody et al., 2018; Cozier et al., 2009)","plainCitation":"(Brody et al., 2018; Cozier et al., 2009)","noteIndex":0},"citationItems":[{"id":40,"uris":["http://zotero.org/users/local/aUK5ZLEi/items/8PD4HQTK"],"uri":["http://zotero.org/users/local/aUK5ZLEi/items/8PD4HQTK"],"itemData":{"id":40,"type":"article-journal","abstract":"Objective: To examine prospective relations of perceived racial discrimination at ages 16–18 with body mass index (BMI) at ages 19–21 and insulin resistance (IR) at ages 25 and 27 among Black youth in the rural South, and to determine whether BMI connected discrimination to IR as a mediator. Method: Participants were 315 African American adolescents in rural counties in Georgia who provided data on their perceptions of discrimination during adolescence. BMI was measured during a yearly home visit, and a certified phlebotomist drew a fasting blood sample from which IR was measured. Results: The data analysis, with all confounding variables controlled, revealed that, over time, (a) discrimination was associated positively with both BMI and IR; (b) BMI was associated positively with IR; and (c) BMI acted as a mediator connecting discrimination with IR. Conclusions: The findings are consistent with the hypothesis that exposure to discrimination presages IR through its effects on BMI. (PsycINFO Database Record (c) 2018 APA, all rights reserved) (Source: journal abstract)","container-title":"Health Psychology","DOI":"http://dx.doi.org.ezproxy.lib.ou.edu/10.1037/hea0000674","ISSN":"0278-6133","issue":"12","language":"English","page":"1107-1114","source":"ProQuest","title":"Racial discrimination, body mass index, and insulin resistance: A longitudinal analysis","title-short":"Racial discrimination, body mass index, and insulin resistance","volume":"37","author":[{"family":"Brody","given":"Gene H."},{"family":"Link to external site","given":"this","dropping-particle":"link will open in a new window"},{"family":"Yu","given":"Tianyi"},{"family":"Chen","given":"Edith"},{"family":"Ehrlich","given":"Katherine B."},{"family":"Miller","given":"Gregory E."}],"issued":{"date-parts":[["2018",12]]}}},{"id":80,"uris":["http://zotero.org/users/local/aUK5ZLEi/items/2YKLA3VA"],"uri":["http://zotero.org/users/local/aUK5ZLEi/items/2YKLA3VA"],"itemData":{"id":80,"type":"article-journal","abstract":"PURPOSE: Obesity is more common in black women than in white women. Racial discrimination is a form of chronic stress that may inﬂuence weight.\nMETHODS: We assessed the association of perceived racism with weight change between 1997 and 2005 in 43,103 women from the Black Women’s Health Study, a prospective follow-up of U.S. black women aged 21–69 years at entry in 1995. Eight questions about perceptions and experiences of racism were asked in 1997 from which two summary variables were created: everyday racism (e.g., how often do people act ‘‘as if you are not intelligent?’’), and lifetime racism (e.g., unfair treatment due to race ‘‘on the job’’). Mixed linear regression models were used to calculate the multivariate adjusted means for changes in body weight across categories of perceived racism.\nRESULTS: Weight gain increased as levels of everyday and lifetime racism increased. The mean multivariable-adjusted difference in weight change between the highest and the lowest quartile of everyday racism was 0.56 kg. The mean difference comparing the highest category of lifetime racism to the lowest was 0.48 kg.\nCONCLUSION: These prospective data suggest that experiences of racism may contribute to the excess burden of obesity in U.S. black women. Ann Epidemiol 2009;19:379–387. Ó 2009 Elsevier Inc. All rights reserved.","container-title":"Annals of Epidemiology","DOI":"10.1016/j.annepidem.2009.01.008","ISSN":"10472797","issue":"6","journalAbbreviation":"Annals of Epidemiology","language":"en","page":"379-387","source":"DOI.org (Crossref)","title":"Perceived Racism in Relation to Weight Change in the Black Women's Health Study","volume":"19","author":[{"family":"Cozier","given":"Yvette C."},{"family":"Wise","given":"Lauren A."},{"family":"Palmer","given":"Julie R."},{"family":"Rosenberg","given":"Lynn"}],"issued":{"date-parts":[["2009",6]]}}}],"schema":"https://github.com/citation-style-language/schema/raw/master/csl-citation.json"} </w:instrText>
      </w:r>
      <w:r w:rsidRPr="001162D1">
        <w:fldChar w:fldCharType="separate"/>
      </w:r>
      <w:r w:rsidRPr="001162D1">
        <w:t>(Brody et al., 2018; Cozier et al., 2009)</w:t>
      </w:r>
      <w:r w:rsidRPr="001162D1">
        <w:fldChar w:fldCharType="end"/>
      </w:r>
      <w:r w:rsidRPr="001162D1">
        <w:t xml:space="preserve">, </w:t>
      </w:r>
      <w:r w:rsidR="00D722AF">
        <w:t>racial/ethnic</w:t>
      </w:r>
      <w:r w:rsidRPr="001162D1">
        <w:t xml:space="preserve"> minorities may be experiencing a distinct health disadvantage, further exacerbating health disparities.</w:t>
      </w:r>
      <w:r w:rsidR="005F1C1C">
        <w:t xml:space="preserve"> </w:t>
      </w:r>
      <w:r w:rsidR="00377BF9">
        <w:t>Since d</w:t>
      </w:r>
      <w:r w:rsidRPr="001162D1">
        <w:t xml:space="preserve">iscriminatory stress has been linked to engagement in risky behaviors such as alcohol abuse </w:t>
      </w:r>
      <w:r w:rsidRPr="001162D1">
        <w:fldChar w:fldCharType="begin"/>
      </w:r>
      <w:r w:rsidRPr="001162D1">
        <w:instrText xml:space="preserve"> ADDIN ZOTERO_ITEM CSL_CITATION {"citationID":"W9EeB7bO","properties":{"formattedCitation":"(Pittman et al., 2019)","plainCitation":"(Pittman et al., 2019)","noteIndex":0},"citationItems":[{"id":111,"uris":["http://zotero.org/users/local/aUK5ZLEi/items/H2IIJ7FK"],"uri":["http://zotero.org/users/local/aUK5ZLEi/items/H2IIJ7FK"],"itemData":{"id":111,"type":"article-journal","abstract":"A motivational drinking framework is utilized to understand the relationship between minority stressors (e.g., race-related stress and acculturative stress) and alcohol use behaviors (risky alcohol use and coping-motivated drinking) among a large sample of Black American college students. Six hundred fortynine Black college students from 8 colleges and universities in the United States were recruited as part of a large, multiwave, cross-sectional study investigating the stress and coping experiences of Black emerging adults. Results from the current investigation provide support for the independent contributions of acculturative stress and race-related stress to the risky alcohol use behavior of Black college students, while acculturative stress significantly predicted coping-motivated drinking behaviors in the sample. Findings underscore the need to better understand the unique relationships between minority stress and risky alcohol use behaviors of Black college students, namely, relationships not shared by their nonminority peers that increase their risk of problem drinking.","container-title":"Journal of Ethnicity in Substance Abuse","DOI":"10.1080/15332640.2017.1336958","ISSN":"1533-2640, 1533-2659","issue":"2","journalAbbreviation":"Journal of Ethnicity in Substance Abuse","language":"en","page":"257-278","source":"DOI.org (Crossref)","title":"The cost of minority stress: Risky alcohol use and coping-motivated drinking behavior in African American college students","title-short":"The cost of minority stress","volume":"18","author":[{"family":"Pittman","given":"Delishia M."},{"family":"Brooks","given":"Jessica J."},{"family":"Kaur","given":"Paramjit"},{"family":"Obasi","given":"Ezemenari M."}],"issued":{"date-parts":[["2019",4,3]]}}}],"schema":"https://github.com/citation-style-language/schema/raw/master/csl-citation.json"} </w:instrText>
      </w:r>
      <w:r w:rsidRPr="001162D1">
        <w:fldChar w:fldCharType="separate"/>
      </w:r>
      <w:r w:rsidRPr="001162D1">
        <w:t>(Pittman et al., 2019)</w:t>
      </w:r>
      <w:r w:rsidRPr="001162D1">
        <w:fldChar w:fldCharType="end"/>
      </w:r>
      <w:r w:rsidRPr="001162D1">
        <w:t>, it may also play a role in risky eating behaviors.</w:t>
      </w:r>
    </w:p>
    <w:p w14:paraId="20A9A312" w14:textId="77777777" w:rsidR="00327996" w:rsidRDefault="00327996" w:rsidP="00A2596F">
      <w:pPr>
        <w:spacing w:line="480" w:lineRule="auto"/>
        <w:rPr>
          <w:b/>
          <w:bCs/>
        </w:rPr>
      </w:pPr>
    </w:p>
    <w:p w14:paraId="3C39C71F" w14:textId="77777777" w:rsidR="00327996" w:rsidRDefault="00327996" w:rsidP="00A2596F">
      <w:pPr>
        <w:spacing w:line="480" w:lineRule="auto"/>
        <w:rPr>
          <w:b/>
          <w:bCs/>
        </w:rPr>
      </w:pPr>
    </w:p>
    <w:p w14:paraId="056403FA" w14:textId="26E1B717" w:rsidR="00A2596F" w:rsidRPr="00AA685E" w:rsidRDefault="00A2596F" w:rsidP="00A2596F">
      <w:pPr>
        <w:spacing w:line="480" w:lineRule="auto"/>
        <w:rPr>
          <w:b/>
          <w:bCs/>
        </w:rPr>
      </w:pPr>
      <w:r w:rsidRPr="00AA685E">
        <w:rPr>
          <w:b/>
          <w:bCs/>
        </w:rPr>
        <w:lastRenderedPageBreak/>
        <w:t>Discriminatory Stress</w:t>
      </w:r>
      <w:r w:rsidR="003E0A38">
        <w:rPr>
          <w:b/>
          <w:bCs/>
        </w:rPr>
        <w:t xml:space="preserve"> and</w:t>
      </w:r>
      <w:r w:rsidRPr="00AA685E">
        <w:rPr>
          <w:b/>
          <w:bCs/>
        </w:rPr>
        <w:t xml:space="preserve"> Eating Behaviors</w:t>
      </w:r>
    </w:p>
    <w:p w14:paraId="68F953BA" w14:textId="7DEC9E5D" w:rsidR="00A2596F" w:rsidRPr="00AA685E" w:rsidRDefault="00A2596F" w:rsidP="00A2596F">
      <w:pPr>
        <w:spacing w:line="480" w:lineRule="auto"/>
      </w:pPr>
      <w:r w:rsidRPr="00AA685E">
        <w:tab/>
        <w:t>Although research has been unclear about the relationship between discriminatory stress and overeating, research has evidenced its impact on binge eating.</w:t>
      </w:r>
      <w:r w:rsidR="005F1C1C">
        <w:t xml:space="preserve"> </w:t>
      </w:r>
      <w:r w:rsidRPr="00AA685E">
        <w:t xml:space="preserve">High levels of discriminatory stress have been associated with increases in binge eating among African American </w:t>
      </w:r>
      <w:r w:rsidRPr="00AA685E">
        <w:fldChar w:fldCharType="begin"/>
      </w:r>
      <w:r w:rsidRPr="00AA685E">
        <w:instrText xml:space="preserve"> ADDIN ZOTERO_ITEM CSL_CITATION {"citationID":"93yIPP15","properties":{"formattedCitation":"(Harrington et al., 2006)","plainCitation":"(Harrington et al., 2006)","noteIndex":0},"citationItems":[{"id":56,"uris":["http://zotero.org/users/local/aUK5ZLEi/items/II33ZECD"],"uri":["http://zotero.org/users/local/aUK5ZLEi/items/II33ZECD"],"itemData":{"id":56,"type":"article-journal","abstract":"The present study investigated whether trauma, stress, and discriminatory experiences influenced binge eating among 93 African American and 85 Caucasian women. Trauma and stress were significantly related to binge eating for both groups, although the stress- binge eating relationship was stronger for Caucasian women. Ethnicity did not moderate the relationship between trauma and binge eating, but did moderate the stress-binge eating relationship. Finally, the hypothesis that trauma and stress would influence binge eating through their effects on function of eating was partially supported; the relationship between stress and binge eating was partially mediated by function of eating among Caucasian women. The implications of these findings for our understanding of binge eating are discussed. (PsycINFO Database Record (c) 2016 APA, all rights reserved) (Source: journal abstract)","container-title":"Cultural Diversity and Ethnic Minority Psychology","DOI":"http://dx.doi.org.ezproxy.lib.ou.edu/10.1037/1099-9809.12.2.212","ISSN":"1099-9809","issue":"2","language":"English","page":"212-229","source":"ProQuest","title":"The relationships among trauma, stress, ethnicity, and binge eating","volume":"12","author":[{"family":"Harrington","given":"Ellen F."},{"family":"Crowther","given":"Janis H."},{"family":"Payne Henrickson","given":"Heather C."},{"family":"Mickelson","given":"Kristin D."},{"family":"Link to external site","given":"this","dropping-particle":"link will open in a new window"}],"issued":{"date-parts":[["2006",4]]}}}],"schema":"https://github.com/citation-style-language/schema/raw/master/csl-citation.json"} </w:instrText>
      </w:r>
      <w:r w:rsidRPr="00AA685E">
        <w:fldChar w:fldCharType="separate"/>
      </w:r>
      <w:r w:rsidRPr="00AA685E">
        <w:t>(Harrington et al., 2006)</w:t>
      </w:r>
      <w:r w:rsidRPr="00AA685E">
        <w:fldChar w:fldCharType="end"/>
      </w:r>
      <w:r w:rsidRPr="00AA685E">
        <w:t xml:space="preserve">, Latina </w:t>
      </w:r>
      <w:r>
        <w:t xml:space="preserve">American </w:t>
      </w:r>
      <w:r w:rsidRPr="00AA685E">
        <w:fldChar w:fldCharType="begin"/>
      </w:r>
      <w:r w:rsidRPr="00AA685E">
        <w:instrText xml:space="preserve"> ADDIN ZOTERO_ITEM CSL_CITATION {"citationID":"g6yk5qsp","properties":{"formattedCitation":"(Higgins Neyland &amp; Bardone-Cone, 2017)","plainCitation":"(Higgins Neyland &amp; Bardone-Cone, 2017)","noteIndex":0},"citationItems":[{"id":4,"uris":["http://zotero.org/users/local/aUK5ZLEi/items/5WIXFV2L"],"uri":["http://zotero.org/users/local/aUK5ZLEi/items/5WIXFV2L"],"itemData":{"id":4,"type":"article-journal","abstract":"Objectives: Despite comparable prevalence of some eating disorders (e.g., binge eating disorder) among Latinas compared with Caucasians, eating disorders are still thought of as primarily afflicting Caucasian women. This has led to a lag in research on eating disorders among Latinas. Our objective was to test 3 escape theory models involving the culturally specific independent variables of acculturative stress, family disconnection, and discriminatory stress; the mediator of negative affect; and the dependent variable of binge eating frequency. Method: We recruited a female sample of 119 Latinas (78 who have suffered from an eating disorder, 41 who have never had an eating disorder). Results: Results indicated that all of the relationships between culturally specific factors and binge eating were mediated by negative affect, and that there was a significant direct pathway from discriminatory stress to binge eating. Conclusions: Findings from this study can be used to tailor interventions to Latinas who engage in binge eating, targeting culturally specific factors and their relationships with negative affect and binge eating. (PsycINFO Database Record (c) 2017 APA, all rights reserved) (Source: journal abstract)","container-title":"Cultural Diversity and Ethnic Minority Psychology","DOI":"http://dx.doi.org.ezproxy.lib.ou.edu/10.1037/cdp0000130","ISSN":"1099-9809","issue":"3","language":"English","page":"373-381","source":"ProQuest","title":"Tests of escape theory of binge eating among Latinas","volume":"23","author":[{"family":"Higgins Neyland","given":"M. K."},{"family":"Bardone-Cone","given":"Anna M."}],"issued":{"date-parts":[["2017",7]]}}}],"schema":"https://github.com/citation-style-language/schema/raw/master/csl-citation.json"} </w:instrText>
      </w:r>
      <w:r w:rsidRPr="00AA685E">
        <w:fldChar w:fldCharType="separate"/>
      </w:r>
      <w:r w:rsidRPr="00AA685E">
        <w:t>(</w:t>
      </w:r>
      <w:r w:rsidR="00932390">
        <w:t>Higgins-Neyland</w:t>
      </w:r>
      <w:r w:rsidRPr="00AA685E">
        <w:t xml:space="preserve"> &amp; Bardone-Cone, 2017)</w:t>
      </w:r>
      <w:r w:rsidRPr="00AA685E">
        <w:fldChar w:fldCharType="end"/>
      </w:r>
      <w:r w:rsidRPr="00AA685E">
        <w:t xml:space="preserve">, and American Indian </w:t>
      </w:r>
      <w:r w:rsidRPr="00AA685E">
        <w:fldChar w:fldCharType="begin"/>
      </w:r>
      <w:r>
        <w:instrText xml:space="preserve"> ADDIN ZOTERO_ITEM CSL_CITATION {"citationID":"jsZ9ZOsl","properties":{"formattedCitation":"(J. D. Clark &amp; Winterowd, 2012)","plainCitation":"(J. D. Clark &amp; Winterowd, 2012)","noteIndex":0},"citationItems":[{"id":119,"uris":["http://zotero.org/users/local/aUK5ZLEi/items/CAQUCQKE"],"uri":["http://zotero.org/users/local/aUK5ZLEi/items/CAQUCQKE"],"itemData":{"id":119,"type":"article-journal","abstract":"Among a sample of Native American/American Indian women, this study explored the linear relationship of historical loss, acculturation, racism, and emotional distress to binge-eating behavior and level of obesity as determined by body mass index. Emotional distress, experiences of racism, and feelings about historical loss were significantly related to binge-eating behaviors, with emotional distress being the most significant predictor. Este estudio exploró entre Indios Americanos la relación linear de la pérdida histórica, la aculturación, el racismo y la angustia emocional con el comportamiento de atracones compulsivos y la obesidad, determinada por el índice de masa corporal. La angustia emocional, las experiencias de racismo y los sentimientos de pérdida histórica estuvieron significativamente relacionados con los comportamientos de atracones compulsivos, siendo la angustia emocional el vaticinador más significativo.","container-title":"Journal of Multicultural Counseling and Development","DOI":"10.1002/j.2161-1912.2012.00011.x","ISSN":"2161-1912","issue":"2","language":"en","page":"117-127","source":"Wiley Online Library","title":"Correlates and Predictors of Binge Eating Among Native American Women","volume":"40","author":[{"family":"Clark","given":"Julie Dorton"},{"family":"Winterowd","given":"Carrie"}],"issued":{"date-parts":[["2012"]]}}}],"schema":"https://github.com/citation-style-language/schema/raw/master/csl-citation.json"} </w:instrText>
      </w:r>
      <w:r w:rsidRPr="00AA685E">
        <w:fldChar w:fldCharType="separate"/>
      </w:r>
      <w:r>
        <w:t>(Clark &amp; Winterowd, 2012)</w:t>
      </w:r>
      <w:r w:rsidRPr="00AA685E">
        <w:fldChar w:fldCharType="end"/>
      </w:r>
      <w:r w:rsidRPr="00AA685E">
        <w:t xml:space="preserve"> women.</w:t>
      </w:r>
      <w:r w:rsidR="005F1C1C">
        <w:t xml:space="preserve"> </w:t>
      </w:r>
      <w:r w:rsidRPr="00AA685E">
        <w:t xml:space="preserve">According to Escape Theory, individuals use binge eating as a means to escape from the high pressures of reality </w:t>
      </w:r>
      <w:r w:rsidRPr="00AA685E">
        <w:fldChar w:fldCharType="begin"/>
      </w:r>
      <w:r w:rsidRPr="00AA685E">
        <w:instrText xml:space="preserve"> ADDIN ZOTERO_ITEM CSL_CITATION {"citationID":"TpSMvGrY","properties":{"formattedCitation":"(Higgins Neyland &amp; Bardone-Cone, 2017)","plainCitation":"(Higgins Neyland &amp; Bardone-Cone, 2017)","noteIndex":0},"citationItems":[{"id":4,"uris":["http://zotero.org/users/local/aUK5ZLEi/items/5WIXFV2L"],"uri":["http://zotero.org/users/local/aUK5ZLEi/items/5WIXFV2L"],"itemData":{"id":4,"type":"article-journal","abstract":"Objectives: Despite comparable prevalence of some eating disorders (e.g., binge eating disorder) among Latinas compared with Caucasians, eating disorders are still thought of as primarily afflicting Caucasian women. This has led to a lag in research on eating disorders among Latinas. Our objective was to test 3 escape theory models involving the culturally specific independent variables of acculturative stress, family disconnection, and discriminatory stress; the mediator of negative affect; and the dependent variable of binge eating frequency. Method: We recruited a female sample of 119 Latinas (78 who have suffered from an eating disorder, 41 who have never had an eating disorder). Results: Results indicated that all of the relationships between culturally specific factors and binge eating were mediated by negative affect, and that there was a significant direct pathway from discriminatory stress to binge eating. Conclusions: Findings from this study can be used to tailor interventions to Latinas who engage in binge eating, targeting culturally specific factors and their relationships with negative affect and binge eating. (PsycINFO Database Record (c) 2017 APA, all rights reserved) (Source: journal abstract)","container-title":"Cultural Diversity and Ethnic Minority Psychology","DOI":"http://dx.doi.org.ezproxy.lib.ou.edu/10.1037/cdp0000130","ISSN":"1099-9809","issue":"3","language":"English","page":"373-381","source":"ProQuest","title":"Tests of escape theory of binge eating among Latinas","volume":"23","author":[{"family":"Higgins Neyland","given":"M. K."},{"family":"Bardone-Cone","given":"Anna M."}],"issued":{"date-parts":[["2017",7]]}}}],"schema":"https://github.com/citation-style-language/schema/raw/master/csl-citation.json"} </w:instrText>
      </w:r>
      <w:r w:rsidRPr="00AA685E">
        <w:fldChar w:fldCharType="separate"/>
      </w:r>
      <w:r w:rsidRPr="00AA685E">
        <w:t>(</w:t>
      </w:r>
      <w:r w:rsidR="00932390">
        <w:t>Higgins-Neyland</w:t>
      </w:r>
      <w:r w:rsidRPr="00AA685E">
        <w:t xml:space="preserve"> &amp; Bardone-Cone, 2017)</w:t>
      </w:r>
      <w:r w:rsidRPr="00AA685E">
        <w:fldChar w:fldCharType="end"/>
      </w:r>
      <w:r w:rsidRPr="00AA685E">
        <w:t>.</w:t>
      </w:r>
      <w:r w:rsidR="005F1C1C">
        <w:t xml:space="preserve"> </w:t>
      </w:r>
      <w:r>
        <w:t>Although binging may provide temporarily relief from stress,</w:t>
      </w:r>
      <w:r w:rsidRPr="00AA685E">
        <w:t xml:space="preserve"> consistent and excessive binge eating can lead to excessive weight and health problems </w:t>
      </w:r>
      <w:r w:rsidRPr="00AA685E">
        <w:fldChar w:fldCharType="begin"/>
      </w:r>
      <w:r w:rsidRPr="00AA685E">
        <w:instrText xml:space="preserve"> ADDIN ZOTERO_ITEM CSL_CITATION {"citationID":"6aPwK67D","properties":{"formattedCitation":"(Higgins Neyland &amp; Bardone-Cone, 2017)","plainCitation":"(Higgins Neyland &amp; Bardone-Cone, 2017)","noteIndex":0},"citationItems":[{"id":4,"uris":["http://zotero.org/users/local/aUK5ZLEi/items/5WIXFV2L"],"uri":["http://zotero.org/users/local/aUK5ZLEi/items/5WIXFV2L"],"itemData":{"id":4,"type":"article-journal","abstract":"Objectives: Despite comparable prevalence of some eating disorders (e.g., binge eating disorder) among Latinas compared with Caucasians, eating disorders are still thought of as primarily afflicting Caucasian women. This has led to a lag in research on eating disorders among Latinas. Our objective was to test 3 escape theory models involving the culturally specific independent variables of acculturative stress, family disconnection, and discriminatory stress; the mediator of negative affect; and the dependent variable of binge eating frequency. Method: We recruited a female sample of 119 Latinas (78 who have suffered from an eating disorder, 41 who have never had an eating disorder). Results: Results indicated that all of the relationships between culturally specific factors and binge eating were mediated by negative affect, and that there was a significant direct pathway from discriminatory stress to binge eating. Conclusions: Findings from this study can be used to tailor interventions to Latinas who engage in binge eating, targeting culturally specific factors and their relationships with negative affect and binge eating. (PsycINFO Database Record (c) 2017 APA, all rights reserved) (Source: journal abstract)","container-title":"Cultural Diversity and Ethnic Minority Psychology","DOI":"http://dx.doi.org.ezproxy.lib.ou.edu/10.1037/cdp0000130","ISSN":"1099-9809","issue":"3","language":"English","page":"373-381","source":"ProQuest","title":"Tests of escape theory of binge eating among Latinas","volume":"23","author":[{"family":"Higgins Neyland","given":"M. K."},{"family":"Bardone-Cone","given":"Anna M."}],"issued":{"date-parts":[["2017",7]]}}}],"schema":"https://github.com/citation-style-language/schema/raw/master/csl-citation.json"} </w:instrText>
      </w:r>
      <w:r w:rsidRPr="00AA685E">
        <w:fldChar w:fldCharType="separate"/>
      </w:r>
      <w:r w:rsidRPr="00AA685E">
        <w:t>(</w:t>
      </w:r>
      <w:r w:rsidR="00932390">
        <w:t>Higgins-Neyland</w:t>
      </w:r>
      <w:r w:rsidRPr="00AA685E">
        <w:t xml:space="preserve"> &amp; Bardone-Cone, 2017)</w:t>
      </w:r>
      <w:r w:rsidRPr="00AA685E">
        <w:fldChar w:fldCharType="end"/>
      </w:r>
      <w:r w:rsidRPr="00AA685E">
        <w:t xml:space="preserve">. </w:t>
      </w:r>
    </w:p>
    <w:p w14:paraId="400DF278" w14:textId="04C932EE" w:rsidR="00A2596F" w:rsidRPr="00AA685E" w:rsidRDefault="00A2596F" w:rsidP="00A2596F">
      <w:pPr>
        <w:spacing w:line="480" w:lineRule="auto"/>
      </w:pPr>
      <w:r w:rsidRPr="00AA685E">
        <w:tab/>
        <w:t>Among a sample of Latinas with a history of binge eating disorder (</w:t>
      </w:r>
      <w:r w:rsidR="00D722AF">
        <w:rPr>
          <w:i/>
          <w:iCs/>
        </w:rPr>
        <w:t xml:space="preserve">n = </w:t>
      </w:r>
      <w:r w:rsidRPr="00AA685E">
        <w:t xml:space="preserve">119), discriminatory stress was both indirectly and directly predictive of binge eating </w:t>
      </w:r>
      <w:r w:rsidRPr="00AA685E">
        <w:fldChar w:fldCharType="begin"/>
      </w:r>
      <w:r w:rsidRPr="00AA685E">
        <w:instrText xml:space="preserve"> ADDIN ZOTERO_ITEM CSL_CITATION {"citationID":"FfzRKyQO","properties":{"formattedCitation":"(Higgins Neyland &amp; Bardone-Cone, 2017)","plainCitation":"(Higgins Neyland &amp; Bardone-Cone, 2017)","noteIndex":0},"citationItems":[{"id":4,"uris":["http://zotero.org/users/local/aUK5ZLEi/items/5WIXFV2L"],"uri":["http://zotero.org/users/local/aUK5ZLEi/items/5WIXFV2L"],"itemData":{"id":4,"type":"article-journal","abstract":"Objectives: Despite comparable prevalence of some eating disorders (e.g., binge eating disorder) among Latinas compared with Caucasians, eating disorders are still thought of as primarily afflicting Caucasian women. This has led to a lag in research on eating disorders among Latinas. Our objective was to test 3 escape theory models involving the culturally specific independent variables of acculturative stress, family disconnection, and discriminatory stress; the mediator of negative affect; and the dependent variable of binge eating frequency. Method: We recruited a female sample of 119 Latinas (78 who have suffered from an eating disorder, 41 who have never had an eating disorder). Results: Results indicated that all of the relationships between culturally specific factors and binge eating were mediated by negative affect, and that there was a significant direct pathway from discriminatory stress to binge eating. Conclusions: Findings from this study can be used to tailor interventions to Latinas who engage in binge eating, targeting culturally specific factors and their relationships with negative affect and binge eating. (PsycINFO Database Record (c) 2017 APA, all rights reserved) (Source: journal abstract)","container-title":"Cultural Diversity and Ethnic Minority Psychology","DOI":"http://dx.doi.org.ezproxy.lib.ou.edu/10.1037/cdp0000130","ISSN":"1099-9809","issue":"3","language":"English","page":"373-381","source":"ProQuest","title":"Tests of escape theory of binge eating among Latinas","volume":"23","author":[{"family":"Higgins Neyland","given":"M. K."},{"family":"Bardone-Cone","given":"Anna M."}],"issued":{"date-parts":[["2017",7]]}}}],"schema":"https://github.com/citation-style-language/schema/raw/master/csl-citation.json"} </w:instrText>
      </w:r>
      <w:r w:rsidRPr="00AA685E">
        <w:fldChar w:fldCharType="separate"/>
      </w:r>
      <w:r w:rsidRPr="00AA685E">
        <w:t>(</w:t>
      </w:r>
      <w:r w:rsidR="00932390">
        <w:t>Higgins-Neyland</w:t>
      </w:r>
      <w:r w:rsidRPr="00AA685E">
        <w:t xml:space="preserve"> &amp; Bardone-Cone, 2017)</w:t>
      </w:r>
      <w:r w:rsidRPr="00AA685E">
        <w:fldChar w:fldCharType="end"/>
      </w:r>
      <w:r w:rsidRPr="00AA685E">
        <w:t>.</w:t>
      </w:r>
      <w:r w:rsidR="005F1C1C">
        <w:t xml:space="preserve"> </w:t>
      </w:r>
      <w:r w:rsidRPr="00AA685E">
        <w:t>Increases in discriminatory stress would likely be followed by increases in binge episodes among participants.</w:t>
      </w:r>
      <w:r w:rsidR="005F1C1C">
        <w:t xml:space="preserve"> </w:t>
      </w:r>
      <w:r w:rsidRPr="00AA685E">
        <w:t>This trend was also evident among a sample of American Indian women (</w:t>
      </w:r>
      <w:r w:rsidR="00D722AF">
        <w:rPr>
          <w:i/>
          <w:iCs/>
        </w:rPr>
        <w:t xml:space="preserve">n = </w:t>
      </w:r>
      <w:r w:rsidRPr="00AA685E">
        <w:t>203).</w:t>
      </w:r>
      <w:r w:rsidR="005F1C1C">
        <w:t xml:space="preserve"> </w:t>
      </w:r>
      <w:r w:rsidRPr="00AA685E">
        <w:t xml:space="preserve">Along with emotional distress, race-related stress and lifetime racist experiences were the most significant predictors of binge eating among participants </w:t>
      </w:r>
      <w:r w:rsidRPr="00AA685E">
        <w:fldChar w:fldCharType="begin"/>
      </w:r>
      <w:r>
        <w:instrText xml:space="preserve"> ADDIN ZOTERO_ITEM CSL_CITATION {"citationID":"RA6Mf7fl","properties":{"formattedCitation":"(J. D. Clark &amp; Winterowd, 2012)","plainCitation":"(J. D. Clark &amp; Winterowd, 2012)","noteIndex":0},"citationItems":[{"id":119,"uris":["http://zotero.org/users/local/aUK5ZLEi/items/CAQUCQKE"],"uri":["http://zotero.org/users/local/aUK5ZLEi/items/CAQUCQKE"],"itemData":{"id":119,"type":"article-journal","abstract":"Among a sample of Native American/American Indian women, this study explored the linear relationship of historical loss, acculturation, racism, and emotional distress to binge-eating behavior and level of obesity as determined by body mass index. Emotional distress, experiences of racism, and feelings about historical loss were significantly related to binge-eating behaviors, with emotional distress being the most significant predictor. Este estudio exploró entre Indios Americanos la relación linear de la pérdida histórica, la aculturación, el racismo y la angustia emocional con el comportamiento de atracones compulsivos y la obesidad, determinada por el índice de masa corporal. La angustia emocional, las experiencias de racismo y los sentimientos de pérdida histórica estuvieron significativamente relacionados con los comportamientos de atracones compulsivos, siendo la angustia emocional el vaticinador más significativo.","container-title":"Journal of Multicultural Counseling and Development","DOI":"10.1002/j.2161-1912.2012.00011.x","ISSN":"2161-1912","issue":"2","language":"en","page":"117-127","source":"Wiley Online Library","title":"Correlates and Predictors of Binge Eating Among Native American Women","volume":"40","author":[{"family":"Clark","given":"Julie Dorton"},{"family":"Winterowd","given":"Carrie"}],"issued":{"date-parts":[["2012"]]}}}],"schema":"https://github.com/citation-style-language/schema/raw/master/csl-citation.json"} </w:instrText>
      </w:r>
      <w:r w:rsidRPr="00AA685E">
        <w:fldChar w:fldCharType="separate"/>
      </w:r>
      <w:r>
        <w:t>(Clark &amp; Winterowd, 2012)</w:t>
      </w:r>
      <w:r w:rsidRPr="00AA685E">
        <w:fldChar w:fldCharType="end"/>
      </w:r>
      <w:r w:rsidRPr="00AA685E">
        <w:t>.</w:t>
      </w:r>
      <w:r w:rsidR="005F1C1C">
        <w:t xml:space="preserve"> </w:t>
      </w:r>
      <w:r w:rsidRPr="00AA685E">
        <w:t>For both populations, discriminatory stress was associated with increases in binge eating.</w:t>
      </w:r>
      <w:r w:rsidR="005F1C1C">
        <w:t xml:space="preserve"> </w:t>
      </w:r>
      <w:r w:rsidRPr="00AA685E">
        <w:t xml:space="preserve">Given the psychological and physical health consequences, addressing minority stress may be key to treating binge eating among Latinas, American Indians, and potentially other </w:t>
      </w:r>
      <w:r w:rsidR="00D722AF">
        <w:t>racial/ethnic</w:t>
      </w:r>
      <w:r w:rsidRPr="00AA685E">
        <w:t xml:space="preserve"> minority females.</w:t>
      </w:r>
      <w:r w:rsidRPr="00AA685E">
        <w:tab/>
      </w:r>
    </w:p>
    <w:p w14:paraId="721BAEA5" w14:textId="42A99CEA" w:rsidR="00A2596F" w:rsidRPr="00AA685E" w:rsidRDefault="00A2596F" w:rsidP="00A2596F">
      <w:pPr>
        <w:spacing w:line="480" w:lineRule="auto"/>
      </w:pPr>
      <w:r w:rsidRPr="00AA685E">
        <w:tab/>
        <w:t xml:space="preserve">Discriminatory stress was also predictive of </w:t>
      </w:r>
      <w:r>
        <w:t xml:space="preserve">another harmful </w:t>
      </w:r>
      <w:r w:rsidRPr="00AA685E">
        <w:t xml:space="preserve">eating behavior </w:t>
      </w:r>
      <w:r>
        <w:t>among African American women.</w:t>
      </w:r>
      <w:r w:rsidR="005F1C1C">
        <w:t xml:space="preserve"> </w:t>
      </w:r>
      <w:r>
        <w:t xml:space="preserve">Researchers used a cross-sectional study to investigate the relationship between discriminatory stress and emotional among emerging adult, black females </w:t>
      </w:r>
      <w:r>
        <w:lastRenderedPageBreak/>
        <w:t>(</w:t>
      </w:r>
      <w:r w:rsidR="00D722AF">
        <w:rPr>
          <w:i/>
          <w:iCs/>
        </w:rPr>
        <w:t xml:space="preserve">n = </w:t>
      </w:r>
      <w:r>
        <w:t>149)</w:t>
      </w:r>
      <w:r w:rsidRPr="00AA685E">
        <w:t>.</w:t>
      </w:r>
      <w:r w:rsidR="005F1C1C">
        <w:t xml:space="preserve"> </w:t>
      </w:r>
      <w:r w:rsidRPr="00AA685E">
        <w:t xml:space="preserve">Race-related stress was significantly related to and a significant predictor of emotional eating </w:t>
      </w:r>
      <w:r w:rsidRPr="00AA685E">
        <w:fldChar w:fldCharType="begin"/>
      </w:r>
      <w:r w:rsidRPr="00AA685E">
        <w:instrText xml:space="preserve"> ADDIN ZOTERO_ITEM CSL_CITATION {"citationID":"Bru2xMH5","properties":{"formattedCitation":"(Longmire-Avital &amp; McQueen, 2019)","plainCitation":"(Longmire-Avital &amp; McQueen, 2019)","noteIndex":0},"citationItems":[{"id":60,"uris":["http://zotero.org/users/local/aUK5ZLEi/items/FU2PKGVY"],"uri":["http://zotero.org/users/local/aUK5ZLEi/items/FU2PKGVY"],"itemData":{"id":60,"type":"article-journal","abstract":"Four out of five Black women in the United States, over the age of 20 years, meet criteria for obesity. A critical determinant of pervasive health disparities, such as obesity, may be the Black woman’s sociocultural experience. One part of this experience is the stress that results from daily encounters with microaggressions. Research has been limited on the association of race-related stress with maladaptive health behaviors among Black women and at what age this association is visible. The aim of this exploratory cross-sectional study was to investigate whether perceived race-related stress was associated with an obesity risk behavior, emotional eating. One hundred and forty-nine collegiate Black American women from across the United States completed an anonymous online survey during the summer of 2014. Race-related stress was moderately correlated with emotional eating (r = 0.32, p &lt; 0.001). However, a hierarchical linear regression revealed that the relationship between race-related stress and emotional eating remained significant after controlling for weight range and general perceived stress. Race-related stress contributed an additional 3.9 percent of the explained variance for emotional eating. Interventions for weight loss and management targeting young adult Black women must acknowledge how their perceived racial experience is linked to health behaviors and outcomes.","container-title":"Women &amp; Health","DOI":"10.1080/03630242.2018.1478361","ISSN":"0363-0242","issue":"3","note":"PMID: 29920181","page":"240-251","source":"Taylor and Francis+NEJM","title":"Exploring a relationship between race-related stress and emotional eating for collegiate Black American women","volume":"59","author":[{"family":"Longmire-Avital","given":"Buffie"},{"family":"McQueen","given":"Chelsea"}],"issued":{"date-parts":[["2019",3,16]]}}}],"schema":"https://github.com/citation-style-language/schema/raw/master/csl-citation.json"} </w:instrText>
      </w:r>
      <w:r w:rsidRPr="00AA685E">
        <w:fldChar w:fldCharType="separate"/>
      </w:r>
      <w:r w:rsidRPr="00AA685E">
        <w:t>(Longmire-Avital &amp; McQueen, 2019)</w:t>
      </w:r>
      <w:r w:rsidRPr="00AA685E">
        <w:fldChar w:fldCharType="end"/>
      </w:r>
      <w:r w:rsidRPr="00AA685E">
        <w:t>.</w:t>
      </w:r>
      <w:r w:rsidR="005F1C1C">
        <w:t xml:space="preserve"> </w:t>
      </w:r>
      <w:r w:rsidRPr="00AA685E">
        <w:t xml:space="preserve"> As participants reported higher levels of stress due to racism, they reported more reliance on food as a coping mechanism.</w:t>
      </w:r>
    </w:p>
    <w:p w14:paraId="2B07F3F7" w14:textId="7594827B" w:rsidR="00A2596F" w:rsidRPr="00AA685E" w:rsidRDefault="00A2596F" w:rsidP="00A2596F">
      <w:pPr>
        <w:spacing w:line="480" w:lineRule="auto"/>
      </w:pPr>
      <w:r w:rsidRPr="00AA685E">
        <w:tab/>
        <w:t>In a weight loss study, race was significantly associated with weight change</w:t>
      </w:r>
      <w:r w:rsidRPr="003E0A38">
        <w:t>–</w:t>
      </w:r>
      <w:r w:rsidRPr="00AA685E">
        <w:t>African American women (</w:t>
      </w:r>
      <w:r w:rsidR="00D722AF">
        <w:rPr>
          <w:i/>
          <w:iCs/>
        </w:rPr>
        <w:t xml:space="preserve">n = </w:t>
      </w:r>
      <w:r w:rsidRPr="00AA685E">
        <w:t>84) lost significantly less weight than white women (</w:t>
      </w:r>
      <w:r w:rsidR="00D722AF">
        <w:rPr>
          <w:i/>
          <w:iCs/>
        </w:rPr>
        <w:t xml:space="preserve">n = </w:t>
      </w:r>
      <w:r w:rsidRPr="00AA685E">
        <w:t>133).</w:t>
      </w:r>
      <w:r w:rsidR="005F1C1C">
        <w:t xml:space="preserve"> </w:t>
      </w:r>
      <w:r w:rsidRPr="00AA685E">
        <w:t xml:space="preserve">African American participants also reported significantly higher levels of perceived stress as compared to Caucasian participants, and as stress increased, weight tended to increase </w:t>
      </w:r>
      <w:r w:rsidRPr="00AA685E">
        <w:fldChar w:fldCharType="begin"/>
      </w:r>
      <w:r w:rsidRPr="00AA685E">
        <w:instrText xml:space="preserve"> ADDIN ZOTERO_ITEM CSL_CITATION {"citationID":"Md5dFRoJ","properties":{"formattedCitation":"(Kim et al., 2009)","plainCitation":"(Kim et al., 2009)","noteIndex":0},"citationItems":[{"id":54,"uris":["http://zotero.org/users/local/aUK5ZLEi/items/3CPQNCJY"],"uri":["http://zotero.org/users/local/aUK5ZLEi/items/3CPQNCJY"],"itemData":{"id":54,"type":"article-journal","abstract":"Objective: Stress has been identified as a significant factor in health and in racial/ethnic health disparities. A potential mediator in these relationships is body weight. Design: Cross-sectional and longitudinal relationships between stress, race, and body weight were examined in an ethnically diverse sample of overweight and obese women with Type 2 diabetes (n = 217) enrolled in a behavioral weight loss program. Main Outcome Measures: Stress (Perceived Stress Scale) was assessed at baseline only and body weight (body mass index) was assessed at baseline and 6 months. Results: Stress was not related to baseline body weight. With every 1 unit lower scored on the baseline stress measure, women lost 0.10 kg ± .04 more at 6 months (p &lt; .05). When women were divided into tertiles based on baseline stress scores, those in the lowest stress group had significantly greater weight loss (5.2 kg ± 4.9) compared with those in the highest stress group (3.0 kg ± 4.0) (p &lt; .05). There was a trend for African Americans to report higher levels of stress (20.7 ± 8.8) than Whites (18.3 ± 8.3) (p = .08). Conclusion: The association between higher stress and diminished weight loss has implications for enhancing weight loss programs for women with Type 2 diabetes. (PsycINFO Database Record (c) 2016 APA, all rights reserved) (Source: journal abstract)","container-title":"Health Psychology","DOI":"http://dx.doi.org.ezproxy.lib.ou.edu/10.1037/a0012648","ISSN":"0278-6133","issue":"1","language":"English","page":"131-135","source":"ProQuest","title":"Stress, race, and body weight","volume":"28","author":[{"family":"Kim","given":"Karen Hye-cheon"},{"family":"Bursac","given":"Zoran"},{"family":"DiLillo","given":"Vicki"},{"family":"White","given":"Della Brown"},{"family":"West","given":"Delia Smith"}],"issued":{"date-parts":[["2009",1]]}}}],"schema":"https://github.com/citation-style-language/schema/raw/master/csl-citation.json"} </w:instrText>
      </w:r>
      <w:r w:rsidRPr="00AA685E">
        <w:fldChar w:fldCharType="separate"/>
      </w:r>
      <w:r w:rsidRPr="00AA685E">
        <w:t>(Kim et al., 2009)</w:t>
      </w:r>
      <w:r w:rsidRPr="00AA685E">
        <w:fldChar w:fldCharType="end"/>
      </w:r>
      <w:r w:rsidRPr="00AA685E">
        <w:t>.</w:t>
      </w:r>
      <w:r w:rsidR="005F1C1C">
        <w:t xml:space="preserve"> </w:t>
      </w:r>
      <w:r w:rsidRPr="00AA685E">
        <w:t>Although discriminatory stress was not specifically measured, the results suggest that stress and race were significant inhibitors to weight loss among participants.</w:t>
      </w:r>
      <w:r w:rsidR="005F1C1C">
        <w:t xml:space="preserve"> </w:t>
      </w:r>
      <w:r w:rsidRPr="00AA685E">
        <w:t xml:space="preserve">As discriminatory stress has been associated with increased weight gain among racial minorities </w:t>
      </w:r>
      <w:r w:rsidRPr="00AA685E">
        <w:fldChar w:fldCharType="begin"/>
      </w:r>
      <w:r w:rsidRPr="00AA685E">
        <w:instrText xml:space="preserve"> ADDIN ZOTERO_ITEM CSL_CITATION {"citationID":"DRggPZKY","properties":{"formattedCitation":"(Brody et al., 2018; Cozier et al., 2009)","plainCitation":"(Brody et al., 2018; Cozier et al., 2009)","noteIndex":0},"citationItems":[{"id":40,"uris":["http://zotero.org/users/local/aUK5ZLEi/items/8PD4HQTK"],"uri":["http://zotero.org/users/local/aUK5ZLEi/items/8PD4HQTK"],"itemData":{"id":40,"type":"article-journal","abstract":"Objective: To examine prospective relations of perceived racial discrimination at ages 16–18 with body mass index (BMI) at ages 19–21 and insulin resistance (IR) at ages 25 and 27 among Black youth in the rural South, and to determine whether BMI connected discrimination to IR as a mediator. Method: Participants were 315 African American adolescents in rural counties in Georgia who provided data on their perceptions of discrimination during adolescence. BMI was measured during a yearly home visit, and a certified phlebotomist drew a fasting blood sample from which IR was measured. Results: The data analysis, with all confounding variables controlled, revealed that, over time, (a) discrimination was associated positively with both BMI and IR; (b) BMI was associated positively with IR; and (c) BMI acted as a mediator connecting discrimination with IR. Conclusions: The findings are consistent with the hypothesis that exposure to discrimination presages IR through its effects on BMI. (PsycINFO Database Record (c) 2018 APA, all rights reserved) (Source: journal abstract)","container-title":"Health Psychology","DOI":"http://dx.doi.org.ezproxy.lib.ou.edu/10.1037/hea0000674","ISSN":"0278-6133","issue":"12","language":"English","page":"1107-1114","source":"ProQuest","title":"Racial discrimination, body mass index, and insulin resistance: A longitudinal analysis","title-short":"Racial discrimination, body mass index, and insulin resistance","volume":"37","author":[{"family":"Brody","given":"Gene H."},{"family":"Link to external site","given":"this","dropping-particle":"link will open in a new window"},{"family":"Yu","given":"Tianyi"},{"family":"Chen","given":"Edith"},{"family":"Ehrlich","given":"Katherine B."},{"family":"Miller","given":"Gregory E."}],"issued":{"date-parts":[["2018",12]]}}},{"id":80,"uris":["http://zotero.org/users/local/aUK5ZLEi/items/2YKLA3VA"],"uri":["http://zotero.org/users/local/aUK5ZLEi/items/2YKLA3VA"],"itemData":{"id":80,"type":"article-journal","abstract":"PURPOSE: Obesity is more common in black women than in white women. Racial discrimination is a form of chronic stress that may inﬂuence weight.\nMETHODS: We assessed the association of perceived racism with weight change between 1997 and 2005 in 43,103 women from the Black Women’s Health Study, a prospective follow-up of U.S. black women aged 21–69 years at entry in 1995. Eight questions about perceptions and experiences of racism were asked in 1997 from which two summary variables were created: everyday racism (e.g., how often do people act ‘‘as if you are not intelligent?’’), and lifetime racism (e.g., unfair treatment due to race ‘‘on the job’’). Mixed linear regression models were used to calculate the multivariate adjusted means for changes in body weight across categories of perceived racism.\nRESULTS: Weight gain increased as levels of everyday and lifetime racism increased. The mean multivariable-adjusted difference in weight change between the highest and the lowest quartile of everyday racism was 0.56 kg. The mean difference comparing the highest category of lifetime racism to the lowest was 0.48 kg.\nCONCLUSION: These prospective data suggest that experiences of racism may contribute to the excess burden of obesity in U.S. black women. Ann Epidemiol 2009;19:379–387. Ó 2009 Elsevier Inc. All rights reserved.","container-title":"Annals of Epidemiology","DOI":"10.1016/j.annepidem.2009.01.008","ISSN":"10472797","issue":"6","journalAbbreviation":"Annals of Epidemiology","language":"en","page":"379-387","source":"DOI.org (Crossref)","title":"Perceived Racism in Relation to Weight Change in the Black Women's Health Study","volume":"19","author":[{"family":"Cozier","given":"Yvette C."},{"family":"Wise","given":"Lauren A."},{"family":"Palmer","given":"Julie R."},{"family":"Rosenberg","given":"Lynn"}],"issued":{"date-parts":[["2009",6]]}}}],"schema":"https://github.com/citation-style-language/schema/raw/master/csl-citation.json"} </w:instrText>
      </w:r>
      <w:r w:rsidRPr="00AA685E">
        <w:fldChar w:fldCharType="separate"/>
      </w:r>
      <w:r w:rsidRPr="00AA685E">
        <w:t>(Brody et al., 2018; Cozier et al., 2009)</w:t>
      </w:r>
      <w:r w:rsidRPr="00AA685E">
        <w:fldChar w:fldCharType="end"/>
      </w:r>
      <w:r w:rsidRPr="00AA685E">
        <w:t>, it may also have been a significant barrier for participant</w:t>
      </w:r>
      <w:r>
        <w:t>s</w:t>
      </w:r>
      <w:r w:rsidRPr="00AA685E">
        <w:t xml:space="preserve"> in this study as well.</w:t>
      </w:r>
      <w:r w:rsidR="005F1C1C">
        <w:t xml:space="preserve"> </w:t>
      </w:r>
    </w:p>
    <w:p w14:paraId="6B2726AA" w14:textId="6DF838BC" w:rsidR="00A2596F" w:rsidRPr="00AA685E" w:rsidRDefault="00A2596F" w:rsidP="00A2596F">
      <w:pPr>
        <w:spacing w:line="480" w:lineRule="auto"/>
      </w:pPr>
      <w:r w:rsidRPr="00AA685E">
        <w:tab/>
        <w:t xml:space="preserve"> </w:t>
      </w:r>
      <w:r w:rsidR="00D722AF">
        <w:t>Racial/ethnic</w:t>
      </w:r>
      <w:r w:rsidRPr="00AA685E">
        <w:t xml:space="preserve"> minorities chronically experience racism and discrimination that leads to increased stress and psychological strain </w:t>
      </w:r>
      <w:r w:rsidRPr="00AA685E">
        <w:fldChar w:fldCharType="begin"/>
      </w:r>
      <w:r>
        <w:instrText xml:space="preserve"> ADDIN ZOTERO_ITEM CSL_CITATION {"citationID":"gaKzKbSk","properties":{"formattedCitation":"(J. D. Clark &amp; Winterowd, 2012; Kaduvettoor-Davidson &amp; Inman, 2013; Simons et al., 2018)","plainCitation":"(J. D. Clark &amp; Winterowd, 2012; Kaduvettoor-Davidson &amp; Inman, 2013; Simons et al., 2018)","noteIndex":0},"citationItems":[{"id":119,"uris":["http://zotero.org/users/local/aUK5ZLEi/items/CAQUCQKE"],"uri":["http://zotero.org/users/local/aUK5ZLEi/items/CAQUCQKE"],"itemData":{"id":119,"type":"article-journal","abstract":"Among a sample of Native American/American Indian women, this study explored the linear relationship of historical loss, acculturation, racism, and emotional distress to binge-eating behavior and level of obesity as determined by body mass index. Emotional distress, experiences of racism, and feelings about historical loss were significantly related to binge-eating behaviors, with emotional distress being the most significant predictor. Este estudio exploró entre Indios Americanos la relación linear de la pérdida histórica, la aculturación, el racismo y la angustia emocional con el comportamiento de atracones compulsivos y la obesidad, determinada por el índice de masa corporal. La angustia emocional, las experiencias de racismo y los sentimientos de pérdida histórica estuvieron significativamente relacionados con los comportamientos de atracones compulsivos, siendo la angustia emocional el vaticinador más significativo.","container-title":"Journal of Multicultural Counseling and Development","DOI":"10.1002/j.2161-1912.2012.00011.x","ISSN":"2161-1912","issue":"2","language":"en","page":"117-127","source":"Wiley Online Library","title":"Correlates and Predictors of Binge Eating Among Native American Women","volume":"40","author":[{"family":"Clark","given":"Julie Dorton"},{"family":"Winterowd","given":"Carrie"}],"issued":{"date-parts":[["2012"]]}}},{"id":124,"uris":["http://zotero.org/users/local/aUK5ZLEi/items/IYYFJJIP"],"uri":["http://zotero.org/users/local/aUK5ZLEi/items/IYYFJJIP"],"itemData":{"id":124,"type":"article-journal","abstract":"This study examined the potential mediating role of racism-related stress and the potential moderating role of generational status in the experience of discrimination for 210 South Asians in the United States. Participants completed a demographic questionnaire, the General Ethnic Discrimination Scale (H. Landrine, E. A. Klonoff, I. Corral, S. Fernandez, and S. Roesch, 2006, Conceptualizing and measuring ethnic discrimination in health research, Journal of Behavioral Medicine, Vol. 29, pp. 79–94), the Rosenberg Self-Esteem Scale (M. Rosenberg, 1965, Society and Adolescent Self-Image, Princeton, NJ: Princeton University Press), and the Satisfaction with Life Scale (SWLS; E. Diener, R. A. Emmons, R. J. Larsen, &amp; S. Griffin, 1985, The satisfaction with life scale, Journal of Personality Assessment, Vol. 49, pp. 71–75). The hypothesized structural equation model fit well for first- and second-generation South Asians, yet mediation and moderation were not supported. Perceived discrimination significantly related to perceived stress for both groups of South Asians. Implications for theory, research, and practice are discussed. (PsycINFO Database Record (c) 2017 APA, all rights reserved) (Source: journal abstract)","container-title":"Asian American Journal of Psychology","DOI":"http://dx.doi.org.ezproxy.lib.ou.edu/10.1037/a0030634","ISSN":"1948-1985","issue":"3","language":"English","page":"155-165","source":"ProQuest","title":"South Asian Americans: Perceived discrimination, stress, and well-being","title-short":"South Asian Americans","volume":"4","author":[{"family":"Kaduvettoor-Davidson","given":"Anju"},{"family":"Inman","given":"Arpana G."}],"issued":{"date-parts":[["2013",9]]}}},{"id":95,"uris":["http://zotero.org/users/local/aUK5ZLEi/items/F3B665QW"],"uri":["http://zotero.org/users/local/aUK5ZLEi/items/F3B665QW"],"itemData":{"id":95,"type":"article-journal","abstract":"Several studies have reported a relation between race-related stressors and the poor health of Black Americans. Such findings raise questions regarding the mediating biological mechanisms that might account for this link. The present study investigated elevated systemic inflammation, a factor shown to be a strong predictor of chronic illness and mortality in all ethnic populations, as a possible factor. Using 7 waves of data from the Family and Community Health Study, collected over a 20-year period from over 400 Black Americans, we investigated the extent to which exposure to discrimination and segregation at various points in the life course predicted adult inflammation at age 28. Our analyses examined whether cumulative stress, stress generation, or predictive adaptive response (PAR) models best accounted for any associations that existed between these race-related stressors and adult inflammation. At every wave of data collection, assessments of discrimination and segregation were related to adult inflammation. However, multivariate analyses using structure equation modeling indicated that the PAR model best explained the effect of these race-related stressors on inflammation. Exposure to discrimination and segregation during the juvenile years predicted adult inflammation and amplified the inflammatory effect of adult exposure to these race-related stressors. These effects were considerably more robust than that of traditional health risk factors such as diet, exercise, smoking, and low SES. Implications of these findings are discussed, including the limitations of the widely accepted risk factor approach to increasing the health of Black Americans. (PsycINFO Database Record (c) 2018 APA, all rights reserved) (Source: journal abstract)","container-title":"Developmental Psychology","DOI":"http://dx.doi.org.ezproxy.lib.ou.edu/10.1037/dev0000511","ISSN":"0012-1649","issue":"10","language":"English","page":"1993-2006","source":"ProQuest","title":"Discrimination, segregation, and chronic inflammation: Testing the weathering explanation for the poor health of Black Americans","title-short":"Discrimination, segregation, and chronic inflammation","volume":"54","author":[{"family":"Simons","given":"Ronald L."},{"family":"Lei","given":"Man-Kit"},{"family":"Beach","given":"Steven R. H."},{"family":"Barr","given":"Ashley B."},{"family":"Simons","given":"Leslie G."},{"family":"Gibbons","given":"Frederick X."},{"family":"Philibert","given":"Robert A."}],"issued":{"date-parts":[["2018",10]]}}}],"schema":"https://github.com/citation-style-language/schema/raw/master/csl-citation.json"} </w:instrText>
      </w:r>
      <w:r w:rsidRPr="00AA685E">
        <w:fldChar w:fldCharType="separate"/>
      </w:r>
      <w:r>
        <w:t>(Clark &amp; Winterowd, 2012; Kaduvettoor-Davidson &amp; Inman, 2013; Simons et al., 2018)</w:t>
      </w:r>
      <w:r w:rsidRPr="00AA685E">
        <w:fldChar w:fldCharType="end"/>
      </w:r>
      <w:r w:rsidRPr="00AA685E">
        <w:t>.</w:t>
      </w:r>
      <w:r w:rsidR="005F1C1C">
        <w:t xml:space="preserve"> </w:t>
      </w:r>
      <w:r w:rsidRPr="00AA685E">
        <w:t xml:space="preserve">Research has proven that when stress increases, the body responds by secreting cortisol, stimulating food ingestion </w:t>
      </w:r>
      <w:r w:rsidRPr="00AA685E">
        <w:fldChar w:fldCharType="begin"/>
      </w:r>
      <w:r w:rsidRPr="00AA685E">
        <w:instrText xml:space="preserve"> ADDIN ZOTERO_ITEM CSL_CITATION {"citationID":"hTi0SW3w","properties":{"formattedCitation":"(Kistenmacher et al., 2018; Sinha et al., 2019)","plainCitation":"(Kistenmacher et al., 2018; Sinha et al., 2019)","noteIndex":0},"citationItems":[{"id":30,"uris":["http://zotero.org/users/local/aUK5ZLEi/items/Q6J7HMIA"],"uri":["http://zotero.org/users/local/aUK5ZLEi/items/Q6J7HMIA"],"itemData":{"id":30,"type":"article-journal","abstract":"Psychosocial stress may lead to increased food consumption and overweight. In turn, obesity is related to reduced brain energy content. We hypothesized that psychosocial stress influencing food intake may alter the neuroenergetic status in the human brain. We tested 14 healthy normal weight men in a randomized crossover design. A modified version of the Trier Social Stress Test (TSST) was carried out to induce psychosocial stress vs. control in a neuroimaging setting. Cerebral energy content, i.e. high energy phosphates adenosine triphosphate (ATP) and phosphocreatine (PCr), was measured by 31phosphorus magnetic resonance spectroscopy. Food intake was quantified by an ad libitum buffet test. Stress hormonal response and alterations in glucose metabolism were monitored by blood sampling. Before data collection, we mainly expected a stress-induced reduction in cerebral high energy phosphates, followed by higher food intake. Psychosocial stress increased serum cortisol concentrations (p = .003) and fat intake of all participants by 25% (p = .043), as well as food intake of “stress-eaters” by 41.1% (p = .003) compared with controls. Blood glucose and insulin concentrations were not affected (p &gt; .174 for both). Cerebral ATP and PCr levels generally increased upon stress-induction (p &gt; = .022 and p = .037, respectively). Our data confirm that psychosocial stress may enhance food intake. Contrary to our expectations, stress induces a distinct increase in the neuroenergetic status. This insight suggests that the underlying central nervous mechanisms of stress-induced overeating may involve the regulation of the brain energy homeostasis. (PsycINFO Database Record (c) 2018 APA, all rights reserved) (Source: journal abstract)","container-title":"Stress: The International Journal on the Biology of Stress","DOI":"http://dx.doi.org.ezproxy.lib.ou.edu/10.1080/10253890.2018.1485645","ISSN":"1025-3890","language":"English","page":"No Pagination Specified","source":"ProQuest","title":"Psychosocial stress promotes food intake and enhances the neuroenergetic level in men","author":[{"family":"Kistenmacher","given":"Alina"},{"family":"Goetsch","given":"Jakob"},{"family":"Ullmann","given":"Dorothee"},{"family":"Wardzinski","given":"Ewelina K."},{"family":"Melchert","given":"Uwe H."},{"family":"Jauch-Chara","given":"Kamila"},{"family":"Oltmanns","given":"Kerstin M."}],"issued":{"date-parts":[["2018",6,28]]}}},{"id":27,"uris":["http://zotero.org/users/local/aUK5ZLEi/items/IDGUI8DC"],"uri":["http://zotero.org/users/local/aUK5ZLEi/items/IDGUI8DC"],"itemData":{"id":27,"type":"article-journal","abstract":"Overeating of highly palatable (HP) foods in the ubiquitous HP food cue environment and under stress is associated with weight gain and contributes to the global obesity epidemic. However, subjective and biobehavioral processes that may increase HP overeating are not clear. Using a novel experimental approach, we examined HP food motivation and intake and neuroendocrine responses in the context of food cues, stress and a control neutral relaxing cue exposure in healthy individuals. Methods: Twenty individuals (12 M; 8F; ages 18–45) with body mass index (BMI) in the lean (LN: N = 8; 3/8 female BMI: 18–24.9) or overweight/obese (OW: N = 12; 5/ 12 female; BMI: 25–37) range were enrolled in a controlled, hospital-based, 3-day laboratory experiment. On each day, subjects were exposed to a brief 5-min individualized guided imagery of stress, food cue or an active neutral-relaxing control cue script, followed by a food snack test (FST), with one imagery condition per day and order of imagery exposure randomized and counterbalanced across subjects. Subjective HP food craving and caloric intake, anxiety, cortisol and total ghrelin was assessed repeatedly during each test day. Results: Significant condition and condition × group effects for food craving, anxiety and HP calorie intake were observed, with food cue relative to neutral condition increasing HP food craving and intake across all subjects (p &lt; .001), but stress relative to neutral condition increased HP food craving and intake in the OW but not LN group (p &lt; .01). Pre-snack increases in food craving after exposure to food cues and to stress predicted greater subsequent HP food intake (p's &lt; 0.01). Furthermore, ghrelin increased in the food cue and stress conditions (p &lt; .01), but stress-induced increases in ghrelin was associated with HP food intake only in the OW/OB condition (p &lt; .01). Finally, cortisol increased during food cue exposure and increased cortisol responses were associated with greater HP food caving and with intake (p's &lt; 0.05). Conclusions: These findings, while preliminary, validate a laboratory model of HP food motivation and intake and identify specific subjective and neuroendocrine responses that may play a role in HP snacking with implications for weight gain and obesity risk. (342 words).","container-title":"Physiology &amp; Behavior","DOI":"10.1016/j.physbeh.2019.112563","ISSN":"00319384","journalAbbreviation":"Physiology &amp; Behavior","language":"en","page":"112563","source":"DOI.org (Crossref)","title":"Food craving, cortisol and ghrelin responses in modeling highly palatable snack intake in the laboratory","volume":"208","author":[{"family":"Sinha","given":"Rajita"},{"family":"Gu","given":"Peihua"},{"family":"Hart","given":"Rachel"},{"family":"Guarnaccia","given":"J.B."}],"issued":{"date-parts":[["2019",9]]}}}],"schema":"https://github.com/citation-style-language/schema/raw/master/csl-citation.json"} </w:instrText>
      </w:r>
      <w:r w:rsidRPr="00AA685E">
        <w:fldChar w:fldCharType="separate"/>
      </w:r>
      <w:r w:rsidRPr="00AA685E">
        <w:t>(Kistenmacher et al., 2018; Sinha et al., 2019)</w:t>
      </w:r>
      <w:r w:rsidRPr="00AA685E">
        <w:fldChar w:fldCharType="end"/>
      </w:r>
      <w:r w:rsidRPr="00AA685E">
        <w:t>.</w:t>
      </w:r>
      <w:r w:rsidR="005F1C1C">
        <w:t xml:space="preserve"> </w:t>
      </w:r>
      <w:r w:rsidRPr="00AA685E">
        <w:t xml:space="preserve">The physiological stimulation of hunger coupled </w:t>
      </w:r>
      <w:r>
        <w:t>with</w:t>
      </w:r>
      <w:r w:rsidRPr="00AA685E">
        <w:t xml:space="preserve"> the psychological additive of temporarily stress-relief </w:t>
      </w:r>
      <w:r w:rsidRPr="00AA685E">
        <w:fldChar w:fldCharType="begin"/>
      </w:r>
      <w:r w:rsidRPr="00AA685E">
        <w:instrText xml:space="preserve"> ADDIN ZOTERO_ITEM CSL_CITATION {"citationID":"hjHbzUES","properties":{"formattedCitation":"(Christaki et al., 2013; Laraia et al., 2018)","plainCitation":"(Christaki et al., 2013; Laraia et al., 2018)","noteIndex":0},"citationItems":[{"id":34,"uris":["http://zotero.org/users/local/aUK5ZLEi/items/UQH632DA"],"uri":["http://zotero.org/users/local/aUK5ZLEi/items/UQH632DA"],"itemData":{"id":34,"type":"article-journal","abstract":"Background Stress and negative emotions have been shown to be critical factors in inducing overeating as a form of maladaptive coping in obese people. Methods The present study aimed to evaluate the efficacy of an 8-week stress management programme that includes progressive muscle relaxation (PMR) and diaphragmatic breathing on weight loss and eating behaviour in a sample of overweight and obese women who started a weight-loss programme. A total of 34 women with a mean (SD) body mass index of 38.17 (7.19) kg m−² and mean (SD) age 47.35 (11.64) years were recruited from the outpatients Obesity Clinic of a public hospital in Athens. Participants were randomly assigned into a Stress Management (SM) and a control group. Anthropometric measurements were taken before and after the intervention, and the participants completed the following questionnaires: Dutch Eating Behaviour Questionnaire (DEBQ), Eating Attitudes Test (Eat-26), Health Locus of Control (HLC) and Perceived Stress Scale (PSS) before and after the intervention. Results The findings indicated a significant improvement in weight loss in the SM group [4.44 (0.83) kg] after intervention compared to the control group [1.38 (0.78) kg] (P &lt; 0.05). A higher restrained eating behaviour was observed in the SM group after intervention compared to the control group, although there was no significant difference in perceived stress levels. Conclusions The intervention group showed greater weight reduction, possibly because of the stress management programme, and a greater dietary restraint was demonstrated by them compared to the control group. It is likely that stress management could facilitate weight loss in obese women; however, more studies are needed to confirm this hypothesis.","container-title":"Journal of Human Nutrition and Dietetics","DOI":"10.1111/jhn.12086","ISSN":"1365-277X","issue":"s1","language":"en","page":"132-139","source":"Wiley Online Library","title":"Stress management can facilitate weight loss in Greek overweight and obese women: a pilot study","title-short":"Stress management can facilitate weight loss in Greek overweight and obese women","volume":"26","author":[{"family":"Christaki","given":"E."},{"family":"Kokkinos","given":"A."},{"family":"Costarelli","given":"V."},{"family":"Alexopoulos","given":"E. C."},{"family":"Chrousos","given":"G. P."},{"family":"Darviri","given":"C."}],"issued":{"date-parts":[["2013"]]}}},{"id":24,"uris":["http://zotero.org/users/local/aUK5ZLEi/items/6YBL62UR"],"uri":["http://zotero.org/users/local/aUK5ZLEi/items/6YBL62UR"],"itemData":{"id":24,"type":"article-journal","abstract":"&lt;italic&gt;Background&lt;/italic&gt; High stress and depression during pregnancy are risk factors for worsened health trajectories for both mother and offspring. This is also true for pre-pregnancy obesity and excessive gestational weight gain. Reducing stress and depression may be one path to prevent excessive caloric intake and gestational weight gain.&lt;italic&gt; Study Purpose&lt;/italic&gt; We tested the feasibility of two novel interventions aimed at reducing stress and overeating during pregnancy. Reflecting different theoretical underpinnings, the interventions target different mechanisms. Mindful Moms Training (MMT) uses mindfulness to improve awareness and acceptance of experiences and promote conscious rather than automatic behavior choices. Emotional Brain Training (EBT) uses active coping to change perceptions of negative experience and promote positive affective states.&lt;italic&gt; Methods&lt;/italic&gt; Forty-six overweight/obese low-income women were assigned to either MMT (n = 24) or EBT (n = 22) for an 8-week feasibility study. Pre-post changes in perceived stress, eating and presumed mechanisms were assessed.&lt;italic&gt; Results&lt;/italic&gt; Women reported high levels of stress at baseline. Both interventions were well attended and demonstrated clinically significant pre-post reductions in stress, depressive symptoms, and improved eating behaviors. MMT significantly decreased experiential avoidance, whereas EBT significantly increased positive reappraisal; these changes were marginally significantly different by group.&lt;italic&gt; Conclusions&lt;/italic&gt; This feasibility study found that both interventions promoted meaningful reductions in stress and depressive symptoms and improved reported eating behaviors in a high-risk group of pregnant women. Each intervention has a potentially different pathway—acceptance for MMT and reappraisal for EBT. Larger studies are needed to test efficacy on longer term reductions in stress and overeating.","container-title":"Maternal &amp; Child Health Journal","DOI":"10.1007/s10995-018-2435-z","ISSN":"1092-7875","issue":"5","journalAbbreviation":"Maternal &amp; Child Health Journal","page":"670-678","source":"EBSCOhost","title":"Novel Interventions to Reduce Stress and Overeating in Overweight Pregnant Women: A Feasibility Study","title-short":"Novel Interventions to Reduce Stress and Overeating in Overweight Pregnant Women","volume":"22","author":[{"family":"Laraia","given":"B. A."},{"family":"Adler","given":"N. E."},{"family":"Coleman-Phox","given":"K."},{"family":"Vieten","given":"C."},{"family":"Mellin","given":"L."},{"family":"Kristeller","given":"J. L."},{"family":"Thomas","given":"M."},{"family":"Stotland","given":"N. E."},{"family":"Lustig","given":"R. H."},{"family":"Dallman","given":"M. F."},{"family":"Hecht","given":"F. M."},{"family":"Bush","given":"N. R."},{"family":"Groat","given":"C. L.","non-dropping-particle":"de"},{"family":"Epel","given":"E."}],"issued":{"date-parts":[["2018",5]]}}}],"schema":"https://github.com/citation-style-language/schema/raw/master/csl-citation.json"} </w:instrText>
      </w:r>
      <w:r w:rsidRPr="00AA685E">
        <w:fldChar w:fldCharType="separate"/>
      </w:r>
      <w:r w:rsidRPr="00AA685E">
        <w:t>(Christaki et al., 2013; Laraia et al., 2018)</w:t>
      </w:r>
      <w:r w:rsidRPr="00AA685E">
        <w:fldChar w:fldCharType="end"/>
      </w:r>
      <w:r w:rsidRPr="00AA685E">
        <w:t xml:space="preserve"> make</w:t>
      </w:r>
      <w:r>
        <w:t>s</w:t>
      </w:r>
      <w:r w:rsidRPr="00AA685E">
        <w:t xml:space="preserve"> overeating appealing during times of stress.</w:t>
      </w:r>
      <w:r w:rsidR="005F1C1C">
        <w:t xml:space="preserve"> </w:t>
      </w:r>
      <w:r w:rsidRPr="00AA685E">
        <w:t>If this is true for general stress, it could perhaps be true for discriminatory stress as well.</w:t>
      </w:r>
      <w:r w:rsidR="005F1C1C">
        <w:t xml:space="preserve"> </w:t>
      </w:r>
      <w:r w:rsidRPr="00AA685E">
        <w:t xml:space="preserve">Overeating may be a physiological and psychological response to discriminatory stress among </w:t>
      </w:r>
      <w:r w:rsidR="00D722AF">
        <w:t>racial/ethnic</w:t>
      </w:r>
      <w:r w:rsidRPr="00AA685E">
        <w:t xml:space="preserve"> minorities that in turn contributes to disproportionate rates of obesity among these populations. </w:t>
      </w:r>
    </w:p>
    <w:p w14:paraId="7149733D" w14:textId="77777777" w:rsidR="00327996" w:rsidRDefault="00327996" w:rsidP="00A2596F">
      <w:pPr>
        <w:spacing w:line="480" w:lineRule="auto"/>
        <w:rPr>
          <w:b/>
          <w:bCs/>
        </w:rPr>
      </w:pPr>
    </w:p>
    <w:p w14:paraId="3344353A" w14:textId="77777777" w:rsidR="00327996" w:rsidRDefault="00327996" w:rsidP="00A2596F">
      <w:pPr>
        <w:spacing w:line="480" w:lineRule="auto"/>
        <w:rPr>
          <w:b/>
          <w:bCs/>
        </w:rPr>
      </w:pPr>
    </w:p>
    <w:p w14:paraId="58034317" w14:textId="29D6DF60" w:rsidR="00A2596F" w:rsidRPr="00AA685E" w:rsidRDefault="00A2596F" w:rsidP="00A2596F">
      <w:pPr>
        <w:spacing w:line="480" w:lineRule="auto"/>
      </w:pPr>
      <w:r w:rsidRPr="00AA685E">
        <w:rPr>
          <w:b/>
          <w:bCs/>
        </w:rPr>
        <w:lastRenderedPageBreak/>
        <w:t>Summary</w:t>
      </w:r>
    </w:p>
    <w:p w14:paraId="1031A299" w14:textId="76EA3378" w:rsidR="00A2596F" w:rsidRPr="00AA685E" w:rsidRDefault="00A2596F" w:rsidP="00A2596F">
      <w:pPr>
        <w:spacing w:line="480" w:lineRule="auto"/>
      </w:pPr>
      <w:r w:rsidRPr="00AA685E">
        <w:tab/>
        <w:t>Although there are many mechanisms that contribute to overeating, stress may be a key player in driving excess caloric intake.</w:t>
      </w:r>
      <w:r w:rsidR="005F1C1C">
        <w:t xml:space="preserve"> </w:t>
      </w:r>
      <w:r w:rsidRPr="00AA685E">
        <w:t xml:space="preserve">Stress both physically (through cortisol secretion) </w:t>
      </w:r>
      <w:r w:rsidRPr="00AA685E">
        <w:fldChar w:fldCharType="begin"/>
      </w:r>
      <w:r w:rsidRPr="00AA685E">
        <w:instrText xml:space="preserve"> ADDIN ZOTERO_ITEM CSL_CITATION {"citationID":"YtMvGkMi","properties":{"formattedCitation":"(Kistenmacher et al., 2018; Sinha et al., 2019)","plainCitation":"(Kistenmacher et al., 2018; Sinha et al., 2019)","noteIndex":0},"citationItems":[{"id":30,"uris":["http://zotero.org/users/local/aUK5ZLEi/items/Q6J7HMIA"],"uri":["http://zotero.org/users/local/aUK5ZLEi/items/Q6J7HMIA"],"itemData":{"id":30,"type":"article-journal","abstract":"Psychosocial stress may lead to increased food consumption and overweight. In turn, obesity is related to reduced brain energy content. We hypothesized that psychosocial stress influencing food intake may alter the neuroenergetic status in the human brain. We tested 14 healthy normal weight men in a randomized crossover design. A modified version of the Trier Social Stress Test (TSST) was carried out to induce psychosocial stress vs. control in a neuroimaging setting. Cerebral energy content, i.e. high energy phosphates adenosine triphosphate (ATP) and phosphocreatine (PCr), was measured by 31phosphorus magnetic resonance spectroscopy. Food intake was quantified by an ad libitum buffet test. Stress hormonal response and alterations in glucose metabolism were monitored by blood sampling. Before data collection, we mainly expected a stress-induced reduction in cerebral high energy phosphates, followed by higher food intake. Psychosocial stress increased serum cortisol concentrations (p = .003) and fat intake of all participants by 25% (p = .043), as well as food intake of “stress-eaters” by 41.1% (p = .003) compared with controls. Blood glucose and insulin concentrations were not affected (p &gt; .174 for both). Cerebral ATP and PCr levels generally increased upon stress-induction (p &gt; = .022 and p = .037, respectively). Our data confirm that psychosocial stress may enhance food intake. Contrary to our expectations, stress induces a distinct increase in the neuroenergetic status. This insight suggests that the underlying central nervous mechanisms of stress-induced overeating may involve the regulation of the brain energy homeostasis. (PsycINFO Database Record (c) 2018 APA, all rights reserved) (Source: journal abstract)","container-title":"Stress: The International Journal on the Biology of Stress","DOI":"http://dx.doi.org.ezproxy.lib.ou.edu/10.1080/10253890.2018.1485645","ISSN":"1025-3890","language":"English","page":"No Pagination Specified","source":"ProQuest","title":"Psychosocial stress promotes food intake and enhances the neuroenergetic level in men","author":[{"family":"Kistenmacher","given":"Alina"},{"family":"Goetsch","given":"Jakob"},{"family":"Ullmann","given":"Dorothee"},{"family":"Wardzinski","given":"Ewelina K."},{"family":"Melchert","given":"Uwe H."},{"family":"Jauch-Chara","given":"Kamila"},{"family":"Oltmanns","given":"Kerstin M."}],"issued":{"date-parts":[["2018",6,28]]}}},{"id":27,"uris":["http://zotero.org/users/local/aUK5ZLEi/items/IDGUI8DC"],"uri":["http://zotero.org/users/local/aUK5ZLEi/items/IDGUI8DC"],"itemData":{"id":27,"type":"article-journal","abstract":"Overeating of highly palatable (HP) foods in the ubiquitous HP food cue environment and under stress is associated with weight gain and contributes to the global obesity epidemic. However, subjective and biobehavioral processes that may increase HP overeating are not clear. Using a novel experimental approach, we examined HP food motivation and intake and neuroendocrine responses in the context of food cues, stress and a control neutral relaxing cue exposure in healthy individuals. Methods: Twenty individuals (12 M; 8F; ages 18–45) with body mass index (BMI) in the lean (LN: N = 8; 3/8 female BMI: 18–24.9) or overweight/obese (OW: N = 12; 5/ 12 female; BMI: 25–37) range were enrolled in a controlled, hospital-based, 3-day laboratory experiment. On each day, subjects were exposed to a brief 5-min individualized guided imagery of stress, food cue or an active neutral-relaxing control cue script, followed by a food snack test (FST), with one imagery condition per day and order of imagery exposure randomized and counterbalanced across subjects. Subjective HP food craving and caloric intake, anxiety, cortisol and total ghrelin was assessed repeatedly during each test day. Results: Significant condition and condition × group effects for food craving, anxiety and HP calorie intake were observed, with food cue relative to neutral condition increasing HP food craving and intake across all subjects (p &lt; .001), but stress relative to neutral condition increased HP food craving and intake in the OW but not LN group (p &lt; .01). Pre-snack increases in food craving after exposure to food cues and to stress predicted greater subsequent HP food intake (p's &lt; 0.01). Furthermore, ghrelin increased in the food cue and stress conditions (p &lt; .01), but stress-induced increases in ghrelin was associated with HP food intake only in the OW/OB condition (p &lt; .01). Finally, cortisol increased during food cue exposure and increased cortisol responses were associated with greater HP food caving and with intake (p's &lt; 0.05). Conclusions: These findings, while preliminary, validate a laboratory model of HP food motivation and intake and identify specific subjective and neuroendocrine responses that may play a role in HP snacking with implications for weight gain and obesity risk. (342 words).","container-title":"Physiology &amp; Behavior","DOI":"10.1016/j.physbeh.2019.112563","ISSN":"00319384","journalAbbreviation":"Physiology &amp; Behavior","language":"en","page":"112563","source":"DOI.org (Crossref)","title":"Food craving, cortisol and ghrelin responses in modeling highly palatable snack intake in the laboratory","volume":"208","author":[{"family":"Sinha","given":"Rajita"},{"family":"Gu","given":"Peihua"},{"family":"Hart","given":"Rachel"},{"family":"Guarnaccia","given":"J.B."}],"issued":{"date-parts":[["2019",9]]}}}],"schema":"https://github.com/citation-style-language/schema/raw/master/csl-citation.json"} </w:instrText>
      </w:r>
      <w:r w:rsidRPr="00AA685E">
        <w:fldChar w:fldCharType="separate"/>
      </w:r>
      <w:r w:rsidRPr="00AA685E">
        <w:t>(Kistenmacher et al., 2018; Sinha et al., 2019)</w:t>
      </w:r>
      <w:r w:rsidRPr="00AA685E">
        <w:fldChar w:fldCharType="end"/>
      </w:r>
      <w:r w:rsidRPr="00AA685E">
        <w:t xml:space="preserve"> and mentally (through emotional discomfort) </w:t>
      </w:r>
      <w:r w:rsidRPr="00AA685E">
        <w:fldChar w:fldCharType="begin"/>
      </w:r>
      <w:r w:rsidRPr="00AA685E">
        <w:instrText xml:space="preserve"> ADDIN ZOTERO_ITEM CSL_CITATION {"citationID":"GvmHFHpY","properties":{"formattedCitation":"(Laraia et al., 2018; O\\uc0\\u8217{}Connor et al., 2008)","plainCitation":"(Laraia et al., 2018; O’Connor et al., 2008)","noteIndex":0},"citationItems":[{"id":24,"uris":["http://zotero.org/users/local/aUK5ZLEi/items/6YBL62UR"],"uri":["http://zotero.org/users/local/aUK5ZLEi/items/6YBL62UR"],"itemData":{"id":24,"type":"article-journal","abstract":"&lt;italic&gt;Background&lt;/italic&gt; High stress and depression during pregnancy are risk factors for worsened health trajectories for both mother and offspring. This is also true for pre-pregnancy obesity and excessive gestational weight gain. Reducing stress and depression may be one path to prevent excessive caloric intake and gestational weight gain.&lt;italic&gt; Study Purpose&lt;/italic&gt; We tested the feasibility of two novel interventions aimed at reducing stress and overeating during pregnancy. Reflecting different theoretical underpinnings, the interventions target different mechanisms. Mindful Moms Training (MMT) uses mindfulness to improve awareness and acceptance of experiences and promote conscious rather than automatic behavior choices. Emotional Brain Training (EBT) uses active coping to change perceptions of negative experience and promote positive affective states.&lt;italic&gt; Methods&lt;/italic&gt; Forty-six overweight/obese low-income women were assigned to either MMT (n = 24) or EBT (n = 22) for an 8-week feasibility study. Pre-post changes in perceived stress, eating and presumed mechanisms were assessed.&lt;italic&gt; Results&lt;/italic&gt; Women reported high levels of stress at baseline. Both interventions were well attended and demonstrated clinically significant pre-post reductions in stress, depressive symptoms, and improved eating behaviors. MMT significantly decreased experiential avoidance, whereas EBT significantly increased positive reappraisal; these changes were marginally significantly different by group.&lt;italic&gt; Conclusions&lt;/italic&gt; This feasibility study found that both interventions promoted meaningful reductions in stress and depressive symptoms and improved reported eating behaviors in a high-risk group of pregnant women. Each intervention has a potentially different pathway—acceptance for MMT and reappraisal for EBT. Larger studies are needed to test efficacy on longer term reductions in stress and overeating.","container-title":"Maternal &amp; Child Health Journal","DOI":"10.1007/s10995-018-2435-z","ISSN":"1092-7875","issue":"5","journalAbbreviation":"Maternal &amp; Child Health Journal","page":"670-678","source":"EBSCOhost","title":"Novel Interventions to Reduce Stress and Overeating in Overweight Pregnant Women: A Feasibility Study","title-short":"Novel Interventions to Reduce Stress and Overeating in Overweight Pregnant Women","volume":"22","author":[{"family":"Laraia","given":"B. A."},{"family":"Adler","given":"N. E."},{"family":"Coleman-Phox","given":"K."},{"family":"Vieten","given":"C."},{"family":"Mellin","given":"L."},{"family":"Kristeller","given":"J. L."},{"family":"Thomas","given":"M."},{"family":"Stotland","given":"N. E."},{"family":"Lustig","given":"R. H."},{"family":"Dallman","given":"M. F."},{"family":"Hecht","given":"F. M."},{"family":"Bush","given":"N. R."},{"family":"Groat","given":"C. L.","non-dropping-particle":"de"},{"family":"Epel","given":"E."}],"issued":{"date-parts":[["2018",5]]}}},{"id":122,"uris":["http://zotero.org/users/local/aUK5ZLEi/items/T48ANEQA"],"uri":["http://zotero.org/users/local/aUK5ZLEi/items/T48ANEQA"],"itemData":{"id":122,"type":"article-journal","abstract":"Objective: This study investigated the daily hassles-eating behavior relationship and its moderators in a naturalistic setting. Design: A multilevel diary design was used to examine day-to-day within-person effects of daily hassles on eating behavior (N = 422), together with the individual and simultaneous influence of potential moderating variables. Main Outcome Measures: Daily diary reports of between-meal snacking, fruit and vegetable consumption and perceived variations in daily food intake. Results: The results showed daily hassles were associated with increased consumption of high fat/sugar snacks and with a reduction in main meals and vegetable consumption. Ego-threatening, interpersonal and work-related hassles were associated with increased snacking, whereas, physical stressors were associated with decreased snacking. The overall hassles-snacking relationship was significantly stronger and more positive at high compared to low levels of restraint, emotional eating, disinhibition, external eating and in females and obese participants. Simultaneous consideration of these moderators indicated that emotional eating was the pre-eminent moderator of the hassles-snacking relationship. Conclusion: Daily hassles were associated with an increase in unhealthy eating behavior. These changes may indicate an important indirect pathway through which stress influences health risk. (PsycINFO Database Record (c) 2016 APA, all rights reserved) (Source: journal abstract)","container-title":"Health Psychology","DOI":"http://dx.doi.org.ezproxy.lib.ou.edu/10.1037/0278-6133.27.1.S20","ISSN":"0278-6133","issue":"1, Suppl","language":"English","page":"S20-S31","source":"ProQuest","title":"Effects of daily hassles and eating style on eating behavior","volume":"27","author":[{"family":"O'Connor","given":"Daryl B."},{"family":"Jones","given":"Fiona"},{"family":"Conner","given":"Mark"},{"family":"Link to external site","given":"this","dropping-particle":"link will open in a new window"},{"family":"McMillan","given":"Brian"},{"family":"Ferguson","given":"Eamonn"}],"issued":{"date-parts":[["2008",1]]}}}],"schema":"https://github.com/citation-style-language/schema/raw/master/csl-citation.json"} </w:instrText>
      </w:r>
      <w:r w:rsidRPr="00AA685E">
        <w:fldChar w:fldCharType="separate"/>
      </w:r>
      <w:r w:rsidRPr="00AA685E">
        <w:t>(Laraia et al., 2018; O’Connor et al., 2008)</w:t>
      </w:r>
      <w:r w:rsidRPr="00AA685E">
        <w:fldChar w:fldCharType="end"/>
      </w:r>
      <w:r w:rsidRPr="00AA685E">
        <w:t xml:space="preserve"> promotes food ingestion as a solution to dealing with distressing circumstances.</w:t>
      </w:r>
      <w:r w:rsidR="005F1C1C">
        <w:t xml:space="preserve"> </w:t>
      </w:r>
      <w:r w:rsidRPr="00AA685E">
        <w:t xml:space="preserve">Despite disproportional obesity rates, however, there is a sufficient lack of research regarding overeating among </w:t>
      </w:r>
      <w:r w:rsidR="00D722AF">
        <w:t>racial/ethnic</w:t>
      </w:r>
      <w:r w:rsidRPr="00AA685E">
        <w:t xml:space="preserve"> minorities.</w:t>
      </w:r>
    </w:p>
    <w:p w14:paraId="5B3787DF" w14:textId="5E7D1D35" w:rsidR="00A2596F" w:rsidRPr="00AA685E" w:rsidRDefault="00A2596F" w:rsidP="00A2596F">
      <w:pPr>
        <w:spacing w:line="480" w:lineRule="auto"/>
      </w:pPr>
      <w:r w:rsidRPr="00AA685E">
        <w:tab/>
        <w:t>As health disparities continue to increase and widen the gap between whites and non-whites, it is crucial that researchers act to determine the root of health inequity.</w:t>
      </w:r>
      <w:r w:rsidR="005F1C1C">
        <w:t xml:space="preserve"> </w:t>
      </w:r>
      <w:r w:rsidRPr="00AA685E">
        <w:t xml:space="preserve">Many believe that racism and discrimination may lie at the root of health disparities. </w:t>
      </w:r>
      <w:r w:rsidR="00D722AF">
        <w:t>Racial/ethnic</w:t>
      </w:r>
      <w:r w:rsidRPr="00AA685E">
        <w:t xml:space="preserve"> minorities are chronically exposed to racism and prejudice, and these populations have reported discrimination to be a significant stressor that has been associated with physical (e.g., chronic inflammation and weight gain</w:t>
      </w:r>
      <w:r w:rsidR="00DB53D2">
        <w:t xml:space="preserve">; </w:t>
      </w:r>
      <w:r w:rsidRPr="00AA685E">
        <w:fldChar w:fldCharType="begin"/>
      </w:r>
      <w:r w:rsidR="00B22514">
        <w:instrText xml:space="preserve"> ADDIN ZOTERO_ITEM CSL_CITATION {"citationID":"wyo5QQdu","properties":{"formattedCitation":"(Brody et al., 2018; Simons et al., 2018)","plainCitation":"(Brody et al., 2018; Simons et al., 2018)","dontUpdate":true,"noteIndex":0},"citationItems":[{"id":40,"uris":["http://zotero.org/users/local/aUK5ZLEi/items/8PD4HQTK"],"uri":["http://zotero.org/users/local/aUK5ZLEi/items/8PD4HQTK"],"itemData":{"id":40,"type":"article-journal","abstract":"Objective: To examine prospective relations of perceived racial discrimination at ages 16–18 with body mass index (BMI) at ages 19–21 and insulin resistance (IR) at ages 25 and 27 among Black youth in the rural South, and to determine whether BMI connected discrimination to IR as a mediator. Method: Participants were 315 African American adolescents in rural counties in Georgia who provided data on their perceptions of discrimination during adolescence. BMI was measured during a yearly home visit, and a certified phlebotomist drew a fasting blood sample from which IR was measured. Results: The data analysis, with all confounding variables controlled, revealed that, over time, (a) discrimination was associated positively with both BMI and IR; (b) BMI was associated positively with IR; and (c) BMI acted as a mediator connecting discrimination with IR. Conclusions: The findings are consistent with the hypothesis that exposure to discrimination presages IR through its effects on BMI. (PsycINFO Database Record (c) 2018 APA, all rights reserved) (Source: journal abstract)","container-title":"Health Psychology","DOI":"http://dx.doi.org.ezproxy.lib.ou.edu/10.1037/hea0000674","ISSN":"0278-6133","issue":"12","language":"English","page":"1107-1114","source":"ProQuest","title":"Racial discrimination, body mass index, and insulin resistance: A longitudinal analysis","title-short":"Racial discrimination, body mass index, and insulin resistance","volume":"37","author":[{"family":"Brody","given":"Gene H."},{"family":"Link to external site","given":"this","dropping-particle":"link will open in a new window"},{"family":"Yu","given":"Tianyi"},{"family":"Chen","given":"Edith"},{"family":"Ehrlich","given":"Katherine B."},{"family":"Miller","given":"Gregory E."}],"issued":{"date-parts":[["2018",12]]}}},{"id":95,"uris":["http://zotero.org/users/local/aUK5ZLEi/items/F3B665QW"],"uri":["http://zotero.org/users/local/aUK5ZLEi/items/F3B665QW"],"itemData":{"id":95,"type":"article-journal","abstract":"Several studies have reported a relation between race-related stressors and the poor health of Black Americans. Such findings raise questions regarding the mediating biological mechanisms that might account for this link. The present study investigated elevated systemic inflammation, a factor shown to be a strong predictor of chronic illness and mortality in all ethnic populations, as a possible factor. Using 7 waves of data from the Family and Community Health Study, collected over a 20-year period from over 400 Black Americans, we investigated the extent to which exposure to discrimination and segregation at various points in the life course predicted adult inflammation at age 28. Our analyses examined whether cumulative stress, stress generation, or predictive adaptive response (PAR) models best accounted for any associations that existed between these race-related stressors and adult inflammation. At every wave of data collection, assessments of discrimination and segregation were related to adult inflammation. However, multivariate analyses using structure equation modeling indicated that the PAR model best explained the effect of these race-related stressors on inflammation. Exposure to discrimination and segregation during the juvenile years predicted adult inflammation and amplified the inflammatory effect of adult exposure to these race-related stressors. These effects were considerably more robust than that of traditional health risk factors such as diet, exercise, smoking, and low SES. Implications of these findings are discussed, including the limitations of the widely accepted risk factor approach to increasing the health of Black Americans. (PsycINFO Database Record (c) 2018 APA, all rights reserved) (Source: journal abstract)","container-title":"Developmental Psychology","DOI":"http://dx.doi.org.ezproxy.lib.ou.edu/10.1037/dev0000511","ISSN":"0012-1649","issue":"10","language":"English","page":"1993-2006","source":"ProQuest","title":"Discrimination, segregation, and chronic inflammation: Testing the weathering explanation for the poor health of Black Americans","title-short":"Discrimination, segregation, and chronic inflammation","volume":"54","author":[{"family":"Simons","given":"Ronald L."},{"family":"Lei","given":"Man-Kit"},{"family":"Beach","given":"Steven R. H."},{"family":"Barr","given":"Ashley B."},{"family":"Simons","given":"Leslie G."},{"family":"Gibbons","given":"Frederick X."},{"family":"Philibert","given":"Robert A."}],"issued":{"date-parts":[["2018",10]]}}}],"schema":"https://github.com/citation-style-language/schema/raw/master/csl-citation.json"} </w:instrText>
      </w:r>
      <w:r w:rsidRPr="00AA685E">
        <w:fldChar w:fldCharType="separate"/>
      </w:r>
      <w:r w:rsidRPr="00AA685E">
        <w:t>Brody et al., 2018; Simons et al., 2018)</w:t>
      </w:r>
      <w:r w:rsidRPr="00AA685E">
        <w:fldChar w:fldCharType="end"/>
      </w:r>
      <w:r w:rsidRPr="00AA685E">
        <w:t xml:space="preserve"> and psychological (e.g., reduced quality of life and poor coping mechanisms</w:t>
      </w:r>
      <w:r w:rsidR="00DB53D2">
        <w:t>;</w:t>
      </w:r>
      <w:r w:rsidRPr="00AA685E">
        <w:t xml:space="preserve"> </w:t>
      </w:r>
      <w:r w:rsidRPr="00AA685E">
        <w:fldChar w:fldCharType="begin"/>
      </w:r>
      <w:r w:rsidR="00B22514">
        <w:instrText xml:space="preserve"> ADDIN ZOTERO_ITEM CSL_CITATION {"citationID":"DIVUUKpu","properties":{"formattedCitation":"(Driscoll et al., 2015; Pittman et al., 2019)","plainCitation":"(Driscoll et al., 2015; Pittman et al., 2019)","dontUpdate":true,"noteIndex":0},"citationItems":[{"id":112,"uris":["http://zotero.org/users/local/aUK5ZLEi/items/BCBREFNF"],"uri":["http://zotero.org/users/local/aUK5ZLEi/items/BCBREFNF"],"itemData":{"id":112,"type":"article-journal","abstract":"This study used a cultural stress and coping framework to investigate the influence of three dimensions of discrimination-based race-related stress (i.e., individual, institutional, and cultural) and collective efficacy on African American life satisfaction. African American adults (N = 247) completed self-report measures of race-related stress, collective efficacy, and life satisfaction. Analyses indicated that all three forms of race-related stress were significantly associated with lower life satisfaction, and that collective efficacy was significantly associated with greater life satisfaction. Moderated analyses further revealed that collective efficacy significantly protected against the influence of race-related stress on life satisfaction for cultural race-related stress and, possibly, individual race-related stress. The results suggest that sociocultural resources such as collective efficacy may serve as protective factors against racial discrimination through enhanced social cohesion and community agency. Results are further considered in the context of stress and coping models that emphasize secondary coping processes and use of collective coping. Clinical and theoretical implications of collective efficacy as a sociocultural resource for the promotion of African American mental health are discussed.","container-title":"Journal of Black Psychology","DOI":"10.1177/0095798414543690","ISSN":"0095-7984","issue":"5","journalAbbreviation":"Journal of Black Psychology","page":"462-486","source":"SAGE Journals","title":"Dimensions of Race-Related Stress and African American Life Satisfaction: A Test of the Protective Role of Collective Efficacy","title-short":"Dimensions of Race-Related Stress and African American Life Satisfaction","volume":"41","author":[{"family":"Driscoll","given":"Mark W."},{"family":"Reynolds","given":"Jason R."},{"family":"Todman","given":"Lynn C."}],"issued":{"date-parts":[["2015",10,1]]}}},{"id":111,"uris":["http://zotero.org/users/local/aUK5ZLEi/items/H2IIJ7FK"],"uri":["http://zotero.org/users/local/aUK5ZLEi/items/H2IIJ7FK"],"itemData":{"id":111,"type":"article-journal","abstract":"A motivational drinking framework is utilized to understand the relationship between minority stressors (e.g., race-related stress and acculturative stress) and alcohol use behaviors (risky alcohol use and coping-motivated drinking) among a large sample of Black American college students. Six hundred fortynine Black college students from 8 colleges and universities in the United States were recruited as part of a large, multiwave, cross-sectional study investigating the stress and coping experiences of Black emerging adults. Results from the current investigation provide support for the independent contributions of acculturative stress and race-related stress to the risky alcohol use behavior of Black college students, while acculturative stress significantly predicted coping-motivated drinking behaviors in the sample. Findings underscore the need to better understand the unique relationships between minority stress and risky alcohol use behaviors of Black college students, namely, relationships not shared by their nonminority peers that increase their risk of problem drinking.","container-title":"Journal of Ethnicity in Substance Abuse","DOI":"10.1080/15332640.2017.1336958","ISSN":"1533-2640, 1533-2659","issue":"2","journalAbbreviation":"Journal of Ethnicity in Substance Abuse","language":"en","page":"257-278","source":"DOI.org (Crossref)","title":"The cost of minority stress: Risky alcohol use and coping-motivated drinking behavior in African American college students","title-short":"The cost of minority stress","volume":"18","author":[{"family":"Pittman","given":"Delishia M."},{"family":"Brooks","given":"Jessica J."},{"family":"Kaur","given":"Paramjit"},{"family":"Obasi","given":"Ezemenari M."}],"issued":{"date-parts":[["2019",4,3]]}}}],"schema":"https://github.com/citation-style-language/schema/raw/master/csl-citation.json"} </w:instrText>
      </w:r>
      <w:r w:rsidRPr="00AA685E">
        <w:fldChar w:fldCharType="separate"/>
      </w:r>
      <w:r w:rsidRPr="00AA685E">
        <w:t>Driscoll et al., 2015; Pittman et al., 2019)</w:t>
      </w:r>
      <w:r w:rsidRPr="00AA685E">
        <w:fldChar w:fldCharType="end"/>
      </w:r>
      <w:r w:rsidRPr="00AA685E">
        <w:t xml:space="preserve"> consequences.</w:t>
      </w:r>
      <w:r w:rsidR="005F1C1C">
        <w:t xml:space="preserve"> </w:t>
      </w:r>
    </w:p>
    <w:p w14:paraId="7C644A01" w14:textId="7CB50118" w:rsidR="00A2596F" w:rsidRPr="00AA685E" w:rsidRDefault="00A2596F" w:rsidP="00A2596F">
      <w:pPr>
        <w:spacing w:line="480" w:lineRule="auto"/>
      </w:pPr>
      <w:r w:rsidRPr="00AA685E">
        <w:tab/>
      </w:r>
      <w:r w:rsidR="00554D7B">
        <w:t>Few researchers have</w:t>
      </w:r>
      <w:r w:rsidRPr="00AA685E">
        <w:t xml:space="preserve"> investigate</w:t>
      </w:r>
      <w:r w:rsidR="00554D7B">
        <w:t>d</w:t>
      </w:r>
      <w:r w:rsidRPr="00AA685E">
        <w:t xml:space="preserve"> the relationship between discriminatory stress and overeating.</w:t>
      </w:r>
      <w:r w:rsidR="005F1C1C">
        <w:t xml:space="preserve"> </w:t>
      </w:r>
      <w:r w:rsidRPr="00AA685E">
        <w:t xml:space="preserve">Since stress has been evidenced to promote overeating, and racism and prejudice are major sources of stress for </w:t>
      </w:r>
      <w:r w:rsidR="00D722AF">
        <w:t>racial/ethnic</w:t>
      </w:r>
      <w:r w:rsidRPr="00AA685E">
        <w:t xml:space="preserve"> minorities, discriminatory stress could also be related to overeating among these populations and may be a potential explanation for </w:t>
      </w:r>
      <w:r w:rsidR="00D722AF">
        <w:t>racial/ethnic</w:t>
      </w:r>
      <w:r w:rsidRPr="00AA685E">
        <w:t xml:space="preserve"> obesity disparities.</w:t>
      </w:r>
      <w:r w:rsidR="005F1C1C">
        <w:t xml:space="preserve"> </w:t>
      </w:r>
      <w:r w:rsidRPr="00AA685E">
        <w:t xml:space="preserve">The aim of the current study, therefore, </w:t>
      </w:r>
      <w:r w:rsidR="00B6069E">
        <w:t>wa</w:t>
      </w:r>
      <w:r w:rsidRPr="00AA685E">
        <w:t xml:space="preserve">s to fill these gaps in research </w:t>
      </w:r>
      <w:r>
        <w:t>by</w:t>
      </w:r>
      <w:r w:rsidRPr="00AA685E">
        <w:t xml:space="preserve"> exploring the relationship between overeating and discriminatory stress among a sample of </w:t>
      </w:r>
      <w:r w:rsidR="00D722AF">
        <w:t>racial/ethnic</w:t>
      </w:r>
      <w:r w:rsidRPr="00AA685E">
        <w:t xml:space="preserve"> minority adults.</w:t>
      </w:r>
    </w:p>
    <w:p w14:paraId="041596BD" w14:textId="77777777" w:rsidR="00412DF0" w:rsidRDefault="00412DF0" w:rsidP="00F71A79">
      <w:pPr>
        <w:spacing w:line="480" w:lineRule="auto"/>
        <w:jc w:val="center"/>
        <w:rPr>
          <w:b/>
          <w:bCs/>
        </w:rPr>
      </w:pPr>
    </w:p>
    <w:p w14:paraId="40D1AE79" w14:textId="65AC491C" w:rsidR="00F71A79" w:rsidRDefault="00F71A79" w:rsidP="00F71A79">
      <w:pPr>
        <w:spacing w:line="480" w:lineRule="auto"/>
        <w:jc w:val="center"/>
        <w:rPr>
          <w:b/>
          <w:bCs/>
        </w:rPr>
      </w:pPr>
      <w:r>
        <w:rPr>
          <w:b/>
          <w:bCs/>
        </w:rPr>
        <w:lastRenderedPageBreak/>
        <w:t>CHAPTER 3: METHODOLOGY</w:t>
      </w:r>
    </w:p>
    <w:p w14:paraId="14CE7960" w14:textId="3179F24B" w:rsidR="00F71A79" w:rsidRPr="0002458B" w:rsidRDefault="00F71A79" w:rsidP="00F71A79">
      <w:pPr>
        <w:spacing w:line="480" w:lineRule="auto"/>
      </w:pPr>
      <w:r>
        <w:tab/>
        <w:t xml:space="preserve">The purpose of the current study </w:t>
      </w:r>
      <w:r w:rsidR="00B6069E">
        <w:t>wa</w:t>
      </w:r>
      <w:r>
        <w:t xml:space="preserve">s to investigate the </w:t>
      </w:r>
      <w:r w:rsidR="00992A9B">
        <w:t>association</w:t>
      </w:r>
      <w:r>
        <w:t xml:space="preserve"> between discriminatory stress and overeating among </w:t>
      </w:r>
      <w:r w:rsidR="00D722AF">
        <w:t>racial/ethnic</w:t>
      </w:r>
      <w:r>
        <w:t xml:space="preserve"> minority adults.</w:t>
      </w:r>
      <w:r w:rsidR="005F1C1C">
        <w:t xml:space="preserve"> </w:t>
      </w:r>
      <w:r>
        <w:t xml:space="preserve">It </w:t>
      </w:r>
      <w:r w:rsidR="00B6069E">
        <w:t>wa</w:t>
      </w:r>
      <w:r>
        <w:t>s hypothesized that there w</w:t>
      </w:r>
      <w:r w:rsidR="00B6069E">
        <w:t>ould</w:t>
      </w:r>
      <w:r>
        <w:t xml:space="preserve"> be a significant relationship between the two variables.</w:t>
      </w:r>
      <w:r w:rsidR="005F1C1C">
        <w:t xml:space="preserve"> </w:t>
      </w:r>
      <w:r>
        <w:t>By establishing a potential association between overeating and discriminatory stress, the current study may unlock a new link to the obesity health disparity.</w:t>
      </w:r>
      <w:r w:rsidR="005F1C1C">
        <w:t xml:space="preserve"> </w:t>
      </w:r>
      <w:r>
        <w:t xml:space="preserve">The following sections will outline the sampling strategies and how the study </w:t>
      </w:r>
      <w:r w:rsidR="00B6069E">
        <w:t>was</w:t>
      </w:r>
      <w:r>
        <w:t xml:space="preserve"> conducted in order to effectively test the research hypotheses.</w:t>
      </w:r>
    </w:p>
    <w:p w14:paraId="50132041" w14:textId="56368399" w:rsidR="00F71A79" w:rsidRDefault="00EA1F19" w:rsidP="00F71A79">
      <w:pPr>
        <w:spacing w:line="480" w:lineRule="auto"/>
        <w:rPr>
          <w:b/>
          <w:bCs/>
        </w:rPr>
      </w:pPr>
      <w:r>
        <w:rPr>
          <w:b/>
          <w:bCs/>
        </w:rPr>
        <w:t>Participant Characteristics</w:t>
      </w:r>
    </w:p>
    <w:p w14:paraId="7F975AF5" w14:textId="7ED34534" w:rsidR="00A84A63" w:rsidRPr="00BB2191" w:rsidRDefault="00F71A79" w:rsidP="00F71A79">
      <w:pPr>
        <w:spacing w:line="480" w:lineRule="auto"/>
      </w:pPr>
      <w:r>
        <w:rPr>
          <w:b/>
          <w:bCs/>
        </w:rPr>
        <w:tab/>
      </w:r>
      <w:r w:rsidR="005F1C1C">
        <w:t xml:space="preserve"> </w:t>
      </w:r>
      <w:r w:rsidR="00F35C8D">
        <w:t>P</w:t>
      </w:r>
      <w:r>
        <w:t xml:space="preserve">articipants </w:t>
      </w:r>
      <w:r w:rsidR="00B6069E">
        <w:t>had to be</w:t>
      </w:r>
      <w:r>
        <w:t xml:space="preserve"> at least 18 years or older</w:t>
      </w:r>
      <w:r w:rsidR="004B7D13">
        <w:t xml:space="preserve"> </w:t>
      </w:r>
      <w:r w:rsidR="006528BF">
        <w:t>and</w:t>
      </w:r>
      <w:r>
        <w:t xml:space="preserve"> self-identify </w:t>
      </w:r>
      <w:r w:rsidR="00DB0180">
        <w:t>as</w:t>
      </w:r>
      <w:r>
        <w:t xml:space="preserve"> a racial or ethnic minority (i.e.</w:t>
      </w:r>
      <w:r w:rsidR="00DB0180">
        <w:t>,</w:t>
      </w:r>
      <w:r>
        <w:t xml:space="preserve"> African American, American Indian,</w:t>
      </w:r>
      <w:r w:rsidR="009A3F1D">
        <w:t xml:space="preserve"> or </w:t>
      </w:r>
      <w:r>
        <w:t xml:space="preserve">Hispanic American, </w:t>
      </w:r>
      <w:r w:rsidR="00AA41F9">
        <w:t xml:space="preserve">Latino(a), or </w:t>
      </w:r>
      <w:r w:rsidR="00EA1F19">
        <w:t>Spanish American</w:t>
      </w:r>
      <w:r>
        <w:t>)</w:t>
      </w:r>
      <w:r w:rsidR="00F35C8D">
        <w:t xml:space="preserve"> who currently reside</w:t>
      </w:r>
      <w:r w:rsidR="00B6069E">
        <w:t>d</w:t>
      </w:r>
      <w:r w:rsidR="00F35C8D">
        <w:t xml:space="preserve"> in the United States</w:t>
      </w:r>
      <w:r>
        <w:t>.</w:t>
      </w:r>
      <w:r w:rsidR="005F1C1C">
        <w:t xml:space="preserve"> </w:t>
      </w:r>
      <w:r w:rsidR="004A3F57">
        <w:t xml:space="preserve">Both males and females </w:t>
      </w:r>
      <w:r w:rsidR="00B6069E">
        <w:t>were</w:t>
      </w:r>
      <w:r w:rsidR="004A3F57">
        <w:t xml:space="preserve"> included</w:t>
      </w:r>
      <w:r w:rsidR="00F35C8D">
        <w:t xml:space="preserve"> in this study</w:t>
      </w:r>
      <w:r w:rsidR="004A3F57">
        <w:t>.</w:t>
      </w:r>
      <w:r w:rsidR="005F1C1C">
        <w:t xml:space="preserve"> </w:t>
      </w:r>
      <w:r>
        <w:t xml:space="preserve">Obesity has been strongly linked to overeating; those who </w:t>
      </w:r>
      <w:r w:rsidR="00F2128A">
        <w:t xml:space="preserve">have excess weight or obesity </w:t>
      </w:r>
      <w:r>
        <w:t xml:space="preserve">are more vulnerable to overeating as compared to </w:t>
      </w:r>
      <w:r w:rsidR="00F2128A">
        <w:t xml:space="preserve">normal </w:t>
      </w:r>
      <w:r>
        <w:t>weight individuals (</w:t>
      </w:r>
      <w:r w:rsidR="003E0A38">
        <w:t xml:space="preserve">Buscemi et al., 2014; </w:t>
      </w:r>
      <w:proofErr w:type="spellStart"/>
      <w:r>
        <w:t>Poelman</w:t>
      </w:r>
      <w:proofErr w:type="spellEnd"/>
      <w:r>
        <w:t xml:space="preserve"> et al., 2013; Sinha et al., 2019).</w:t>
      </w:r>
      <w:r w:rsidR="005F1C1C">
        <w:t xml:space="preserve"> </w:t>
      </w:r>
      <w:r w:rsidR="00DB0180">
        <w:t>However, b</w:t>
      </w:r>
      <w:r w:rsidR="00B22514" w:rsidRPr="00BB2191">
        <w:t>oth</w:t>
      </w:r>
      <w:r w:rsidR="00A84A63" w:rsidRPr="00BB2191">
        <w:t xml:space="preserve"> normal </w:t>
      </w:r>
      <w:r w:rsidR="000409D6">
        <w:t xml:space="preserve">weight </w:t>
      </w:r>
      <w:r w:rsidR="00A84A63" w:rsidRPr="00BB2191">
        <w:t xml:space="preserve">individuals </w:t>
      </w:r>
      <w:r w:rsidR="000409D6">
        <w:t xml:space="preserve">and those who are overweight and obese </w:t>
      </w:r>
      <w:r w:rsidR="00B6069E">
        <w:t>were</w:t>
      </w:r>
      <w:r w:rsidR="00A84A63" w:rsidRPr="00BB2191">
        <w:t xml:space="preserve"> recruited in order to </w:t>
      </w:r>
      <w:r w:rsidR="00252ACC">
        <w:t>assess</w:t>
      </w:r>
      <w:r w:rsidR="00A84A63" w:rsidRPr="00BB2191">
        <w:t xml:space="preserve"> overeating </w:t>
      </w:r>
      <w:r w:rsidR="00DB0180">
        <w:t>in relation to perceived discrimination</w:t>
      </w:r>
      <w:r w:rsidR="00A84A63" w:rsidRPr="00BB2191">
        <w:t xml:space="preserve"> across var</w:t>
      </w:r>
      <w:r w:rsidR="00EC53CB" w:rsidRPr="00BB2191">
        <w:t>ious</w:t>
      </w:r>
      <w:r w:rsidR="00A84A63" w:rsidRPr="00BB2191">
        <w:t xml:space="preserve"> weight categories.</w:t>
      </w:r>
    </w:p>
    <w:p w14:paraId="2D0D5009" w14:textId="7E57D985" w:rsidR="00F71A79" w:rsidRPr="00BB2191" w:rsidRDefault="00EA1F19" w:rsidP="00F71A79">
      <w:pPr>
        <w:spacing w:line="480" w:lineRule="auto"/>
        <w:rPr>
          <w:b/>
          <w:bCs/>
        </w:rPr>
      </w:pPr>
      <w:r>
        <w:rPr>
          <w:b/>
          <w:bCs/>
        </w:rPr>
        <w:t>Sampling Procedures</w:t>
      </w:r>
    </w:p>
    <w:p w14:paraId="72C42CED" w14:textId="10ECBBF6" w:rsidR="00F71A79" w:rsidRDefault="00F71A79" w:rsidP="00F71A79">
      <w:pPr>
        <w:spacing w:line="480" w:lineRule="auto"/>
      </w:pPr>
      <w:r>
        <w:tab/>
      </w:r>
      <w:r w:rsidR="00F35C8D">
        <w:t xml:space="preserve">In an effort to recruit a robust sample of </w:t>
      </w:r>
      <w:r w:rsidR="00D722AF">
        <w:t>racial/ethnic</w:t>
      </w:r>
      <w:r w:rsidR="00F35C8D">
        <w:t xml:space="preserve"> minority adults, a combination of c</w:t>
      </w:r>
      <w:r>
        <w:t xml:space="preserve">onvenience and </w:t>
      </w:r>
      <w:r w:rsidR="00F35C8D">
        <w:t xml:space="preserve">snowball </w:t>
      </w:r>
      <w:r>
        <w:t>sampling strategies w</w:t>
      </w:r>
      <w:r w:rsidR="00B6069E">
        <w:t>ere</w:t>
      </w:r>
      <w:r>
        <w:t xml:space="preserve"> used.</w:t>
      </w:r>
      <w:r w:rsidR="005F1C1C">
        <w:t xml:space="preserve"> </w:t>
      </w:r>
      <w:r>
        <w:t>Previous studies have provided effective recruitment strategies to reach this target population.</w:t>
      </w:r>
      <w:r w:rsidR="005F1C1C">
        <w:t xml:space="preserve"> </w:t>
      </w:r>
      <w:r>
        <w:t>In a study investigating emotional eating among African American college women, Longmire-Avital and McQueen (2019) utilized both university and social groups.</w:t>
      </w:r>
      <w:r w:rsidR="005F1C1C">
        <w:t xml:space="preserve"> </w:t>
      </w:r>
      <w:r>
        <w:t xml:space="preserve">They advertised their study on social media pages and groups that were specifically made for African American college students </w:t>
      </w:r>
      <w:r>
        <w:fldChar w:fldCharType="begin"/>
      </w:r>
      <w:r>
        <w:instrText xml:space="preserve"> ADDIN ZOTERO_ITEM CSL_CITATION {"citationID":"bgOln44R","properties":{"formattedCitation":"(Longmire-Avital &amp; McQueen, 2019)","plainCitation":"(Longmire-Avital &amp; McQueen, 2019)","noteIndex":0},"citationItems":[{"id":60,"uris":["http://zotero.org/users/local/aUK5ZLEi/items/FU2PKGVY"],"uri":["http://zotero.org/users/local/aUK5ZLEi/items/FU2PKGVY"],"itemData":{"id":60,"type":"article-journal","abstract":"Four out of five Black women in the United States, over the age of 20 years, meet criteria for obesity. A critical determinant of pervasive health disparities, such as obesity, may be the Black woman’s sociocultural experience. One part of this experience is the stress that results from daily encounters with microaggressions. Research has been limited on the association of race-related stress with maladaptive health behaviors among Black women and at what age this association is visible. The aim of this exploratory cross-sectional study was to investigate whether perceived race-related stress was associated with an obesity risk behavior, emotional eating. One hundred and forty-nine collegiate Black American women from across the United States completed an anonymous online survey during the summer of 2014. Race-related stress was moderately correlated with emotional eating (r = 0.32, p &lt; 0.001). However, a hierarchical linear regression revealed that the relationship between race-related stress and emotional eating remained significant after controlling for weight range and general perceived stress. Race-related stress contributed an additional 3.9 percent of the explained variance for emotional eating. Interventions for weight loss and management targeting young adult Black women must acknowledge how their perceived racial experience is linked to health behaviors and outcomes.","container-title":"Women &amp; Health","DOI":"10.1080/03630242.2018.1478361","ISSN":"0363-0242","issue":"3","note":"PMID: 29920181","page":"240-251","source":"Taylor and Francis+NEJM","title":"Exploring a relationship between race-related stress and emotional eating for collegiate Black American women","volume":"59","author":[{"family":"Longmire-Avital","given":"Buffie"},{"family":"McQueen","given":"Chelsea"}],"issued":{"date-parts":[["2019",3,16]]}}}],"schema":"https://github.com/citation-style-language/schema/raw/master/csl-citation.json"} </w:instrText>
      </w:r>
      <w:r>
        <w:fldChar w:fldCharType="separate"/>
      </w:r>
      <w:r>
        <w:rPr>
          <w:noProof/>
        </w:rPr>
        <w:t xml:space="preserve">(Longmire-Avital &amp; </w:t>
      </w:r>
      <w:r>
        <w:rPr>
          <w:noProof/>
        </w:rPr>
        <w:lastRenderedPageBreak/>
        <w:t>McQueen, 2019)</w:t>
      </w:r>
      <w:r>
        <w:fldChar w:fldCharType="end"/>
      </w:r>
      <w:r>
        <w:t>.</w:t>
      </w:r>
      <w:r w:rsidR="005F1C1C">
        <w:t xml:space="preserve"> </w:t>
      </w:r>
      <w:r>
        <w:t>Similarly, Sims et al. (2008) publicized their study at local community events, churches, and health fairs to recruit a sample of racial minority adults.</w:t>
      </w:r>
      <w:r w:rsidR="005F1C1C">
        <w:t xml:space="preserve"> </w:t>
      </w:r>
      <w:r>
        <w:t>Study advertisements in a large job site also proved to be an effective way to draw a large sample of adults (</w:t>
      </w:r>
      <w:r w:rsidR="00D722AF">
        <w:rPr>
          <w:i/>
          <w:iCs/>
        </w:rPr>
        <w:t xml:space="preserve">n = </w:t>
      </w:r>
      <w:r>
        <w:t xml:space="preserve">422) </w:t>
      </w:r>
      <w:r>
        <w:fldChar w:fldCharType="begin"/>
      </w:r>
      <w:r>
        <w:instrText xml:space="preserve"> ADDIN ZOTERO_ITEM CSL_CITATION {"citationID":"cZQ0aeIo","properties":{"formattedCitation":"(O\\uc0\\u8217{}Connor et al., 2008)","plainCitation":"(O’Connor et al., 2008)","noteIndex":0},"citationItems":[{"id":122,"uris":["http://zotero.org/users/local/aUK5ZLEi/items/T48ANEQA"],"uri":["http://zotero.org/users/local/aUK5ZLEi/items/T48ANEQA"],"itemData":{"id":122,"type":"article-journal","abstract":"Objective: This study investigated the daily hassles-eating behavior relationship and its moderators in a naturalistic setting. Design: A multilevel diary design was used to examine day-to-day within-person effects of daily hassles on eating behavior (N = 422), together with the individual and simultaneous influence of potential moderating variables. Main Outcome Measures: Daily diary reports of between-meal snacking, fruit and vegetable consumption and perceived variations in daily food intake. Results: The results showed daily hassles were associated with increased consumption of high fat/sugar snacks and with a reduction in main meals and vegetable consumption. Ego-threatening, interpersonal and work-related hassles were associated with increased snacking, whereas, physical stressors were associated with decreased snacking. The overall hassles-snacking relationship was significantly stronger and more positive at high compared to low levels of restraint, emotional eating, disinhibition, external eating and in females and obese participants. Simultaneous consideration of these moderators indicated that emotional eating was the pre-eminent moderator of the hassles-snacking relationship. Conclusion: Daily hassles were associated with an increase in unhealthy eating behavior. These changes may indicate an important indirect pathway through which stress influences health risk. (PsycINFO Database Record (c) 2016 APA, all rights reserved) (Source: journal abstract)","container-title":"Health Psychology","DOI":"http://dx.doi.org.ezproxy.lib.ou.edu/10.1037/0278-6133.27.1.S20","ISSN":"0278-6133","issue":"1, Suppl","language":"English","page":"S20-S31","source":"ProQuest","title":"Effects of daily hassles and eating style on eating behavior","volume":"27","author":[{"family":"O'Connor","given":"Daryl B."},{"family":"Jones","given":"Fiona"},{"family":"Conner","given":"Mark"},{"family":"Link to external site","given":"this","dropping-particle":"link will open in a new window"},{"family":"McMillan","given":"Brian"},{"family":"Ferguson","given":"Eamonn"}],"issued":{"date-parts":[["2008",1]]}}}],"schema":"https://github.com/citation-style-language/schema/raw/master/csl-citation.json"} </w:instrText>
      </w:r>
      <w:r>
        <w:fldChar w:fldCharType="separate"/>
      </w:r>
      <w:r w:rsidRPr="001E6E15">
        <w:t>(O’Connor et al., 2008)</w:t>
      </w:r>
      <w:r>
        <w:fldChar w:fldCharType="end"/>
      </w:r>
      <w:r>
        <w:t>.</w:t>
      </w:r>
    </w:p>
    <w:p w14:paraId="6AFC811F" w14:textId="3A2445B4" w:rsidR="00F71A79" w:rsidRDefault="00F71A79" w:rsidP="00F71A79">
      <w:pPr>
        <w:spacing w:line="480" w:lineRule="auto"/>
      </w:pPr>
      <w:r>
        <w:tab/>
        <w:t>For the current study, both collegiate and occupational groups w</w:t>
      </w:r>
      <w:r w:rsidR="00B6069E">
        <w:t>ere</w:t>
      </w:r>
      <w:r>
        <w:t xml:space="preserve"> targeted for recruitment.</w:t>
      </w:r>
      <w:r w:rsidR="005F1C1C">
        <w:t xml:space="preserve"> </w:t>
      </w:r>
      <w:r>
        <w:t xml:space="preserve">University clubs and </w:t>
      </w:r>
      <w:r w:rsidR="00F2128A">
        <w:t xml:space="preserve">state </w:t>
      </w:r>
      <w:r>
        <w:t>organizations intended for racial</w:t>
      </w:r>
      <w:r w:rsidR="00F2128A">
        <w:t>/</w:t>
      </w:r>
      <w:r>
        <w:t>ethnic minority</w:t>
      </w:r>
      <w:r w:rsidR="00F2128A">
        <w:t xml:space="preserve"> groups </w:t>
      </w:r>
      <w:r>
        <w:t>w</w:t>
      </w:r>
      <w:r w:rsidR="00B6069E">
        <w:t>ere</w:t>
      </w:r>
      <w:r>
        <w:t xml:space="preserve"> contacted to discuss the purpose of the study and request participation.</w:t>
      </w:r>
      <w:r w:rsidR="005F1C1C">
        <w:t xml:space="preserve"> </w:t>
      </w:r>
      <w:r>
        <w:t xml:space="preserve">Recruitment advertisements </w:t>
      </w:r>
      <w:r w:rsidR="00B6069E">
        <w:t>were also</w:t>
      </w:r>
      <w:r>
        <w:t xml:space="preserve"> posted on social media</w:t>
      </w:r>
      <w:r w:rsidR="004B7D13">
        <w:t xml:space="preserve">, with a focus on reaching </w:t>
      </w:r>
      <w:r>
        <w:t xml:space="preserve">pages created for </w:t>
      </w:r>
      <w:r w:rsidR="00D722AF">
        <w:t>racial/ethnic</w:t>
      </w:r>
      <w:r>
        <w:t xml:space="preserve"> minorit</w:t>
      </w:r>
      <w:r w:rsidR="004B7D13">
        <w:t>ies</w:t>
      </w:r>
      <w:r>
        <w:t>.</w:t>
      </w:r>
      <w:r w:rsidR="005F1C1C">
        <w:t xml:space="preserve"> </w:t>
      </w:r>
      <w:r>
        <w:t xml:space="preserve">Social media posts </w:t>
      </w:r>
      <w:r w:rsidR="00B6069E">
        <w:t>encouraged</w:t>
      </w:r>
      <w:r>
        <w:t xml:space="preserve"> viewers to share the study information with their </w:t>
      </w:r>
      <w:r w:rsidR="004B7D13">
        <w:t>social connections</w:t>
      </w:r>
      <w:r>
        <w:t xml:space="preserve"> in an effort to expand the study’s reach.</w:t>
      </w:r>
      <w:r w:rsidR="005F1C1C">
        <w:t xml:space="preserve"> Flyers were also posted among local businesses within the Norman area and placed inside collection bags at food pantries. </w:t>
      </w:r>
      <w:r>
        <w:t>Additionally, local and metropolitan business</w:t>
      </w:r>
      <w:r w:rsidR="00F2128A">
        <w:t>, American Indian reservations in Oklahoma and Texas, churches (in the Norman, OKC, and Dallas area), and afterschool programs</w:t>
      </w:r>
      <w:r>
        <w:t xml:space="preserve"> </w:t>
      </w:r>
      <w:r w:rsidR="003B14ED">
        <w:t>were</w:t>
      </w:r>
      <w:r>
        <w:t xml:space="preserve"> contacted to request </w:t>
      </w:r>
      <w:r w:rsidR="00F2128A">
        <w:t>participation of employees, tribal members, church members, and parents respectively</w:t>
      </w:r>
      <w:r>
        <w:t>.</w:t>
      </w:r>
      <w:r w:rsidR="005F1C1C">
        <w:t xml:space="preserve"> </w:t>
      </w:r>
      <w:r>
        <w:t xml:space="preserve"> </w:t>
      </w:r>
    </w:p>
    <w:p w14:paraId="73F27A5E" w14:textId="079CB5CF" w:rsidR="00F71A79" w:rsidRPr="004E6D9E" w:rsidRDefault="00F71A79" w:rsidP="00F71A79">
      <w:pPr>
        <w:spacing w:line="480" w:lineRule="auto"/>
      </w:pPr>
      <w:r>
        <w:tab/>
        <w:t>All emails and electronic</w:t>
      </w:r>
      <w:r w:rsidR="007D43DB">
        <w:t xml:space="preserve"> and print</w:t>
      </w:r>
      <w:r>
        <w:t xml:space="preserve"> advertisements </w:t>
      </w:r>
      <w:r w:rsidR="003B14ED">
        <w:t>gave</w:t>
      </w:r>
      <w:r>
        <w:t xml:space="preserve"> a brief overview of the study and its importance.</w:t>
      </w:r>
      <w:r w:rsidR="005F1C1C">
        <w:t xml:space="preserve"> </w:t>
      </w:r>
      <w:r>
        <w:t xml:space="preserve">A link </w:t>
      </w:r>
      <w:r w:rsidR="003B14ED">
        <w:t>enabl</w:t>
      </w:r>
      <w:r>
        <w:t>e</w:t>
      </w:r>
      <w:r w:rsidR="003B14ED">
        <w:t>d</w:t>
      </w:r>
      <w:r>
        <w:t xml:space="preserve"> potential participants to voluntarily access the online survey.</w:t>
      </w:r>
      <w:r w:rsidR="005F1C1C">
        <w:t xml:space="preserve"> </w:t>
      </w:r>
    </w:p>
    <w:p w14:paraId="384D6EF2" w14:textId="77777777" w:rsidR="00F71A79" w:rsidRDefault="00F71A79" w:rsidP="00F71A79">
      <w:pPr>
        <w:spacing w:line="480" w:lineRule="auto"/>
        <w:rPr>
          <w:b/>
          <w:bCs/>
        </w:rPr>
      </w:pPr>
      <w:r>
        <w:rPr>
          <w:b/>
          <w:bCs/>
        </w:rPr>
        <w:t>Research Design</w:t>
      </w:r>
    </w:p>
    <w:p w14:paraId="0DA60B11" w14:textId="48A39EC1" w:rsidR="00F71A79" w:rsidRPr="003E44F7" w:rsidRDefault="00F71A79" w:rsidP="00F71A79">
      <w:pPr>
        <w:spacing w:line="480" w:lineRule="auto"/>
      </w:pPr>
      <w:r>
        <w:tab/>
        <w:t>A cross-sectional, survey-based study using quantitative measures w</w:t>
      </w:r>
      <w:r w:rsidR="003B14ED">
        <w:t>as</w:t>
      </w:r>
      <w:r>
        <w:t xml:space="preserve"> used to test the research hypotheses.</w:t>
      </w:r>
      <w:r w:rsidR="005F1C1C">
        <w:t xml:space="preserve"> </w:t>
      </w:r>
      <w:r>
        <w:t>The survey w</w:t>
      </w:r>
      <w:r w:rsidR="003B14ED">
        <w:t>as</w:t>
      </w:r>
      <w:r>
        <w:t xml:space="preserve"> online and created via Qualtrics.</w:t>
      </w:r>
      <w:r w:rsidR="005F1C1C">
        <w:t xml:space="preserve"> </w:t>
      </w:r>
      <w:r w:rsidR="00BB2191">
        <w:t xml:space="preserve">It </w:t>
      </w:r>
      <w:r w:rsidR="003B14ED">
        <w:t>consisted</w:t>
      </w:r>
      <w:r w:rsidR="00BB2191">
        <w:t xml:space="preserve"> of approximately 64 questions and </w:t>
      </w:r>
      <w:r w:rsidR="003B14ED">
        <w:t>took</w:t>
      </w:r>
      <w:r w:rsidR="00BB2191">
        <w:t xml:space="preserve"> about </w:t>
      </w:r>
      <w:r w:rsidR="00345D52">
        <w:t>15 to 20 minutes</w:t>
      </w:r>
      <w:r w:rsidR="00BB2191">
        <w:t xml:space="preserve"> to complete, and it include</w:t>
      </w:r>
      <w:r w:rsidR="003B14ED">
        <w:t>d</w:t>
      </w:r>
      <w:r w:rsidR="00BB2191">
        <w:t xml:space="preserve"> the Schedule of Racist Events</w:t>
      </w:r>
      <w:r w:rsidR="00920C23">
        <w:t>-</w:t>
      </w:r>
      <w:r w:rsidR="00BB2191">
        <w:t xml:space="preserve">Generic </w:t>
      </w:r>
      <w:r w:rsidR="00BB2191">
        <w:fldChar w:fldCharType="begin"/>
      </w:r>
      <w:r w:rsidR="00BB2191">
        <w:instrText xml:space="preserve"> ADDIN ZOTERO_ITEM CSL_CITATION {"citationID":"syBItrO6","properties":{"formattedCitation":"(Lang, 2001)","plainCitation":"(Lang, 2001)","noteIndex":0},"citationItems":[{"id":130,"uris":["http://zotero.org/users/local/aUK5ZLEi/items/28TL85NF"],"uri":["http://zotero.org/users/local/aUK5ZLEi/items/28TL85NF"],"itemData":{"id":130,"type":"thesis","abstract":"The Schedule of Racist Events—Generic (SRE-G) was developed to assess racist experiences across ethnic groups. This is an 18-item self-report measure examining recent racist events, lifetime racist events and the appraisal of the stressfulness of those racist events. A total of 459 subjects representing the five major ethnic groups (African Americans, Hispanic Americans, Asian Americans, Native Americans and Anglo Americans) participated in this study. Results indicate that the SRE-G is a highly reliable measure of racist experiences in the lives of minority groups as well as Anglo Americans. Scores on the SRE-G closely parallel indices of institutional racism for each ethnic group, and they are, also strongly related to psychiatric symptoms, This is the first measure of racism which was designed to assess racist discrimination across ethnic groups in an effort to encourage future investigations of the effects of racism on mental and physical health.","event-place":"United States -- California","genre":"Ph.D.","language":"English","number-of-pages":"101","publisher":"Loma Linda University","publisher-place":"United States -- California","source":"ProQuest","title":"The Schedule of Racist Events -Generic: A measure of perceived racism across ethnic groups","title-short":"The Schedule of Racist Events -Generic","URL":"http://search.proquest.com/docview/304700911/abstract/9B5C96E171844B6PQ/1","author":[{"family":"Lang","given":"Delia Lucia"}],"accessed":{"date-parts":[["2020",3,6]]},"issued":{"date-parts":[["2001"]]}}}],"schema":"https://github.com/citation-style-language/schema/raw/master/csl-citation.json"} </w:instrText>
      </w:r>
      <w:r w:rsidR="00BB2191">
        <w:fldChar w:fldCharType="separate"/>
      </w:r>
      <w:r w:rsidR="00BB2191">
        <w:rPr>
          <w:noProof/>
        </w:rPr>
        <w:t>(Lang, 2001)</w:t>
      </w:r>
      <w:r w:rsidR="00BB2191">
        <w:fldChar w:fldCharType="end"/>
      </w:r>
      <w:r w:rsidR="00BB2191">
        <w:t xml:space="preserve">, portions from the Eating Disorder Examination Questionnaire </w:t>
      </w:r>
      <w:r w:rsidR="00BB2191">
        <w:fldChar w:fldCharType="begin"/>
      </w:r>
      <w:r w:rsidR="00BB2191">
        <w:instrText xml:space="preserve"> ADDIN ZOTERO_ITEM CSL_CITATION {"citationID":"qHYg4VzG","properties":{"formattedCitation":"(Fairburn &amp; Beglin, 1994)","plainCitation":"(Fairburn &amp; Beglin, 1994)","noteIndex":0},"citationItems":[{"id":145,"uris":["http://zotero.org/users/local/aUK5ZLEi/items/EFASJWYB"],"uri":["http://zotero.org/users/local/aUK5ZLEi/items/EFASJWYB"],"itemData":{"id":145,"type":"article-journal","abstract":"A detailed comparison was made of two methods for assessing the features of eating disorders. An investigator­based interview was compared with a self­report questionnaire based directly on that interview. A number of important discrepancies emerged. Although the two measures performed similarly with respect to the assessment of unambiguous behavioral features such as self­induced vomiting and dieting, the self­report questionnaire generated higher scores than the interview when assessing more complex features such as hinge eating and concerns about shape. Both methods underestimated body weight.","container-title":"International Journal of Eating Disorders","ISSN":"02763478","issue":"4","journalAbbreviation":"International Journal of Eating Disorders","page":"363-370","source":"EBSCOhost","title":"Assessment of Eating Disorders: Interview or Self-Report Questionnaire?","title-short":"Assessment of Eating Disorders","volume":"16","author":[{"family":"Fairburn","given":"Christopher G."},{"family":"Beglin","given":"Sarah J."}],"issued":{"date-parts":[["1994",12]]}}}],"schema":"https://github.com/citation-style-language/schema/raw/master/csl-citation.json"} </w:instrText>
      </w:r>
      <w:r w:rsidR="00BB2191">
        <w:fldChar w:fldCharType="separate"/>
      </w:r>
      <w:r w:rsidR="00BB2191">
        <w:rPr>
          <w:noProof/>
        </w:rPr>
        <w:t>(Fairburn &amp; Beglin, 1994)</w:t>
      </w:r>
      <w:r w:rsidR="00BB2191">
        <w:fldChar w:fldCharType="end"/>
      </w:r>
      <w:r w:rsidR="00BB2191">
        <w:t>, and demographic questions.</w:t>
      </w:r>
      <w:r w:rsidR="005F1C1C">
        <w:t xml:space="preserve"> </w:t>
      </w:r>
      <w:r w:rsidR="00BB2191">
        <w:t xml:space="preserve">These </w:t>
      </w:r>
      <w:r>
        <w:t xml:space="preserve">scales </w:t>
      </w:r>
      <w:r w:rsidR="00BB2191">
        <w:t>w</w:t>
      </w:r>
      <w:r w:rsidR="003B14ED">
        <w:t>ere</w:t>
      </w:r>
      <w:r w:rsidR="00BB2191">
        <w:t xml:space="preserve"> used </w:t>
      </w:r>
      <w:r>
        <w:t xml:space="preserve">to </w:t>
      </w:r>
      <w:r>
        <w:lastRenderedPageBreak/>
        <w:t xml:space="preserve">assess the sample’s </w:t>
      </w:r>
      <w:r w:rsidR="0057088F">
        <w:t xml:space="preserve">encounters with </w:t>
      </w:r>
      <w:r w:rsidR="00320836">
        <w:t xml:space="preserve">discriminatory events, </w:t>
      </w:r>
      <w:r>
        <w:t>level of stress</w:t>
      </w:r>
      <w:r w:rsidR="00970EED">
        <w:t xml:space="preserve"> related to those events</w:t>
      </w:r>
      <w:r>
        <w:t xml:space="preserve">, </w:t>
      </w:r>
      <w:r w:rsidR="00970EED">
        <w:t>frequency</w:t>
      </w:r>
      <w:r>
        <w:t xml:space="preserve"> of overeating</w:t>
      </w:r>
      <w:r w:rsidR="00970EED">
        <w:t xml:space="preserve"> and </w:t>
      </w:r>
      <w:r>
        <w:t>binge eating, and demographic information.</w:t>
      </w:r>
      <w:r w:rsidR="005F1C1C">
        <w:t xml:space="preserve"> </w:t>
      </w:r>
      <w:r>
        <w:t>Before beginning the survey, participants w</w:t>
      </w:r>
      <w:r w:rsidR="003B14ED">
        <w:t xml:space="preserve">ere </w:t>
      </w:r>
      <w:r>
        <w:t>informed of their ability to withdraw from the study at any time and assure protection of confidentiality and anonymity.</w:t>
      </w:r>
      <w:r w:rsidR="005F1C1C">
        <w:t xml:space="preserve"> </w:t>
      </w:r>
      <w:r w:rsidR="007D43C0">
        <w:t xml:space="preserve">Before initiating data collection, IRB approval </w:t>
      </w:r>
      <w:r w:rsidR="003B14ED">
        <w:t>was</w:t>
      </w:r>
      <w:r w:rsidR="007D43C0">
        <w:t xml:space="preserve"> obtained</w:t>
      </w:r>
      <w:r w:rsidR="008C4A0B">
        <w:t xml:space="preserve"> (</w:t>
      </w:r>
      <w:r w:rsidR="008C4A0B" w:rsidRPr="000409D6">
        <w:t>Appendix</w:t>
      </w:r>
      <w:r w:rsidR="00F518C4" w:rsidRPr="000409D6">
        <w:t xml:space="preserve"> </w:t>
      </w:r>
      <w:r w:rsidR="00F2128A">
        <w:t>A</w:t>
      </w:r>
      <w:r w:rsidR="008C4A0B">
        <w:t>)</w:t>
      </w:r>
      <w:r w:rsidR="007D43C0">
        <w:t>.</w:t>
      </w:r>
      <w:r w:rsidR="005F1C1C">
        <w:t xml:space="preserve"> </w:t>
      </w:r>
      <w:r w:rsidR="007D43C0">
        <w:t>Data collection t</w:t>
      </w:r>
      <w:r w:rsidR="003B14ED">
        <w:t>ook</w:t>
      </w:r>
      <w:r w:rsidR="007D43C0">
        <w:t xml:space="preserve"> place from approximately June</w:t>
      </w:r>
      <w:r w:rsidR="003B14ED">
        <w:t xml:space="preserve"> 2020</w:t>
      </w:r>
      <w:r w:rsidR="007D43C0">
        <w:t xml:space="preserve"> through </w:t>
      </w:r>
      <w:r w:rsidR="003B14ED">
        <w:t>March 2021</w:t>
      </w:r>
      <w:r w:rsidR="007D43C0">
        <w:t>.</w:t>
      </w:r>
    </w:p>
    <w:p w14:paraId="360333CA" w14:textId="25009C02" w:rsidR="00F71A79" w:rsidRDefault="00FB7E0C" w:rsidP="00F71A79">
      <w:pPr>
        <w:spacing w:line="480" w:lineRule="auto"/>
        <w:rPr>
          <w:b/>
          <w:bCs/>
        </w:rPr>
      </w:pPr>
      <w:r>
        <w:rPr>
          <w:b/>
          <w:bCs/>
        </w:rPr>
        <w:t>Measures</w:t>
      </w:r>
    </w:p>
    <w:p w14:paraId="069B7F77" w14:textId="7F8335C4" w:rsidR="00F71A79" w:rsidRPr="002E2882" w:rsidRDefault="00FB7E0C" w:rsidP="002E2882">
      <w:pPr>
        <w:spacing w:line="480" w:lineRule="auto"/>
        <w:rPr>
          <w:highlight w:val="yellow"/>
        </w:rPr>
      </w:pPr>
      <w:r>
        <w:rPr>
          <w:b/>
          <w:bCs/>
        </w:rPr>
        <w:tab/>
      </w:r>
      <w:r w:rsidRPr="00EA1F19">
        <w:rPr>
          <w:b/>
          <w:bCs/>
        </w:rPr>
        <w:t xml:space="preserve">Perceived </w:t>
      </w:r>
      <w:r w:rsidR="00EA1F19">
        <w:rPr>
          <w:b/>
          <w:bCs/>
        </w:rPr>
        <w:t>d</w:t>
      </w:r>
      <w:r w:rsidRPr="00EA1F19">
        <w:rPr>
          <w:b/>
          <w:bCs/>
        </w:rPr>
        <w:t>iscrimination</w:t>
      </w:r>
      <w:r w:rsidR="00EA1F19">
        <w:rPr>
          <w:b/>
          <w:bCs/>
        </w:rPr>
        <w:t xml:space="preserve">. </w:t>
      </w:r>
      <w:r w:rsidR="003E0A38">
        <w:t>The Schedule of Racist Events (SRE) is a valuable scale for assessing discriminatory stress and perceived discrimination.</w:t>
      </w:r>
      <w:r w:rsidR="005F1C1C">
        <w:t xml:space="preserve"> </w:t>
      </w:r>
      <w:r w:rsidR="00F71A79">
        <w:t>The S</w:t>
      </w:r>
      <w:r w:rsidR="00D90502">
        <w:t>RE</w:t>
      </w:r>
      <w:r w:rsidR="00F71A79">
        <w:t xml:space="preserve"> was originally created to assess discrimination among </w:t>
      </w:r>
      <w:r w:rsidR="005F1C1C">
        <w:t>African Americans/Blacks</w:t>
      </w:r>
      <w:r w:rsidR="00F71A79">
        <w:t xml:space="preserve"> </w:t>
      </w:r>
      <w:r w:rsidR="00F71A79">
        <w:fldChar w:fldCharType="begin"/>
      </w:r>
      <w:r w:rsidR="00F71A79">
        <w:instrText xml:space="preserve"> ADDIN ZOTERO_ITEM CSL_CITATION {"citationID":"ZtMrQKnP","properties":{"formattedCitation":"(Landrine &amp; Klonoff, 1996)","plainCitation":"(Landrine &amp; Klonoff, 1996)","noteIndex":0},"citationItems":[{"id":126,"uris":["http://zotero.org/users/local/aUK5ZLEi/items/4YRXT4US"],"uri":["http://zotero.org/users/local/aUK5ZLEi/items/4YRXT4US"],"itemData":{"id":126,"type":"article-journal","abstract":"In this article, the authors develop a brief questionnaire that assesses racist discrimination in the lives ofAfricanAmericans, and conduct preliminary studies with it. The Schedule of Racist Events (SRE) is an 18-item self-report inventory that assesses the frequency of racist discrimination (specific, stressful racist events) in the past year (recent racist events) and in one's entire life (lifetime racist events), and measures the extent to which this discrimination was evaluated (appraised) as stressful (appraised racist events). Results revealed that the SRE has extremely high internal consistency and split-half reliability. Racist discrimination is rampant in the lives of African Americans and is strongly related to psychiatric symptoms and to cigarette smoking. These findings highlight the negative consequences of racismandprovide evidencefor the validity of the SRE as a measure of (culturally specific) stress.","container-title":"Journal of Black Psychology","DOI":"10.1177/00957984960222002","ISSN":"0095-7984","issue":"2","journalAbbreviation":"Journal of Black Psychology","language":"en","page":"144-168","source":"SAGE Journals","title":"The Schedule of Racist Events: A Measure of Racial Discrimination and a Study of Its Negative Physical and Mental Health Consequences","title-short":"The Schedule of Racist Events","volume":"22","author":[{"family":"Landrine","given":"Hope"},{"family":"Klonoff","given":"Elizabeth A."}],"issued":{"date-parts":[["1996",5,1]]}}}],"schema":"https://github.com/citation-style-language/schema/raw/master/csl-citation.json"} </w:instrText>
      </w:r>
      <w:r w:rsidR="00F71A79">
        <w:fldChar w:fldCharType="separate"/>
      </w:r>
      <w:r w:rsidR="00F71A79">
        <w:rPr>
          <w:noProof/>
        </w:rPr>
        <w:t>(Landrine &amp; Klonoff, 1996)</w:t>
      </w:r>
      <w:r w:rsidR="00F71A79">
        <w:fldChar w:fldCharType="end"/>
      </w:r>
      <w:r w:rsidR="00F71A79">
        <w:t>.</w:t>
      </w:r>
      <w:r w:rsidR="005F1C1C">
        <w:t xml:space="preserve"> </w:t>
      </w:r>
      <w:r w:rsidR="00F71A79">
        <w:t>This 18-item self-report measure assesses both recent (in the past year) and lifetime encounters with racist events and participants’ appraisal of these events as stressful.</w:t>
      </w:r>
      <w:r w:rsidR="005F1C1C">
        <w:t xml:space="preserve"> </w:t>
      </w:r>
      <w:r w:rsidR="00F71A79">
        <w:t xml:space="preserve">For all three subscales, there was high internal consistency reliability coefficients </w:t>
      </w:r>
      <w:r w:rsidR="00F71A79" w:rsidRPr="002E2882">
        <w:t>(</w:t>
      </w:r>
      <w:r w:rsidR="002E2882" w:rsidRPr="002E2882">
        <w:t xml:space="preserve">Cronbach’s α </w:t>
      </w:r>
      <w:r w:rsidR="003E0A38" w:rsidRPr="002E2882">
        <w:t>≥</w:t>
      </w:r>
      <w:r w:rsidR="002E2882">
        <w:t xml:space="preserve"> </w:t>
      </w:r>
      <w:r w:rsidR="003E0A38" w:rsidRPr="002E2882">
        <w:t>.</w:t>
      </w:r>
      <w:r w:rsidR="00F71A79" w:rsidRPr="002E2882">
        <w:t>94</w:t>
      </w:r>
      <w:r w:rsidR="003E0A38" w:rsidRPr="002E2882">
        <w:t>)</w:t>
      </w:r>
      <w:r w:rsidR="00F71A79" w:rsidRPr="002E2882">
        <w:t>,</w:t>
      </w:r>
      <w:r w:rsidR="00F71A79">
        <w:t xml:space="preserve"> and it was significantly correlated with a criterion measure (</w:t>
      </w:r>
      <w:proofErr w:type="spellStart"/>
      <w:r w:rsidR="00F71A79">
        <w:t>Landrine</w:t>
      </w:r>
      <w:proofErr w:type="spellEnd"/>
      <w:r w:rsidR="00F71A79">
        <w:t xml:space="preserve"> &amp; </w:t>
      </w:r>
      <w:proofErr w:type="spellStart"/>
      <w:r w:rsidR="00F71A79">
        <w:t>Klonoff</w:t>
      </w:r>
      <w:proofErr w:type="spellEnd"/>
      <w:r w:rsidR="00F71A79">
        <w:t>, 1996).</w:t>
      </w:r>
      <w:r w:rsidR="005F1C1C">
        <w:t xml:space="preserve"> </w:t>
      </w:r>
      <w:r w:rsidR="00F71A79">
        <w:t xml:space="preserve">It was deemed reliable and valid for assessing </w:t>
      </w:r>
      <w:r w:rsidR="007D43DB">
        <w:t xml:space="preserve">discriminatory stress in </w:t>
      </w:r>
      <w:r w:rsidR="00F71A79">
        <w:t xml:space="preserve">a longitudinal sample of African American adolescents </w:t>
      </w:r>
      <w:r w:rsidR="00F71A79">
        <w:fldChar w:fldCharType="begin"/>
      </w:r>
      <w:r w:rsidR="00F71A79">
        <w:instrText xml:space="preserve"> ADDIN ZOTERO_ITEM CSL_CITATION {"citationID":"CSVQopcz","properties":{"formattedCitation":"(Simons et al., 2018)","plainCitation":"(Simons et al., 2018)","noteIndex":0},"citationItems":[{"id":95,"uris":["http://zotero.org/users/local/aUK5ZLEi/items/F3B665QW"],"uri":["http://zotero.org/users/local/aUK5ZLEi/items/F3B665QW"],"itemData":{"id":95,"type":"article-journal","abstract":"Several studies have reported a relation between race-related stressors and the poor health of Black Americans. Such findings raise questions regarding the mediating biological mechanisms that might account for this link. The present study investigated elevated systemic inflammation, a factor shown to be a strong predictor of chronic illness and mortality in all ethnic populations, as a possible factor. Using 7 waves of data from the Family and Community Health Study, collected over a 20-year period from over 400 Black Americans, we investigated the extent to which exposure to discrimination and segregation at various points in the life course predicted adult inflammation at age 28. Our analyses examined whether cumulative stress, stress generation, or predictive adaptive response (PAR) models best accounted for any associations that existed between these race-related stressors and adult inflammation. At every wave of data collection, assessments of discrimination and segregation were related to adult inflammation. However, multivariate analyses using structure equation modeling indicated that the PAR model best explained the effect of these race-related stressors on inflammation. Exposure to discrimination and segregation during the juvenile years predicted adult inflammation and amplified the inflammatory effect of adult exposure to these race-related stressors. These effects were considerably more robust than that of traditional health risk factors such as diet, exercise, smoking, and low SES. Implications of these findings are discussed, including the limitations of the widely accepted risk factor approach to increasing the health of Black Americans. (PsycINFO Database Record (c) 2018 APA, all rights reserved) (Source: journal abstract)","container-title":"Developmental Psychology","DOI":"http://dx.doi.org.ezproxy.lib.ou.edu/10.1037/dev0000511","ISSN":"0012-1649","issue":"10","language":"English","page":"1993-2006","source":"ProQuest","title":"Discrimination, segregation, and chronic inflammation: Testing the weathering explanation for the poor health of Black Americans","title-short":"Discrimination, segregation, and chronic inflammation","volume":"54","author":[{"family":"Simons","given":"Ronald L."},{"family":"Lei","given":"Man-Kit"},{"family":"Beach","given":"Steven R. H."},{"family":"Barr","given":"Ashley B."},{"family":"Simons","given":"Leslie G."},{"family":"Gibbons","given":"Frederick X."},{"family":"Philibert","given":"Robert A."}],"issued":{"date-parts":[["2018",10]]}}}],"schema":"https://github.com/citation-style-language/schema/raw/master/csl-citation.json"} </w:instrText>
      </w:r>
      <w:r w:rsidR="00F71A79">
        <w:fldChar w:fldCharType="separate"/>
      </w:r>
      <w:r w:rsidR="00F71A79">
        <w:rPr>
          <w:noProof/>
        </w:rPr>
        <w:t>(Simons et al., 2018)</w:t>
      </w:r>
      <w:r w:rsidR="00F71A79">
        <w:fldChar w:fldCharType="end"/>
      </w:r>
      <w:r w:rsidR="00F71A79">
        <w:t xml:space="preserve"> and for Caucasian and African American women </w:t>
      </w:r>
      <w:r w:rsidR="00F71A79">
        <w:fldChar w:fldCharType="begin"/>
      </w:r>
      <w:r w:rsidR="00F71A79">
        <w:instrText xml:space="preserve"> ADDIN ZOTERO_ITEM CSL_CITATION {"citationID":"GZdfazGM","properties":{"formattedCitation":"(Harrington et al., 2006)","plainCitation":"(Harrington et al., 2006)","noteIndex":0},"citationItems":[{"id":56,"uris":["http://zotero.org/users/local/aUK5ZLEi/items/II33ZECD"],"uri":["http://zotero.org/users/local/aUK5ZLEi/items/II33ZECD"],"itemData":{"id":56,"type":"article-journal","abstract":"The present study investigated whether trauma, stress, and discriminatory experiences influenced binge eating among 93 African American and 85 Caucasian women. Trauma and stress were significantly related to binge eating for both groups, although the stress- binge eating relationship was stronger for Caucasian women. Ethnicity did not moderate the relationship between trauma and binge eating, but did moderate the stress-binge eating relationship. Finally, the hypothesis that trauma and stress would influence binge eating through their effects on function of eating was partially supported; the relationship between stress and binge eating was partially mediated by function of eating among Caucasian women. The implications of these findings for our understanding of binge eating are discussed. (PsycINFO Database Record (c) 2016 APA, all rights reserved) (Source: journal abstract)","container-title":"Cultural Diversity and Ethnic Minority Psychology","DOI":"http://dx.doi.org.ezproxy.lib.ou.edu/10.1037/1099-9809.12.2.212","ISSN":"1099-9809","issue":"2","language":"English","page":"212-229","source":"ProQuest","title":"The relationships among trauma, stress, ethnicity, and binge eating","volume":"12","author":[{"family":"Harrington","given":"Ellen F."},{"family":"Crowther","given":"Janis H."},{"family":"Payne Henrickson","given":"Heather C."},{"family":"Mickelson","given":"Kristin D."},{"family":"Link to external site","given":"this","dropping-particle":"link will open in a new window"}],"issued":{"date-parts":[["2006",4]]}}}],"schema":"https://github.com/citation-style-language/schema/raw/master/csl-citation.json"} </w:instrText>
      </w:r>
      <w:r w:rsidR="00F71A79">
        <w:fldChar w:fldCharType="separate"/>
      </w:r>
      <w:r w:rsidR="00F71A79">
        <w:rPr>
          <w:noProof/>
        </w:rPr>
        <w:t>(Harrington et al., 2006)</w:t>
      </w:r>
      <w:r w:rsidR="00F71A79">
        <w:fldChar w:fldCharType="end"/>
      </w:r>
      <w:r w:rsidR="00F71A79">
        <w:t>.</w:t>
      </w:r>
    </w:p>
    <w:p w14:paraId="1675A989" w14:textId="61F0C039" w:rsidR="00F71A79" w:rsidRDefault="00F71A79" w:rsidP="00F71A79">
      <w:pPr>
        <w:spacing w:line="480" w:lineRule="auto"/>
      </w:pPr>
      <w:r>
        <w:tab/>
        <w:t>However, the current study investigate</w:t>
      </w:r>
      <w:r w:rsidR="00731ED8">
        <w:t>d</w:t>
      </w:r>
      <w:r>
        <w:t xml:space="preserve"> discriminatory stress among American Indians</w:t>
      </w:r>
      <w:r w:rsidR="005C62BB">
        <w:t xml:space="preserve"> and</w:t>
      </w:r>
      <w:r>
        <w:t xml:space="preserve"> </w:t>
      </w:r>
      <w:r w:rsidR="003E0A38">
        <w:t>Hispanic/Latino(a)/Spanish Americans</w:t>
      </w:r>
      <w:r>
        <w:t xml:space="preserve"> in addition to </w:t>
      </w:r>
      <w:r w:rsidR="005F1C1C">
        <w:t>African Americans/Blacks</w:t>
      </w:r>
      <w:r>
        <w:t>.</w:t>
      </w:r>
      <w:r w:rsidR="005F1C1C">
        <w:t xml:space="preserve"> </w:t>
      </w:r>
      <w:r>
        <w:t>The Schedule of Racist Event</w:t>
      </w:r>
      <w:r w:rsidR="003E0A38">
        <w:t>s</w:t>
      </w:r>
      <w:r w:rsidR="005C62BB">
        <w:t>-</w:t>
      </w:r>
      <w:r>
        <w:t>Generic (SRE</w:t>
      </w:r>
      <w:r w:rsidRPr="001619B8">
        <w:t>-</w:t>
      </w:r>
      <w:r>
        <w:t>G) w</w:t>
      </w:r>
      <w:r w:rsidR="00731ED8">
        <w:t>as</w:t>
      </w:r>
      <w:r>
        <w:t xml:space="preserve"> therefore used instead.</w:t>
      </w:r>
      <w:r w:rsidR="005F1C1C">
        <w:t xml:space="preserve"> </w:t>
      </w:r>
      <w:r>
        <w:t>It mirrors the Schedule of Racist Events with 18-items that assess recent and lifetime racist events</w:t>
      </w:r>
      <w:r w:rsidR="005C62BB">
        <w:t>,</w:t>
      </w:r>
      <w:r>
        <w:t xml:space="preserve"> as well as participants’ appraisal of these events</w:t>
      </w:r>
      <w:r w:rsidR="005C62BB">
        <w:t xml:space="preserve"> as stressful</w:t>
      </w:r>
      <w:r>
        <w:t xml:space="preserve">; however, the words “race or ethnic group” are used in place of the word “Black” </w:t>
      </w:r>
      <w:r>
        <w:fldChar w:fldCharType="begin"/>
      </w:r>
      <w:r>
        <w:instrText xml:space="preserve"> ADDIN ZOTERO_ITEM CSL_CITATION {"citationID":"VYlM0Qf5","properties":{"formattedCitation":"(Lang, 2001)","plainCitation":"(Lang, 2001)","noteIndex":0},"citationItems":[{"id":130,"uris":["http://zotero.org/users/local/aUK5ZLEi/items/28TL85NF"],"uri":["http://zotero.org/users/local/aUK5ZLEi/items/28TL85NF"],"itemData":{"id":130,"type":"thesis","abstract":"The Schedule of Racist Events—Generic (SRE-G) was developed to assess racist experiences across ethnic groups. This is an 18-item self-report measure examining recent racist events, lifetime racist events and the appraisal of the stressfulness of those racist events. A total of 459 subjects representing the five major ethnic groups (African Americans, Hispanic Americans, Asian Americans, Native Americans and Anglo Americans) participated in this study. Results indicate that the SRE-G is a highly reliable measure of racist experiences in the lives of minority groups as well as Anglo Americans. Scores on the SRE-G closely parallel indices of institutional racism for each ethnic group, and they are, also strongly related to psychiatric symptoms, This is the first measure of racism which was designed to assess racist discrimination across ethnic groups in an effort to encourage future investigations of the effects of racism on mental and physical health.","event-place":"United States -- California","genre":"Ph.D.","language":"English","number-of-pages":"101","publisher":"Loma Linda University","publisher-place":"United States -- California","source":"ProQuest","title":"The Schedule of Racist Events -Generic: A measure of perceived racism across ethnic groups","title-short":"The Schedule of Racist Events -Generic","URL":"http://search.proquest.com/docview/304700911/abstract/9B5C96E171844B6PQ/1","author":[{"family":"Lang","given":"Delia Lucia"}],"accessed":{"date-parts":[["2020",3,6]]},"issued":{"date-parts":[["2001"]]}}}],"schema":"https://github.com/citation-style-language/schema/raw/master/csl-citation.json"} </w:instrText>
      </w:r>
      <w:r>
        <w:fldChar w:fldCharType="separate"/>
      </w:r>
      <w:r>
        <w:rPr>
          <w:noProof/>
        </w:rPr>
        <w:t>(Lang, 2001)</w:t>
      </w:r>
      <w:r>
        <w:fldChar w:fldCharType="end"/>
      </w:r>
      <w:r>
        <w:t>.</w:t>
      </w:r>
      <w:r w:rsidR="005F1C1C">
        <w:t xml:space="preserve"> </w:t>
      </w:r>
      <w:r>
        <w:t xml:space="preserve">For example, a question was re-written to read, </w:t>
      </w:r>
      <w:r>
        <w:lastRenderedPageBreak/>
        <w:t>“How many times have you been treated unfairly by your employers, bosses, and supervisors because of your race or ethnic group?” instead of “How many times have you been treated unfairly by your employers, bosses, and supervisors because you are Black?”</w:t>
      </w:r>
      <w:r w:rsidR="005F1C1C">
        <w:t xml:space="preserve"> </w:t>
      </w:r>
      <w:r>
        <w:t>For both lifetime and recent racist events, participants rate the frequency on a 6-point Likert scale from 1 (never) to 6 (almost all of the time).</w:t>
      </w:r>
      <w:r w:rsidR="005F1C1C">
        <w:t xml:space="preserve"> </w:t>
      </w:r>
      <w:r>
        <w:t>After each scenario, participants rate how stressful the event was from 1 (not at all) to 6 (extremely).</w:t>
      </w:r>
      <w:r w:rsidR="005F1C1C">
        <w:t xml:space="preserve"> </w:t>
      </w:r>
      <w:r>
        <w:t xml:space="preserve">A </w:t>
      </w:r>
      <w:r w:rsidR="003E0A38">
        <w:t xml:space="preserve">summed </w:t>
      </w:r>
      <w:r>
        <w:t xml:space="preserve">score </w:t>
      </w:r>
      <w:r w:rsidR="00EA1F19">
        <w:t xml:space="preserve">is </w:t>
      </w:r>
      <w:r>
        <w:t>calculated for each subscale (lifetime racist events, recent racist events, and appraisal of racist events) in which higher scores indicate more encounters with discrimination or higher perceived</w:t>
      </w:r>
      <w:r w:rsidR="00D958E6">
        <w:t xml:space="preserve"> stress related to those </w:t>
      </w:r>
      <w:r w:rsidR="003B5BB2">
        <w:t>events</w:t>
      </w:r>
      <w:r>
        <w:t xml:space="preserve"> </w:t>
      </w:r>
      <w:r w:rsidR="003B5BB2">
        <w:t xml:space="preserve">(i.e., </w:t>
      </w:r>
      <w:r>
        <w:t>discriminatory stress</w:t>
      </w:r>
      <w:r w:rsidR="003B5BB2">
        <w:t>;</w:t>
      </w:r>
      <w:r>
        <w:t xml:space="preserve"> </w:t>
      </w:r>
      <w:r>
        <w:fldChar w:fldCharType="begin"/>
      </w:r>
      <w:r>
        <w:instrText xml:space="preserve"> ADDIN ZOTERO_ITEM CSL_CITATION {"citationID":"NPBieaMc","properties":{"formattedCitation":"(Lang, 2001)","plainCitation":"(Lang, 2001)","noteIndex":0},"citationItems":[{"id":130,"uris":["http://zotero.org/users/local/aUK5ZLEi/items/28TL85NF"],"uri":["http://zotero.org/users/local/aUK5ZLEi/items/28TL85NF"],"itemData":{"id":130,"type":"thesis","abstract":"The Schedule of Racist Events—Generic (SRE-G) was developed to assess racist experiences across ethnic groups. This is an 18-item self-report measure examining recent racist events, lifetime racist events and the appraisal of the stressfulness of those racist events. A total of 459 subjects representing the five major ethnic groups (African Americans, Hispanic Americans, Asian Americans, Native Americans and Anglo Americans) participated in this study. Results indicate that the SRE-G is a highly reliable measure of racist experiences in the lives of minority groups as well as Anglo Americans. Scores on the SRE-G closely parallel indices of institutional racism for each ethnic group, and they are, also strongly related to psychiatric symptoms, This is the first measure of racism which was designed to assess racist discrimination across ethnic groups in an effort to encourage future investigations of the effects of racism on mental and physical health.","event-place":"United States -- California","genre":"Ph.D.","language":"English","number-of-pages":"101","publisher":"Loma Linda University","publisher-place":"United States -- California","source":"ProQuest","title":"The Schedule of Racist Events -Generic: A measure of perceived racism across ethnic groups","title-short":"The Schedule of Racist Events -Generic","URL":"http://search.proquest.com/docview/304700911/abstract/9B5C96E171844B6PQ/1","author":[{"family":"Lang","given":"Delia Lucia"}],"accessed":{"date-parts":[["2020",3,6]]},"issued":{"date-parts":[["2001"]]}}}],"schema":"https://github.com/citation-style-language/schema/raw/master/csl-citation.json"} </w:instrText>
      </w:r>
      <w:r>
        <w:fldChar w:fldCharType="separate"/>
      </w:r>
      <w:r>
        <w:rPr>
          <w:noProof/>
        </w:rPr>
        <w:t>Lang, 2001)</w:t>
      </w:r>
      <w:r>
        <w:fldChar w:fldCharType="end"/>
      </w:r>
      <w:r w:rsidR="00BB2191">
        <w:t>.</w:t>
      </w:r>
      <w:r w:rsidR="005F1C1C">
        <w:t xml:space="preserve"> </w:t>
      </w:r>
      <w:r w:rsidR="00EA1F19" w:rsidRPr="005F1C1C">
        <w:t>For the current study, a</w:t>
      </w:r>
      <w:r w:rsidR="00731ED8" w:rsidRPr="005F1C1C">
        <w:t xml:space="preserve"> score for each individual subscale (recent, lifetime, and appraisal) was calculated for each participant</w:t>
      </w:r>
      <w:r w:rsidR="00345D52" w:rsidRPr="005F1C1C">
        <w:t>.</w:t>
      </w:r>
      <w:r w:rsidR="005F1C1C" w:rsidRPr="005F1C1C">
        <w:t xml:space="preserve"> </w:t>
      </w:r>
    </w:p>
    <w:p w14:paraId="6888FB91" w14:textId="71291B89" w:rsidR="00BB2191" w:rsidRPr="00E67F0B" w:rsidRDefault="00F71A79" w:rsidP="00F71A79">
      <w:pPr>
        <w:spacing w:line="480" w:lineRule="auto"/>
      </w:pPr>
      <w:r>
        <w:tab/>
        <w:t xml:space="preserve">For the entire sample of </w:t>
      </w:r>
      <w:r w:rsidR="005F1C1C">
        <w:t>African Americans/Blacks</w:t>
      </w:r>
      <w:r>
        <w:t>, Hispanic Americans, Asian Americans, Native Americans, and Anglo Americans, the SRE-G exhibited high reliability (</w:t>
      </w:r>
      <w:r w:rsidRPr="00E67F0B">
        <w:t>≥</w:t>
      </w:r>
      <w:r w:rsidR="00253D48">
        <w:t xml:space="preserve">      </w:t>
      </w:r>
      <w:r>
        <w:t>.90) across all three subscales.</w:t>
      </w:r>
      <w:r w:rsidR="005F1C1C">
        <w:t xml:space="preserve"> </w:t>
      </w:r>
      <w:r>
        <w:t>There was also high reliability for each of the current study’s target races and ethnicities (</w:t>
      </w:r>
      <w:r w:rsidR="005F1C1C">
        <w:t>African Americans/Blacks</w:t>
      </w:r>
      <w:r>
        <w:t xml:space="preserve"> </w:t>
      </w:r>
      <w:r w:rsidRPr="00E67F0B">
        <w:t>≥</w:t>
      </w:r>
      <w:r w:rsidR="001619B8">
        <w:t xml:space="preserve"> </w:t>
      </w:r>
      <w:r>
        <w:t xml:space="preserve">.89, Hispanic Americans </w:t>
      </w:r>
      <w:r w:rsidRPr="00E67F0B">
        <w:t>≥</w:t>
      </w:r>
      <w:r w:rsidR="001619B8">
        <w:t xml:space="preserve"> </w:t>
      </w:r>
      <w:r>
        <w:t xml:space="preserve">.93, and Native Americans </w:t>
      </w:r>
      <w:r w:rsidRPr="00E67F0B">
        <w:t>≥</w:t>
      </w:r>
      <w:r w:rsidR="001619B8">
        <w:t xml:space="preserve"> </w:t>
      </w:r>
      <w:r>
        <w:t>.95).</w:t>
      </w:r>
      <w:r w:rsidR="005F1C1C">
        <w:t xml:space="preserve"> </w:t>
      </w:r>
      <w:r>
        <w:t xml:space="preserve">In addition, it was also evidenced to be valid when compared against a criterion measure </w:t>
      </w:r>
      <w:r>
        <w:fldChar w:fldCharType="begin"/>
      </w:r>
      <w:r>
        <w:instrText xml:space="preserve"> ADDIN ZOTERO_ITEM CSL_CITATION {"citationID":"bzaXLF0R","properties":{"formattedCitation":"(Lang, 2001)","plainCitation":"(Lang, 2001)","noteIndex":0},"citationItems":[{"id":130,"uris":["http://zotero.org/users/local/aUK5ZLEi/items/28TL85NF"],"uri":["http://zotero.org/users/local/aUK5ZLEi/items/28TL85NF"],"itemData":{"id":130,"type":"thesis","abstract":"The Schedule of Racist Events—Generic (SRE-G) was developed to assess racist experiences across ethnic groups. This is an 18-item self-report measure examining recent racist events, lifetime racist events and the appraisal of the stressfulness of those racist events. A total of 459 subjects representing the five major ethnic groups (African Americans, Hispanic Americans, Asian Americans, Native Americans and Anglo Americans) participated in this study. Results indicate that the SRE-G is a highly reliable measure of racist experiences in the lives of minority groups as well as Anglo Americans. Scores on the SRE-G closely parallel indices of institutional racism for each ethnic group, and they are, also strongly related to psychiatric symptoms, This is the first measure of racism which was designed to assess racist discrimination across ethnic groups in an effort to encourage future investigations of the effects of racism on mental and physical health.","event-place":"United States -- California","genre":"Ph.D.","language":"English","number-of-pages":"101","publisher":"Loma Linda University","publisher-place":"United States -- California","source":"ProQuest","title":"The Schedule of Racist Events -Generic: A measure of perceived racism across ethnic groups","title-short":"The Schedule of Racist Events -Generic","URL":"http://search.proquest.com/docview/304700911/abstract/9B5C96E171844B6PQ/1","author":[{"family":"Lang","given":"Delia Lucia"}],"accessed":{"date-parts":[["2020",3,6]]},"issued":{"date-parts":[["2001"]]}}}],"schema":"https://github.com/citation-style-language/schema/raw/master/csl-citation.json"} </w:instrText>
      </w:r>
      <w:r>
        <w:fldChar w:fldCharType="separate"/>
      </w:r>
      <w:r>
        <w:rPr>
          <w:noProof/>
        </w:rPr>
        <w:t>(Lang, 2001)</w:t>
      </w:r>
      <w:r>
        <w:fldChar w:fldCharType="end"/>
      </w:r>
      <w:r>
        <w:t>.</w:t>
      </w:r>
      <w:r w:rsidR="005F1C1C">
        <w:t xml:space="preserve"> </w:t>
      </w:r>
    </w:p>
    <w:p w14:paraId="5728E841" w14:textId="09BF181E" w:rsidR="00F71A79" w:rsidRPr="00EA1F19" w:rsidRDefault="00AE555B" w:rsidP="00EA1F19">
      <w:pPr>
        <w:spacing w:line="480" w:lineRule="auto"/>
        <w:ind w:firstLine="720"/>
        <w:rPr>
          <w:b/>
          <w:bCs/>
        </w:rPr>
      </w:pPr>
      <w:r w:rsidRPr="00EA1F19">
        <w:rPr>
          <w:b/>
          <w:bCs/>
        </w:rPr>
        <w:t>Overeating</w:t>
      </w:r>
      <w:r w:rsidR="005637C6" w:rsidRPr="00EA1F19">
        <w:rPr>
          <w:b/>
          <w:bCs/>
        </w:rPr>
        <w:t xml:space="preserve"> and </w:t>
      </w:r>
      <w:r w:rsidR="00EA1F19">
        <w:rPr>
          <w:b/>
          <w:bCs/>
        </w:rPr>
        <w:t>b</w:t>
      </w:r>
      <w:r w:rsidR="005637C6" w:rsidRPr="00EA1F19">
        <w:rPr>
          <w:b/>
          <w:bCs/>
        </w:rPr>
        <w:t xml:space="preserve">inge </w:t>
      </w:r>
      <w:r w:rsidR="00EA1F19">
        <w:rPr>
          <w:b/>
          <w:bCs/>
        </w:rPr>
        <w:t>e</w:t>
      </w:r>
      <w:r w:rsidR="005637C6" w:rsidRPr="00EA1F19">
        <w:rPr>
          <w:b/>
          <w:bCs/>
        </w:rPr>
        <w:t>ating</w:t>
      </w:r>
      <w:r w:rsidR="00EA1F19">
        <w:rPr>
          <w:b/>
          <w:bCs/>
        </w:rPr>
        <w:t xml:space="preserve">. </w:t>
      </w:r>
      <w:r w:rsidR="00F71A79">
        <w:t xml:space="preserve">The original Eating Disorder Examination was an in-person interview conducted to assess an individual’s level of eating restraint, eating concern, shape concern, and weight concern that are reflective of eating disorder tendencies. However, the interview has been converted into a written questionnaire (Eating Disorder Examination Questionnaire [EDE-Q]) and has been evidenced as a comparable measure of eating disorder screening </w:t>
      </w:r>
      <w:r w:rsidR="00F71A79">
        <w:fldChar w:fldCharType="begin"/>
      </w:r>
      <w:r w:rsidR="00F71A79">
        <w:instrText xml:space="preserve"> ADDIN ZOTERO_ITEM CSL_CITATION {"citationID":"IIKKPMX8","properties":{"formattedCitation":"(Fairburn &amp; Beglin, 1994)","plainCitation":"(Fairburn &amp; Beglin, 1994)","noteIndex":0},"citationItems":[{"id":145,"uris":["http://zotero.org/users/local/aUK5ZLEi/items/EFASJWYB"],"uri":["http://zotero.org/users/local/aUK5ZLEi/items/EFASJWYB"],"itemData":{"id":145,"type":"article-journal","abstract":"A detailed comparison was made of two methods for assessing the features of eating disorders. An investigator­based interview was compared with a self­report questionnaire based directly on that interview. A number of important discrepancies emerged. Although the two measures performed similarly with respect to the assessment of unambiguous behavioral features such as self­induced vomiting and dieting, the self­report questionnaire generated higher scores than the interview when assessing more complex features such as hinge eating and concerns about shape. Both methods underestimated body weight.","container-title":"International Journal of Eating Disorders","ISSN":"02763478","issue":"4","journalAbbreviation":"International Journal of Eating Disorders","page":"363-370","source":"EBSCOhost","title":"Assessment of Eating Disorders: Interview or Self-Report Questionnaire?","title-short":"Assessment of Eating Disorders","volume":"16","author":[{"family":"Fairburn","given":"Christopher G."},{"family":"Beglin","given":"Sarah J."}],"issued":{"date-parts":[["1994",12]]}}}],"schema":"https://github.com/citation-style-language/schema/raw/master/csl-citation.json"} </w:instrText>
      </w:r>
      <w:r w:rsidR="00F71A79">
        <w:fldChar w:fldCharType="separate"/>
      </w:r>
      <w:r w:rsidR="00F71A79">
        <w:rPr>
          <w:noProof/>
        </w:rPr>
        <w:t>(Fairburn &amp; Beglin, 1994)</w:t>
      </w:r>
      <w:r w:rsidR="00F71A79">
        <w:fldChar w:fldCharType="end"/>
      </w:r>
      <w:r w:rsidR="00F71A79">
        <w:t>.</w:t>
      </w:r>
      <w:r w:rsidR="005F1C1C">
        <w:t xml:space="preserve"> </w:t>
      </w:r>
    </w:p>
    <w:p w14:paraId="5762EAD7" w14:textId="43834F8A" w:rsidR="00F71A79" w:rsidRDefault="00F71A79" w:rsidP="00F71A79">
      <w:pPr>
        <w:spacing w:line="480" w:lineRule="auto"/>
      </w:pPr>
      <w:r>
        <w:lastRenderedPageBreak/>
        <w:tab/>
        <w:t xml:space="preserve">Previous studies investigating overeating and/or binge eating have used portions of the questionnaire to estimate participants’ frequency of overeating and binge eating </w:t>
      </w:r>
      <w:r>
        <w:fldChar w:fldCharType="begin"/>
      </w:r>
      <w:r>
        <w:instrText xml:space="preserve"> ADDIN ZOTERO_ITEM CSL_CITATION {"citationID":"HrMtpB7d","properties":{"formattedCitation":"(G\\uc0\\u246{}rlach et al., 2016; Mailloux et al., 2014)","plainCitation":"(Görlach et al., 2016; Mailloux et al., 2014)","noteIndex":0},"citationItems":[{"id":140,"uris":["http://zotero.org/users/local/aUK5ZLEi/items/CBPIBT3K"],"uri":["http://zotero.org/users/local/aUK5ZLEi/items/CBPIBT3K"],"itemData":{"id":140,"type":"article-journal","abstract":"Emotions have a considerable impact on eating behaviour; however, research addressing emotion regulation in obesity is rare. The present study is the first to investigate the association between emotional suppression and overeating in individuals with overweight. In total, 314 participants including 190 individuals with obesity filled in a cross-sectional online survey, which assessed emotional suppression, eating behaviour and psychopathology. A hierarchical linear regression analysis was conducted to identify factors associated with overeating. Individuals with obesity reported more frequent overeating compared with individuals without obesity. The habitual use of emotional suppression was associated with more overeating; however, this link was moderated by increased body mass index (BMI). The results suggest that suppression of emotional expression contributes to overeating and is maladaptive especially in individuals with obesity. Further research should longitudinally investigate the predictive value of emotional suppression on overweight, as the training of emotion regulation could contribute to treating obesity. Copyright © 2016 John Wiley &amp; Sons, Ltd and Eating Disorders Association.","container-title":"European Eating Disorders Review","DOI":"10.1002/erv.2452","ISSN":"1099-0968","issue":"5","language":"en","page":"377-382","source":"Wiley Online Library","title":"Expressive Suppression of Emotions and Overeating in Individuals with Overweight and Obesity","volume":"24","author":[{"family":"Görlach","given":"Mirja Gianna"},{"family":"Kohlmann","given":"Sebastian"},{"family":"Shedden‐Mora","given":"Meike"},{"family":"Rief","given":"Winfried"},{"family":"Westermann","given":"Stefan"}],"issued":{"date-parts":[["2016"]]}}},{"id":136,"uris":["http://zotero.org/users/local/aUK5ZLEi/items/YZSZQ8SK"],"uri":["http://zotero.org/users/local/aUK5ZLEi/items/YZSZQ8SK"],"itemData":{"id":136,"type":"article-journal","abstract":"Background: Binge eating (BE) has long been identified as a correlate of overweight and obesity. However, less empirical attention has been given to overeating with and without loss of control (LOC) in nonclinical samples. Purpose: The goal of the present study was to examine the association of (1) established correlates of BE, namely, weight and shape concerns, dietary restraint, and negative affect, and (2) three additional correlates, disinhibition, hunger, and interoceptive awareness (IA), to overeating in a nonclinical sample of college women. Method: Female students ( n = 1,447) aged 18 to 21 years recruited from colleges in three Canadian metropolitan areas completed self-report questionnaires in class to assess sociodemographic and anthropomorphic characteristics, overeating, LOC, dietary restraint, negative affect, weight and shape concerns, IA, disinhibition, and hunger. Results: The established correlates of BE were significant correlates of all types of overeating and explained 33 % of the variance. Disinhibition was the most strongly associated correlate of overeating. Conclusions: Findings suggest that established correlates of BE are associated with other types of overeating such as objective overeating (OOE), as are disinhibition and hunger.","container-title":"International Journal of Behavioral Medicine","DOI":"10.1007/s12529-013-9306-1","ISSN":"1070-5503","issue":"2","journalAbbreviation":"International Journal of Behavioral Medicine","page":"375-384","source":"EBSCOhost","title":"Examining the Associations Between Overeating, Disinhibition, and Hunger in a Nonclinical Sample of College Women","volume":"21","author":[{"family":"Mailloux","given":"Geneviève"},{"family":"Bergeron","given":"Sophie"},{"family":"Meilleur","given":"Dominique"},{"family":"D'Antono","given":"Bianca"},{"family":"Dubé","given":"Isabelle"}],"issued":{"date-parts":[["2014",4]]}}}],"schema":"https://github.com/citation-style-language/schema/raw/master/csl-citation.json"} </w:instrText>
      </w:r>
      <w:r>
        <w:fldChar w:fldCharType="separate"/>
      </w:r>
      <w:r w:rsidRPr="00E67F0B">
        <w:t>(Görlach et al., 2016; Mailloux et al., 2014)</w:t>
      </w:r>
      <w:r>
        <w:fldChar w:fldCharType="end"/>
      </w:r>
      <w:r>
        <w:t>.</w:t>
      </w:r>
      <w:r w:rsidR="005F1C1C">
        <w:t xml:space="preserve"> </w:t>
      </w:r>
      <w:r>
        <w:t xml:space="preserve">To assess overeating, the EDE-Q question, “Over the past 28 days, how many times have you eaten what other people would regard as an unusually large amount of food (given the circumstances)?” was used, and researchers used the EDE-Q question, “On how many of these times did you have a sense of having lost control over your eating (at the time that you were eating)?” to assess binge eating </w:t>
      </w:r>
      <w:r>
        <w:fldChar w:fldCharType="begin"/>
      </w:r>
      <w:r>
        <w:instrText xml:space="preserve"> ADDIN ZOTERO_ITEM CSL_CITATION {"citationID":"CYqlE9Q5","properties":{"formattedCitation":"(G\\uc0\\u246{}rlach et al., 2016; Mailloux et al., 2014)","plainCitation":"(Görlach et al., 2016; Mailloux et al., 2014)","noteIndex":0},"citationItems":[{"id":140,"uris":["http://zotero.org/users/local/aUK5ZLEi/items/CBPIBT3K"],"uri":["http://zotero.org/users/local/aUK5ZLEi/items/CBPIBT3K"],"itemData":{"id":140,"type":"article-journal","abstract":"Emotions have a considerable impact on eating behaviour; however, research addressing emotion regulation in obesity is rare. The present study is the first to investigate the association between emotional suppression and overeating in individuals with overweight. In total, 314 participants including 190 individuals with obesity filled in a cross-sectional online survey, which assessed emotional suppression, eating behaviour and psychopathology. A hierarchical linear regression analysis was conducted to identify factors associated with overeating. Individuals with obesity reported more frequent overeating compared with individuals without obesity. The habitual use of emotional suppression was associated with more overeating; however, this link was moderated by increased body mass index (BMI). The results suggest that suppression of emotional expression contributes to overeating and is maladaptive especially in individuals with obesity. Further research should longitudinally investigate the predictive value of emotional suppression on overweight, as the training of emotion regulation could contribute to treating obesity. Copyright © 2016 John Wiley &amp; Sons, Ltd and Eating Disorders Association.","container-title":"European Eating Disorders Review","DOI":"10.1002/erv.2452","ISSN":"1099-0968","issue":"5","language":"en","page":"377-382","source":"Wiley Online Library","title":"Expressive Suppression of Emotions and Overeating in Individuals with Overweight and Obesity","volume":"24","author":[{"family":"Görlach","given":"Mirja Gianna"},{"family":"Kohlmann","given":"Sebastian"},{"family":"Shedden‐Mora","given":"Meike"},{"family":"Rief","given":"Winfried"},{"family":"Westermann","given":"Stefan"}],"issued":{"date-parts":[["2016"]]}}},{"id":136,"uris":["http://zotero.org/users/local/aUK5ZLEi/items/YZSZQ8SK"],"uri":["http://zotero.org/users/local/aUK5ZLEi/items/YZSZQ8SK"],"itemData":{"id":136,"type":"article-journal","abstract":"Background: Binge eating (BE) has long been identified as a correlate of overweight and obesity. However, less empirical attention has been given to overeating with and without loss of control (LOC) in nonclinical samples. Purpose: The goal of the present study was to examine the association of (1) established correlates of BE, namely, weight and shape concerns, dietary restraint, and negative affect, and (2) three additional correlates, disinhibition, hunger, and interoceptive awareness (IA), to overeating in a nonclinical sample of college women. Method: Female students ( n = 1,447) aged 18 to 21 years recruited from colleges in three Canadian metropolitan areas completed self-report questionnaires in class to assess sociodemographic and anthropomorphic characteristics, overeating, LOC, dietary restraint, negative affect, weight and shape concerns, IA, disinhibition, and hunger. Results: The established correlates of BE were significant correlates of all types of overeating and explained 33 % of the variance. Disinhibition was the most strongly associated correlate of overeating. Conclusions: Findings suggest that established correlates of BE are associated with other types of overeating such as objective overeating (OOE), as are disinhibition and hunger.","container-title":"International Journal of Behavioral Medicine","DOI":"10.1007/s12529-013-9306-1","ISSN":"1070-5503","issue":"2","journalAbbreviation":"International Journal of Behavioral Medicine","page":"375-384","source":"EBSCOhost","title":"Examining the Associations Between Overeating, Disinhibition, and Hunger in a Nonclinical Sample of College Women","volume":"21","author":[{"family":"Mailloux","given":"Geneviève"},{"family":"Bergeron","given":"Sophie"},{"family":"Meilleur","given":"Dominique"},{"family":"D'Antono","given":"Bianca"},{"family":"Dubé","given":"Isabelle"}],"issued":{"date-parts":[["2014",4]]}}}],"schema":"https://github.com/citation-style-language/schema/raw/master/csl-citation.json"} </w:instrText>
      </w:r>
      <w:r>
        <w:fldChar w:fldCharType="separate"/>
      </w:r>
      <w:r w:rsidRPr="00E67F0B">
        <w:t>(Görlach et al., 2016; Mailloux et al., 2014)</w:t>
      </w:r>
      <w:r>
        <w:fldChar w:fldCharType="end"/>
      </w:r>
      <w:r>
        <w:t>.</w:t>
      </w:r>
      <w:r w:rsidR="005F1C1C">
        <w:t xml:space="preserve"> </w:t>
      </w:r>
      <w:r>
        <w:t>Similarly, a longitudinal study examining overeating and binge eating used questions from the Questionnaire on Eating and Weight</w:t>
      </w:r>
      <w:r w:rsidR="00363EE6">
        <w:t xml:space="preserve"> </w:t>
      </w:r>
      <w:r>
        <w:t>Patterns</w:t>
      </w:r>
      <w:r w:rsidR="00363EE6">
        <w:t>-</w:t>
      </w:r>
      <w:r>
        <w:t>Revised to assess both these eating behaviors.</w:t>
      </w:r>
      <w:r w:rsidR="005F1C1C">
        <w:t xml:space="preserve"> </w:t>
      </w:r>
      <w:r>
        <w:t>Both questions were comparable to the EDE-Q (“In the past year, have you ever eaten so much food in a short period of time that you would be embarrassed if others saw you</w:t>
      </w:r>
      <w:r w:rsidR="000B754B">
        <w:t>, and d</w:t>
      </w:r>
      <w:r>
        <w:t>uring the times when you ate this way, did you feel you couldn’t stop eating or control what or how much you were eating</w:t>
      </w:r>
      <w:r w:rsidR="000B754B">
        <w:t>?</w:t>
      </w:r>
      <w:r>
        <w:t xml:space="preserve">”) and demonstrated high reliability </w:t>
      </w:r>
      <w:r>
        <w:fldChar w:fldCharType="begin"/>
      </w:r>
      <w:r>
        <w:instrText xml:space="preserve"> ADDIN ZOTERO_ITEM CSL_CITATION {"citationID":"eHdXaM0T","properties":{"formattedCitation":"(Goldschmidt et al., 2016)","plainCitation":"(Goldschmidt et al., 2016)","noteIndex":0},"citationItems":[{"id":134,"uris":["http://zotero.org/users/local/aUK5ZLEi/items/LUBRDHDP"],"uri":["http://zotero.org/users/local/aUK5ZLEi/items/LUBRDHDP"],"itemData":{"id":134,"type":"article-journal","abstract":"Overeating (eating an unusually large amount of food) and binge eating (overeating with loss of control [LOC]) predict adverse health consequences in adolescence. We aimed to characterize the stability of and risk factors for these distinct but interrelated constructs during critical developmental transitions. We used a population-based sample (n = 1,902) that completed surveys at 5-year intervals spanning adolescence and young adulthood. The trajectories of no overeating, overeating, binge eating, and binge eating disorder (BED; recurrent binge eating with associated distress) were characterized using cross-tabulations. Body mass index, depressive symptoms, self-esteem, and body satisfaction were examined as risk factors for no overeating, overeating, and binge eating (including BED) 5-years later using multinomial logistic regression. We found that all overeating categories tended to remit to no overeating at 5-year follow-up. Although overeating had the lowest remittance rates at each time-point, binge eating and BED showed higher rates of persistence or worsening of symptoms during the transition from late adolescence/early young adulthood to early/middle young adulthood. Overeating and binge eating had similar risk factors, although for females, depressive symptoms, body satisfaction, and self-esteem in late adolescence/early young adulthood differentially predicted binge eating versus overeating in early/middle young adulthood (ps &lt; .05). While overeating with or without LOC tends to remit over time, problematic eating persists for a subset of individuals. Greater psychosocial problems in late adolescence/early young adulthood predicted greater odds of binge eating relative to overeating in early/middle young adulthood among females, indicating that poorer psychosocial functioning in this developmental stage portends more severe eating-related psychopathology later in life. (PsycINFO Database Record (c) 2016 APA, all rights reserved) (Source: journal abstract)","container-title":"Developmental Psychology","DOI":"http://dx.doi.org.ezproxy.lib.ou.edu/10.1037/dev0000086","ISSN":"0012-1649","issue":"3","language":"English","page":"475-483","source":"ProQuest","title":"Overeating and binge eating in emerging adulthood: 10-year stability and risk factors","title-short":"Overeating and binge eating in emerging adulthood","volume":"52","author":[{"family":"Goldschmidt","given":"Andrea B."},{"family":"Wall","given":"Melanie M."},{"family":"Zhang","given":"Jun"},{"family":"Loth","given":"Katie A."},{"family":"Neumark-Sztainer","given":"Dianne"}],"issued":{"date-parts":[["2016",3]]}}}],"schema":"https://github.com/citation-style-language/schema/raw/master/csl-citation.json"} </w:instrText>
      </w:r>
      <w:r>
        <w:fldChar w:fldCharType="separate"/>
      </w:r>
      <w:r>
        <w:rPr>
          <w:noProof/>
        </w:rPr>
        <w:t>(Goldschmidt et al., 2016)</w:t>
      </w:r>
      <w:r>
        <w:fldChar w:fldCharType="end"/>
      </w:r>
      <w:r>
        <w:t>.</w:t>
      </w:r>
    </w:p>
    <w:p w14:paraId="5C549ED8" w14:textId="596982F2" w:rsidR="00EA1F19" w:rsidRPr="00E67F0B" w:rsidRDefault="00F71A79" w:rsidP="00F71A79">
      <w:pPr>
        <w:spacing w:line="480" w:lineRule="auto"/>
      </w:pPr>
      <w:r>
        <w:tab/>
        <w:t xml:space="preserve">Since the EDE-Q is both a valid and reliable assessment tool and has been replicated for use in other studies, the current study </w:t>
      </w:r>
      <w:r w:rsidR="00731ED8">
        <w:t>used</w:t>
      </w:r>
      <w:r>
        <w:t xml:space="preserve"> two questions from the questionnaire to estimate participants’ frequency of overeating and binge eating.</w:t>
      </w:r>
      <w:r w:rsidR="005F1C1C">
        <w:t xml:space="preserve"> </w:t>
      </w:r>
      <w:r>
        <w:t>Participants self-report</w:t>
      </w:r>
      <w:r w:rsidR="00731ED8">
        <w:t>ed</w:t>
      </w:r>
      <w:r>
        <w:t xml:space="preserve"> how often they overate or binged over the past 28 days, and numbers range</w:t>
      </w:r>
      <w:r w:rsidR="00731ED8">
        <w:t>d</w:t>
      </w:r>
      <w:r>
        <w:t xml:space="preserve"> from 0 to 28 days</w:t>
      </w:r>
      <w:r w:rsidRPr="000409D6">
        <w:t>.</w:t>
      </w:r>
      <w:r w:rsidR="005F1C1C" w:rsidRPr="000409D6">
        <w:t xml:space="preserve"> </w:t>
      </w:r>
      <w:r w:rsidR="003E0A38" w:rsidRPr="000409D6">
        <w:t xml:space="preserve">A </w:t>
      </w:r>
      <w:r w:rsidR="003E0A38">
        <w:t>number of participants inaccurately reported binge eating scores by reporting days of feeling out of control with overeating beyond the number of days they overate</w:t>
      </w:r>
      <w:r w:rsidR="00DE4630">
        <w:t xml:space="preserve"> or no days of overeating</w:t>
      </w:r>
      <w:r w:rsidR="003E0A38">
        <w:t>. Consequently, participants were put into two categories</w:t>
      </w:r>
      <w:r w:rsidR="00094739">
        <w:t>—</w:t>
      </w:r>
      <w:r w:rsidR="003E0A38">
        <w:t>those who binged (reported at least one day of feeling out of control in addition to overeating at least one day) and those who did not binge (reported no days of binge eating or failed to report any days of overeating). Conversely</w:t>
      </w:r>
      <w:r>
        <w:t xml:space="preserve">, overeating </w:t>
      </w:r>
      <w:r w:rsidRPr="000409D6">
        <w:t>w</w:t>
      </w:r>
      <w:r w:rsidR="00731ED8" w:rsidRPr="000409D6">
        <w:t>as</w:t>
      </w:r>
      <w:r w:rsidRPr="000409D6">
        <w:t xml:space="preserve"> </w:t>
      </w:r>
      <w:r w:rsidRPr="000409D6">
        <w:lastRenderedPageBreak/>
        <w:t>simply</w:t>
      </w:r>
      <w:r>
        <w:t xml:space="preserve"> the number of days participants report</w:t>
      </w:r>
      <w:r w:rsidR="00731ED8">
        <w:t>ed</w:t>
      </w:r>
      <w:r>
        <w:t xml:space="preserve"> eating a large portion of food in a short amount of time.</w:t>
      </w:r>
      <w:r w:rsidR="005F1C1C">
        <w:t xml:space="preserve"> </w:t>
      </w:r>
    </w:p>
    <w:p w14:paraId="45D8F12E" w14:textId="27D36220" w:rsidR="00462159" w:rsidRDefault="00EA1F19" w:rsidP="00F71A79">
      <w:pPr>
        <w:spacing w:line="480" w:lineRule="auto"/>
      </w:pPr>
      <w:r>
        <w:rPr>
          <w:b/>
          <w:bCs/>
        </w:rPr>
        <w:tab/>
      </w:r>
      <w:r w:rsidR="00F71A79" w:rsidRPr="00BB2191">
        <w:rPr>
          <w:b/>
          <w:bCs/>
        </w:rPr>
        <w:t xml:space="preserve">Demographic </w:t>
      </w:r>
      <w:r>
        <w:rPr>
          <w:b/>
          <w:bCs/>
        </w:rPr>
        <w:t>q</w:t>
      </w:r>
      <w:r w:rsidR="00F71A79" w:rsidRPr="00BB2191">
        <w:rPr>
          <w:b/>
          <w:bCs/>
        </w:rPr>
        <w:t>uestions</w:t>
      </w:r>
      <w:r>
        <w:rPr>
          <w:b/>
          <w:bCs/>
        </w:rPr>
        <w:t xml:space="preserve">. </w:t>
      </w:r>
      <w:r w:rsidR="0090365D">
        <w:t>D</w:t>
      </w:r>
      <w:r w:rsidR="00F71A79">
        <w:t xml:space="preserve">emographic questions </w:t>
      </w:r>
      <w:r w:rsidR="00731ED8">
        <w:t>were</w:t>
      </w:r>
      <w:r w:rsidR="00F71A79">
        <w:t xml:space="preserve"> placed at the beginning of the survey to verify that participants fulfill</w:t>
      </w:r>
      <w:r w:rsidR="00731ED8">
        <w:t>ed</w:t>
      </w:r>
      <w:r w:rsidR="00F71A79">
        <w:t xml:space="preserve"> the inclusion criteria.</w:t>
      </w:r>
      <w:r w:rsidR="005F1C1C">
        <w:t xml:space="preserve"> </w:t>
      </w:r>
      <w:r w:rsidR="00F71A79">
        <w:t xml:space="preserve">To ensure the inclusion of only </w:t>
      </w:r>
      <w:r w:rsidR="00D722AF">
        <w:t>racial/ethnic</w:t>
      </w:r>
      <w:r w:rsidR="00F71A79">
        <w:t xml:space="preserve"> minorities, participants </w:t>
      </w:r>
      <w:r w:rsidR="00731ED8">
        <w:t>were</w:t>
      </w:r>
      <w:r w:rsidR="00F71A79">
        <w:t xml:space="preserve"> asked to choose which race</w:t>
      </w:r>
      <w:r w:rsidR="00F2128A">
        <w:t>/</w:t>
      </w:r>
      <w:r w:rsidR="00F71A79">
        <w:t>ethnicity they consider</w:t>
      </w:r>
      <w:r w:rsidR="00731ED8">
        <w:t>ed</w:t>
      </w:r>
      <w:r w:rsidR="00F71A79">
        <w:t xml:space="preserve"> themselves to be, and only those who cho</w:t>
      </w:r>
      <w:r w:rsidR="00731ED8">
        <w:t>se</w:t>
      </w:r>
      <w:r w:rsidR="00F71A79">
        <w:t xml:space="preserve"> American Indian, African American, Hispanic</w:t>
      </w:r>
      <w:r w:rsidR="00F2128A">
        <w:t>/</w:t>
      </w:r>
      <w:r w:rsidR="001219A8">
        <w:t>Latino(a)</w:t>
      </w:r>
      <w:r w:rsidR="00F2128A">
        <w:t>/</w:t>
      </w:r>
      <w:r w:rsidR="00BB2191">
        <w:t>Spanish American</w:t>
      </w:r>
      <w:r w:rsidR="001219A8">
        <w:t xml:space="preserve"> </w:t>
      </w:r>
      <w:r w:rsidR="00731ED8">
        <w:t>were</w:t>
      </w:r>
      <w:r w:rsidR="00F71A79">
        <w:t xml:space="preserve"> included.</w:t>
      </w:r>
      <w:r w:rsidR="005F1C1C">
        <w:t xml:space="preserve"> </w:t>
      </w:r>
      <w:r w:rsidR="00F71A79">
        <w:t>Participants w</w:t>
      </w:r>
      <w:r w:rsidR="00731ED8">
        <w:t>ere</w:t>
      </w:r>
      <w:r w:rsidR="00F71A79">
        <w:t xml:space="preserve"> also asked to report their age, and anyone less than 18 years old </w:t>
      </w:r>
      <w:r w:rsidR="00731ED8">
        <w:t>was</w:t>
      </w:r>
      <w:r w:rsidR="00F71A79">
        <w:t xml:space="preserve"> excluded.</w:t>
      </w:r>
      <w:r w:rsidR="005F1C1C">
        <w:t xml:space="preserve"> </w:t>
      </w:r>
    </w:p>
    <w:p w14:paraId="259F320E" w14:textId="6541342F" w:rsidR="00F71A79" w:rsidRPr="00B74CE8" w:rsidRDefault="00462159" w:rsidP="003E0A38">
      <w:pPr>
        <w:spacing w:line="480" w:lineRule="auto"/>
        <w:ind w:firstLine="720"/>
      </w:pPr>
      <w:r>
        <w:t>Other demographic data collected include</w:t>
      </w:r>
      <w:r w:rsidR="00384506">
        <w:t>s</w:t>
      </w:r>
      <w:r>
        <w:t xml:space="preserve"> </w:t>
      </w:r>
      <w:r w:rsidR="001055B9">
        <w:t xml:space="preserve">self-reported </w:t>
      </w:r>
      <w:r w:rsidR="00F71A79">
        <w:t>weight and height</w:t>
      </w:r>
      <w:r w:rsidR="00DB53D2">
        <w:t xml:space="preserve"> to categorize participants as underweight, </w:t>
      </w:r>
      <w:r w:rsidR="007F4CA2">
        <w:t>normal weight</w:t>
      </w:r>
      <w:r w:rsidR="00DB53D2">
        <w:t>, overweight, or obese</w:t>
      </w:r>
      <w:r w:rsidR="001A2272">
        <w:t xml:space="preserve">; </w:t>
      </w:r>
      <w:r w:rsidR="00F71A79">
        <w:t>income</w:t>
      </w:r>
      <w:r w:rsidR="00BD1857">
        <w:t>;</w:t>
      </w:r>
      <w:r w:rsidR="00F71A79">
        <w:t xml:space="preserve"> the number of people living in their household</w:t>
      </w:r>
      <w:r w:rsidR="0010226C">
        <w:t>; marital status</w:t>
      </w:r>
      <w:r w:rsidR="00BD1857">
        <w:t>;</w:t>
      </w:r>
      <w:r w:rsidR="0010226C">
        <w:t xml:space="preserve"> </w:t>
      </w:r>
      <w:r w:rsidR="00CF0CF1">
        <w:t xml:space="preserve">geographic </w:t>
      </w:r>
      <w:r w:rsidR="0010226C">
        <w:t>r</w:t>
      </w:r>
      <w:r w:rsidR="00F71A79">
        <w:t xml:space="preserve">egion of </w:t>
      </w:r>
      <w:r w:rsidR="0010226C">
        <w:t>residence</w:t>
      </w:r>
      <w:r w:rsidR="008C4A0B">
        <w:t xml:space="preserve">; and sex. This </w:t>
      </w:r>
      <w:r w:rsidR="0056490D">
        <w:t>information</w:t>
      </w:r>
      <w:r w:rsidR="008C4A0B">
        <w:t xml:space="preserve"> was collected so</w:t>
      </w:r>
      <w:r w:rsidR="00A67E33">
        <w:t xml:space="preserve"> corresponding</w:t>
      </w:r>
      <w:r w:rsidR="00F71A79">
        <w:t xml:space="preserve"> comparisons of discriminatory stress, overeating</w:t>
      </w:r>
      <w:r w:rsidR="008C4A0B">
        <w:t>, and binge eating</w:t>
      </w:r>
      <w:r w:rsidR="0056490D">
        <w:t xml:space="preserve"> </w:t>
      </w:r>
      <w:r w:rsidR="00F71A79">
        <w:t>c</w:t>
      </w:r>
      <w:r w:rsidR="00731ED8">
        <w:t>ould</w:t>
      </w:r>
      <w:r w:rsidR="00F71A79">
        <w:t xml:space="preserve"> be made.</w:t>
      </w:r>
      <w:r w:rsidR="005F1C1C">
        <w:t xml:space="preserve"> </w:t>
      </w:r>
      <w:r w:rsidR="00A153C1">
        <w:t>Specific questions</w:t>
      </w:r>
      <w:r w:rsidR="004707BC">
        <w:t xml:space="preserve"> utilized</w:t>
      </w:r>
      <w:r w:rsidR="00A153C1">
        <w:t xml:space="preserve"> </w:t>
      </w:r>
      <w:r w:rsidR="007539C6">
        <w:t xml:space="preserve">and </w:t>
      </w:r>
      <w:r w:rsidR="004707BC">
        <w:t xml:space="preserve">response options </w:t>
      </w:r>
      <w:r w:rsidR="00F518C4">
        <w:t xml:space="preserve">are included in Appendix </w:t>
      </w:r>
      <w:r w:rsidR="00F2128A">
        <w:t>B</w:t>
      </w:r>
      <w:r w:rsidR="00F518C4" w:rsidRPr="000409D6">
        <w:t>.</w:t>
      </w:r>
    </w:p>
    <w:p w14:paraId="674FFA3B" w14:textId="5A736B1B" w:rsidR="00F71A79" w:rsidRDefault="00F71A79" w:rsidP="00F71A79">
      <w:pPr>
        <w:spacing w:line="480" w:lineRule="auto"/>
        <w:rPr>
          <w:b/>
          <w:bCs/>
        </w:rPr>
      </w:pPr>
      <w:r>
        <w:rPr>
          <w:b/>
          <w:bCs/>
        </w:rPr>
        <w:t>Data Analysis</w:t>
      </w:r>
    </w:p>
    <w:p w14:paraId="02266D7E" w14:textId="77777777" w:rsidR="0034397F" w:rsidRDefault="00F71A79" w:rsidP="00F71A79">
      <w:pPr>
        <w:spacing w:line="480" w:lineRule="auto"/>
      </w:pPr>
      <w:r>
        <w:tab/>
      </w:r>
      <w:r w:rsidR="00463841" w:rsidRPr="00463841">
        <w:t xml:space="preserve">Given that normally distributed data is an underlying assumption of some parametric statistical analyses, this assumption was assessed both graphically and numerically. </w:t>
      </w:r>
      <w:r w:rsidR="00E52A15">
        <w:t xml:space="preserve">Visual inspection </w:t>
      </w:r>
      <w:r w:rsidR="006225AA">
        <w:t>of histograms for overeating and all</w:t>
      </w:r>
      <w:r w:rsidR="00D85760">
        <w:t xml:space="preserve"> three SRE-G</w:t>
      </w:r>
      <w:r w:rsidR="006225AA">
        <w:t xml:space="preserve"> subscales</w:t>
      </w:r>
      <w:r w:rsidR="002605D8">
        <w:t xml:space="preserve"> (recent and lifetime discriminatory events and the apprais</w:t>
      </w:r>
      <w:r w:rsidR="00566BE0">
        <w:t>ed stressfulness</w:t>
      </w:r>
      <w:r w:rsidR="002605D8">
        <w:t xml:space="preserve"> of th</w:t>
      </w:r>
      <w:r w:rsidR="00566BE0">
        <w:t>ose events</w:t>
      </w:r>
      <w:r w:rsidR="002605D8">
        <w:t>)</w:t>
      </w:r>
      <w:r w:rsidR="006225AA">
        <w:t xml:space="preserve"> suggest</w:t>
      </w:r>
      <w:r w:rsidR="00D46981">
        <w:t>ed</w:t>
      </w:r>
      <w:r w:rsidR="006225AA">
        <w:t xml:space="preserve"> </w:t>
      </w:r>
      <w:r w:rsidR="00371749">
        <w:t>the data were not normally distributed</w:t>
      </w:r>
      <w:r w:rsidR="00D46981">
        <w:t xml:space="preserve">. </w:t>
      </w:r>
      <w:r w:rsidR="00327996">
        <w:t>As confirmed by the Kolmogorov-Smirnov tests, the data for overeating (</w:t>
      </w:r>
      <w:r w:rsidR="00327996">
        <w:rPr>
          <w:i/>
          <w:iCs/>
        </w:rPr>
        <w:t xml:space="preserve">p </w:t>
      </w:r>
      <w:r w:rsidR="00327996">
        <w:t>&lt; .001), lifetime experiences with discrimination (</w:t>
      </w:r>
      <w:r w:rsidR="00327996">
        <w:rPr>
          <w:i/>
          <w:iCs/>
        </w:rPr>
        <w:t xml:space="preserve">p </w:t>
      </w:r>
      <w:r w:rsidR="00327996">
        <w:t>= .005) and past year encounters with discrimination (</w:t>
      </w:r>
      <w:r w:rsidR="00327996">
        <w:rPr>
          <w:i/>
          <w:iCs/>
        </w:rPr>
        <w:t xml:space="preserve">p </w:t>
      </w:r>
      <w:r w:rsidR="00327996">
        <w:t>&lt; .001)</w:t>
      </w:r>
      <w:r w:rsidR="0034397F">
        <w:t>,</w:t>
      </w:r>
      <w:r w:rsidR="00327996">
        <w:t xml:space="preserve"> </w:t>
      </w:r>
      <w:r w:rsidR="000F5222">
        <w:t xml:space="preserve">as well as the perceived stressfulness of these </w:t>
      </w:r>
      <w:r w:rsidR="000F5222">
        <w:lastRenderedPageBreak/>
        <w:t>experiences (</w:t>
      </w:r>
      <w:r w:rsidR="000F5222">
        <w:rPr>
          <w:i/>
          <w:iCs/>
        </w:rPr>
        <w:t xml:space="preserve">p </w:t>
      </w:r>
      <w:r w:rsidR="000F5222">
        <w:t xml:space="preserve">= .029) </w:t>
      </w:r>
      <w:r w:rsidR="00327996">
        <w:t xml:space="preserve">were not normally distributed. Consequently, nonparametric tests were used to analyze the variables. </w:t>
      </w:r>
    </w:p>
    <w:p w14:paraId="023F9DA7" w14:textId="50EB0E30" w:rsidR="00F71A79" w:rsidRDefault="0034397F" w:rsidP="000409D6">
      <w:pPr>
        <w:spacing w:line="480" w:lineRule="auto"/>
        <w:ind w:firstLine="720"/>
      </w:pPr>
      <w:r>
        <w:t xml:space="preserve">A </w:t>
      </w:r>
      <w:r w:rsidR="004157F9">
        <w:t>Kendall’s Tau correlation was calculate</w:t>
      </w:r>
      <w:r w:rsidR="00F2128A">
        <w:t>d</w:t>
      </w:r>
      <w:r w:rsidR="004157F9">
        <w:t xml:space="preserve"> </w:t>
      </w:r>
      <w:r w:rsidR="00D958E6">
        <w:t>to assess the relationship between</w:t>
      </w:r>
      <w:r w:rsidR="00F377AE">
        <w:t xml:space="preserve"> overeating</w:t>
      </w:r>
      <w:r w:rsidR="00327A19">
        <w:t xml:space="preserve"> and </w:t>
      </w:r>
      <w:r w:rsidR="00F377AE">
        <w:t>recent</w:t>
      </w:r>
      <w:r w:rsidR="003B190C">
        <w:t xml:space="preserve"> and</w:t>
      </w:r>
      <w:r w:rsidR="00F377AE">
        <w:t xml:space="preserve"> lifetime</w:t>
      </w:r>
      <w:r w:rsidR="003B190C">
        <w:t xml:space="preserve"> encount</w:t>
      </w:r>
      <w:r w:rsidR="00B45AFE">
        <w:t>ers of discriminatory events</w:t>
      </w:r>
      <w:r w:rsidR="00F377AE">
        <w:t xml:space="preserve">, </w:t>
      </w:r>
      <w:r w:rsidR="00C3068B">
        <w:t>as well as the</w:t>
      </w:r>
      <w:r w:rsidR="00F377AE">
        <w:t xml:space="preserve"> apprais</w:t>
      </w:r>
      <w:r w:rsidR="00566BE0">
        <w:t xml:space="preserve">ed </w:t>
      </w:r>
      <w:r w:rsidR="00B45AFE">
        <w:t>stressful</w:t>
      </w:r>
      <w:r w:rsidR="00566BE0">
        <w:t>ness of those events</w:t>
      </w:r>
      <w:r w:rsidR="00B45AFE">
        <w:t>.</w:t>
      </w:r>
    </w:p>
    <w:p w14:paraId="75AD4E29" w14:textId="1867151C" w:rsidR="00EA1F19" w:rsidRDefault="00F71A79" w:rsidP="00005CCF">
      <w:pPr>
        <w:spacing w:line="480" w:lineRule="auto"/>
      </w:pPr>
      <w:r>
        <w:tab/>
      </w:r>
      <w:r w:rsidRPr="00661958">
        <w:t>To</w:t>
      </w:r>
      <w:r>
        <w:t xml:space="preserve"> compare differences in </w:t>
      </w:r>
      <w:r w:rsidR="004E2103">
        <w:t xml:space="preserve">recent and </w:t>
      </w:r>
      <w:r w:rsidR="00867F43">
        <w:t xml:space="preserve">lifetime </w:t>
      </w:r>
      <w:r>
        <w:t>discriminatory stres</w:t>
      </w:r>
      <w:r w:rsidR="000409D6">
        <w:t xml:space="preserve">s, and the appraisal of those events across </w:t>
      </w:r>
      <w:r w:rsidR="002376F6">
        <w:t>ethnic/racial groups</w:t>
      </w:r>
      <w:r>
        <w:t>,</w:t>
      </w:r>
      <w:r w:rsidR="00756BD7">
        <w:t xml:space="preserve"> </w:t>
      </w:r>
      <w:r w:rsidR="00661958">
        <w:t xml:space="preserve">a series of Kruskal-Wallis tests </w:t>
      </w:r>
      <w:r w:rsidR="00756BD7">
        <w:t>w</w:t>
      </w:r>
      <w:r w:rsidR="00661958">
        <w:t>ere</w:t>
      </w:r>
      <w:r w:rsidR="00756BD7">
        <w:t xml:space="preserve"> run.</w:t>
      </w:r>
      <w:r w:rsidR="005F1C1C">
        <w:t xml:space="preserve"> </w:t>
      </w:r>
      <w:r w:rsidR="00756BD7">
        <w:t xml:space="preserve">If these tests were significant, </w:t>
      </w:r>
      <w:r w:rsidR="00661958">
        <w:t>a Mann-Whitney U</w:t>
      </w:r>
      <w:r w:rsidR="00756BD7">
        <w:t xml:space="preserve"> test was performed to determine which ethnic/racial groups differed </w:t>
      </w:r>
      <w:r w:rsidR="00661958">
        <w:t>for each dependent variable</w:t>
      </w:r>
      <w:r w:rsidR="00F2128A">
        <w:t>, and to reduce the risk of type I errors, the Bonferroni adjustment was used for the post hoc pairwise comparisons (</w:t>
      </w:r>
      <w:r w:rsidR="00F2128A">
        <w:rPr>
          <w:i/>
          <w:iCs/>
        </w:rPr>
        <w:t xml:space="preserve">p </w:t>
      </w:r>
      <w:r w:rsidR="00F2128A">
        <w:t>&lt; .017)</w:t>
      </w:r>
      <w:r w:rsidR="00756BD7">
        <w:t>.</w:t>
      </w:r>
      <w:r w:rsidR="005F1C1C">
        <w:t xml:space="preserve"> </w:t>
      </w:r>
      <w:r w:rsidR="00756BD7">
        <w:t xml:space="preserve">This process was repeated for comparing </w:t>
      </w:r>
      <w:r w:rsidR="003E0A38">
        <w:t>previous year</w:t>
      </w:r>
      <w:r w:rsidR="00756BD7">
        <w:t xml:space="preserve"> </w:t>
      </w:r>
      <w:r w:rsidR="003E0A38">
        <w:t>experiences with discrimination</w:t>
      </w:r>
      <w:r w:rsidR="000409D6">
        <w:t>,</w:t>
      </w:r>
      <w:r w:rsidR="00756BD7">
        <w:t xml:space="preserve"> </w:t>
      </w:r>
      <w:r w:rsidR="003E0A38">
        <w:t>discrimination over one’s entire lifetime</w:t>
      </w:r>
      <w:r w:rsidR="000409D6">
        <w:t>, and the perceived stressfulness of these occasions</w:t>
      </w:r>
      <w:r w:rsidR="00ED1F19">
        <w:t xml:space="preserve"> </w:t>
      </w:r>
      <w:r w:rsidR="00756BD7">
        <w:t>across geographic regions and education</w:t>
      </w:r>
      <w:r w:rsidR="00ED1F19">
        <w:t xml:space="preserve"> levels</w:t>
      </w:r>
      <w:r w:rsidR="00756BD7">
        <w:t>.</w:t>
      </w:r>
      <w:r w:rsidR="007B0B44">
        <w:t xml:space="preserve"> </w:t>
      </w:r>
      <w:r w:rsidR="005F1C1C">
        <w:t xml:space="preserve"> </w:t>
      </w:r>
      <w:r w:rsidR="000409D6">
        <w:t>A Mann-Whitney U test was also used to compare differences in recent encounters of discrimination, lifetime experiences of discrimination, and the appraised stressfulness of these events between males and females.</w:t>
      </w:r>
    </w:p>
    <w:p w14:paraId="5D8FB894" w14:textId="63058022" w:rsidR="00F71A79" w:rsidRDefault="00EA1F19" w:rsidP="00F71A79">
      <w:pPr>
        <w:spacing w:line="480" w:lineRule="auto"/>
      </w:pPr>
      <w:r>
        <w:tab/>
      </w:r>
      <w:r w:rsidR="000409D6">
        <w:t>A Kruskal-Wallis test was also used to compare differences in overeating across African American/Black, Hispanic/Latino(a)/Spanish, and American Indian participants.  If the test was significant, a Mann-Whitney</w:t>
      </w:r>
      <w:r w:rsidR="00F2128A">
        <w:t xml:space="preserve"> U</w:t>
      </w:r>
      <w:r w:rsidR="000409D6">
        <w:t xml:space="preserve"> test was used to determine which racial/ethnic groups differed.  </w:t>
      </w:r>
      <w:r>
        <w:t xml:space="preserve">Similarly, </w:t>
      </w:r>
      <w:r w:rsidR="004157F9">
        <w:t>Kruskal</w:t>
      </w:r>
      <w:r w:rsidR="003174E8">
        <w:t>-</w:t>
      </w:r>
      <w:r w:rsidR="004157F9">
        <w:t>Wallis test</w:t>
      </w:r>
      <w:r w:rsidR="000409D6">
        <w:t>s</w:t>
      </w:r>
      <w:r w:rsidR="004157F9">
        <w:t xml:space="preserve"> w</w:t>
      </w:r>
      <w:r w:rsidR="000409D6">
        <w:t>ere</w:t>
      </w:r>
      <w:r w:rsidR="004157F9">
        <w:t xml:space="preserve"> </w:t>
      </w:r>
      <w:r>
        <w:t>run to compare differences in overeating across various weight statuses (normal weight, overweight, or obese)</w:t>
      </w:r>
      <w:r w:rsidR="000409D6">
        <w:t xml:space="preserve"> and geographical regions (Midwest, South, West, and Northeast)</w:t>
      </w:r>
      <w:r>
        <w:t>.</w:t>
      </w:r>
      <w:r w:rsidR="005F1C1C">
        <w:t xml:space="preserve"> </w:t>
      </w:r>
      <w:r>
        <w:t xml:space="preserve">If </w:t>
      </w:r>
      <w:r w:rsidR="00F2128A">
        <w:t>tests were</w:t>
      </w:r>
      <w:r>
        <w:t xml:space="preserve"> significant, a </w:t>
      </w:r>
      <w:r w:rsidR="00F377AE">
        <w:t>Mann-Whitney U test was</w:t>
      </w:r>
      <w:r>
        <w:t xml:space="preserve"> then used to determine which weight statuses </w:t>
      </w:r>
      <w:r w:rsidR="000409D6">
        <w:t>or location</w:t>
      </w:r>
      <w:r w:rsidR="00F2128A">
        <w:t>s</w:t>
      </w:r>
      <w:r w:rsidR="000409D6">
        <w:t xml:space="preserve"> </w:t>
      </w:r>
      <w:r w:rsidR="00F377AE">
        <w:t>were</w:t>
      </w:r>
      <w:r>
        <w:t xml:space="preserve"> different</w:t>
      </w:r>
      <w:r w:rsidR="00F2128A">
        <w:t xml:space="preserve"> using the Bonferroni adjustment (</w:t>
      </w:r>
      <w:r w:rsidR="00F2128A">
        <w:rPr>
          <w:i/>
          <w:iCs/>
        </w:rPr>
        <w:t xml:space="preserve">p </w:t>
      </w:r>
      <w:r w:rsidR="00F2128A">
        <w:t>&lt; .017 and &lt; .013 respectively)</w:t>
      </w:r>
      <w:r>
        <w:t>.</w:t>
      </w:r>
      <w:r w:rsidR="005F1C1C">
        <w:t xml:space="preserve"> </w:t>
      </w:r>
      <w:r w:rsidR="00F71A79">
        <w:t xml:space="preserve">Additionally, </w:t>
      </w:r>
      <w:r w:rsidR="00F377AE">
        <w:t>a</w:t>
      </w:r>
      <w:r w:rsidR="00F71A79">
        <w:t xml:space="preserve"> </w:t>
      </w:r>
      <w:r w:rsidR="00F377AE">
        <w:t>Mann-Whitney U test</w:t>
      </w:r>
      <w:r w:rsidR="00F71A79">
        <w:t xml:space="preserve"> </w:t>
      </w:r>
      <w:r w:rsidR="00F377AE">
        <w:t>was</w:t>
      </w:r>
      <w:r w:rsidR="00F71A79">
        <w:t xml:space="preserve"> used to compare </w:t>
      </w:r>
      <w:r w:rsidR="00F71A79">
        <w:lastRenderedPageBreak/>
        <w:t>differences in</w:t>
      </w:r>
      <w:r w:rsidR="00AA641B">
        <w:t xml:space="preserve"> </w:t>
      </w:r>
      <w:r w:rsidR="00756BD7">
        <w:t>overeating</w:t>
      </w:r>
      <w:r w:rsidR="00F71A79">
        <w:t xml:space="preserve"> between males and females</w:t>
      </w:r>
      <w:r w:rsidR="00661958">
        <w:t xml:space="preserve">. </w:t>
      </w:r>
      <w:r w:rsidR="00756BD7">
        <w:t>Chi-squared tests were run to compare proportions of binge eating across weight statuses, racial/ethnic groups, and the sexes.</w:t>
      </w:r>
    </w:p>
    <w:p w14:paraId="59B78D50" w14:textId="2673B2FF" w:rsidR="005111A6" w:rsidRPr="003E0A38" w:rsidRDefault="00F71A79" w:rsidP="003E0A38">
      <w:pPr>
        <w:spacing w:line="480" w:lineRule="auto"/>
      </w:pPr>
      <w:r>
        <w:tab/>
        <w:t xml:space="preserve">Analyses </w:t>
      </w:r>
      <w:r w:rsidR="00F377AE">
        <w:t>was</w:t>
      </w:r>
      <w:r>
        <w:t xml:space="preserve"> performed with SPSS 24.</w:t>
      </w:r>
      <w:r w:rsidR="005F1C1C">
        <w:t xml:space="preserve"> </w:t>
      </w:r>
      <w:r>
        <w:t xml:space="preserve">Level of significance </w:t>
      </w:r>
      <w:r w:rsidR="00F377AE">
        <w:t>was</w:t>
      </w:r>
      <w:r>
        <w:t xml:space="preserve"> set at 5% (</w:t>
      </w:r>
      <w:r>
        <w:rPr>
          <w:i/>
          <w:iCs/>
        </w:rPr>
        <w:t>p</w:t>
      </w:r>
      <w:r w:rsidR="00AB464F">
        <w:rPr>
          <w:i/>
          <w:iCs/>
        </w:rPr>
        <w:t xml:space="preserve"> </w:t>
      </w:r>
      <w:r>
        <w:t>&lt;</w:t>
      </w:r>
      <w:r w:rsidR="00AB464F">
        <w:t xml:space="preserve"> </w:t>
      </w:r>
      <w:r>
        <w:t>0.05).</w:t>
      </w:r>
    </w:p>
    <w:p w14:paraId="37834C86" w14:textId="77777777" w:rsidR="00327996" w:rsidRDefault="00327996" w:rsidP="00FA53C2">
      <w:pPr>
        <w:jc w:val="center"/>
        <w:rPr>
          <w:b/>
          <w:bCs/>
          <w:color w:val="000000" w:themeColor="text1"/>
        </w:rPr>
      </w:pPr>
    </w:p>
    <w:p w14:paraId="13169C8F" w14:textId="77777777" w:rsidR="00327996" w:rsidRDefault="00327996" w:rsidP="00FA53C2">
      <w:pPr>
        <w:jc w:val="center"/>
        <w:rPr>
          <w:b/>
          <w:bCs/>
          <w:color w:val="000000" w:themeColor="text1"/>
        </w:rPr>
      </w:pPr>
    </w:p>
    <w:p w14:paraId="1C1300B7" w14:textId="77777777" w:rsidR="00327996" w:rsidRDefault="00327996" w:rsidP="00FA53C2">
      <w:pPr>
        <w:jc w:val="center"/>
        <w:rPr>
          <w:b/>
          <w:bCs/>
          <w:color w:val="000000" w:themeColor="text1"/>
        </w:rPr>
      </w:pPr>
    </w:p>
    <w:p w14:paraId="23567B96" w14:textId="11C632E5" w:rsidR="00327996" w:rsidRDefault="00327996" w:rsidP="000409D6">
      <w:pPr>
        <w:rPr>
          <w:b/>
          <w:bCs/>
          <w:color w:val="000000" w:themeColor="text1"/>
        </w:rPr>
      </w:pPr>
    </w:p>
    <w:p w14:paraId="7B9B4105" w14:textId="0E1A681D" w:rsidR="00F2128A" w:rsidRDefault="00F2128A" w:rsidP="000409D6">
      <w:pPr>
        <w:rPr>
          <w:b/>
          <w:bCs/>
          <w:color w:val="000000" w:themeColor="text1"/>
        </w:rPr>
      </w:pPr>
    </w:p>
    <w:p w14:paraId="2618C76D" w14:textId="1FA75E7E" w:rsidR="00F2128A" w:rsidRDefault="00F2128A" w:rsidP="000409D6">
      <w:pPr>
        <w:rPr>
          <w:b/>
          <w:bCs/>
          <w:color w:val="000000" w:themeColor="text1"/>
        </w:rPr>
      </w:pPr>
    </w:p>
    <w:p w14:paraId="72E0BC98" w14:textId="32B01598" w:rsidR="00F2128A" w:rsidRDefault="00F2128A" w:rsidP="000409D6">
      <w:pPr>
        <w:rPr>
          <w:b/>
          <w:bCs/>
          <w:color w:val="000000" w:themeColor="text1"/>
        </w:rPr>
      </w:pPr>
    </w:p>
    <w:p w14:paraId="28394428" w14:textId="37F88780" w:rsidR="00F2128A" w:rsidRDefault="00F2128A" w:rsidP="000409D6">
      <w:pPr>
        <w:rPr>
          <w:b/>
          <w:bCs/>
          <w:color w:val="000000" w:themeColor="text1"/>
        </w:rPr>
      </w:pPr>
    </w:p>
    <w:p w14:paraId="54731297" w14:textId="5D9D0392" w:rsidR="00F2128A" w:rsidRDefault="00F2128A" w:rsidP="000409D6">
      <w:pPr>
        <w:rPr>
          <w:b/>
          <w:bCs/>
          <w:color w:val="000000" w:themeColor="text1"/>
        </w:rPr>
      </w:pPr>
    </w:p>
    <w:p w14:paraId="6B9ED446" w14:textId="47427246" w:rsidR="00F2128A" w:rsidRDefault="00F2128A" w:rsidP="000409D6">
      <w:pPr>
        <w:rPr>
          <w:b/>
          <w:bCs/>
          <w:color w:val="000000" w:themeColor="text1"/>
        </w:rPr>
      </w:pPr>
    </w:p>
    <w:p w14:paraId="5B26B02F" w14:textId="7641E339" w:rsidR="00F2128A" w:rsidRDefault="00F2128A" w:rsidP="000409D6">
      <w:pPr>
        <w:rPr>
          <w:b/>
          <w:bCs/>
          <w:color w:val="000000" w:themeColor="text1"/>
        </w:rPr>
      </w:pPr>
    </w:p>
    <w:p w14:paraId="58B6EDFA" w14:textId="7CD47BCA" w:rsidR="00F2128A" w:rsidRDefault="00F2128A" w:rsidP="000409D6">
      <w:pPr>
        <w:rPr>
          <w:b/>
          <w:bCs/>
          <w:color w:val="000000" w:themeColor="text1"/>
        </w:rPr>
      </w:pPr>
    </w:p>
    <w:p w14:paraId="7E9DEAC4" w14:textId="0B44611C" w:rsidR="00F2128A" w:rsidRDefault="00F2128A" w:rsidP="000409D6">
      <w:pPr>
        <w:rPr>
          <w:b/>
          <w:bCs/>
          <w:color w:val="000000" w:themeColor="text1"/>
        </w:rPr>
      </w:pPr>
    </w:p>
    <w:p w14:paraId="594E250B" w14:textId="25F007D7" w:rsidR="00F2128A" w:rsidRDefault="00F2128A" w:rsidP="000409D6">
      <w:pPr>
        <w:rPr>
          <w:b/>
          <w:bCs/>
          <w:color w:val="000000" w:themeColor="text1"/>
        </w:rPr>
      </w:pPr>
    </w:p>
    <w:p w14:paraId="04698BB7" w14:textId="60219F54" w:rsidR="00F2128A" w:rsidRDefault="00F2128A" w:rsidP="000409D6">
      <w:pPr>
        <w:rPr>
          <w:b/>
          <w:bCs/>
          <w:color w:val="000000" w:themeColor="text1"/>
        </w:rPr>
      </w:pPr>
    </w:p>
    <w:p w14:paraId="04EA4E08" w14:textId="2BC04DB1" w:rsidR="00F2128A" w:rsidRDefault="00F2128A" w:rsidP="000409D6">
      <w:pPr>
        <w:rPr>
          <w:b/>
          <w:bCs/>
          <w:color w:val="000000" w:themeColor="text1"/>
        </w:rPr>
      </w:pPr>
    </w:p>
    <w:p w14:paraId="0B714F67" w14:textId="14FFDC91" w:rsidR="00F2128A" w:rsidRDefault="00F2128A" w:rsidP="000409D6">
      <w:pPr>
        <w:rPr>
          <w:b/>
          <w:bCs/>
          <w:color w:val="000000" w:themeColor="text1"/>
        </w:rPr>
      </w:pPr>
    </w:p>
    <w:p w14:paraId="36BD585B" w14:textId="18F35EF2" w:rsidR="00F2128A" w:rsidRDefault="00F2128A" w:rsidP="000409D6">
      <w:pPr>
        <w:rPr>
          <w:b/>
          <w:bCs/>
          <w:color w:val="000000" w:themeColor="text1"/>
        </w:rPr>
      </w:pPr>
    </w:p>
    <w:p w14:paraId="4B8E331E" w14:textId="294BF17F" w:rsidR="00F2128A" w:rsidRDefault="00F2128A" w:rsidP="000409D6">
      <w:pPr>
        <w:rPr>
          <w:b/>
          <w:bCs/>
          <w:color w:val="000000" w:themeColor="text1"/>
        </w:rPr>
      </w:pPr>
    </w:p>
    <w:p w14:paraId="617C68AE" w14:textId="7CC8C95A" w:rsidR="00F2128A" w:rsidRDefault="00F2128A" w:rsidP="000409D6">
      <w:pPr>
        <w:rPr>
          <w:b/>
          <w:bCs/>
          <w:color w:val="000000" w:themeColor="text1"/>
        </w:rPr>
      </w:pPr>
    </w:p>
    <w:p w14:paraId="3DE18259" w14:textId="0F526587" w:rsidR="00F2128A" w:rsidRDefault="00F2128A" w:rsidP="000409D6">
      <w:pPr>
        <w:rPr>
          <w:b/>
          <w:bCs/>
          <w:color w:val="000000" w:themeColor="text1"/>
        </w:rPr>
      </w:pPr>
    </w:p>
    <w:p w14:paraId="670DB3AC" w14:textId="13B2C034" w:rsidR="00F2128A" w:rsidRDefault="00F2128A" w:rsidP="000409D6">
      <w:pPr>
        <w:rPr>
          <w:b/>
          <w:bCs/>
          <w:color w:val="000000" w:themeColor="text1"/>
        </w:rPr>
      </w:pPr>
    </w:p>
    <w:p w14:paraId="4B8441E3" w14:textId="2BE087BE" w:rsidR="00F2128A" w:rsidRDefault="00F2128A" w:rsidP="000409D6">
      <w:pPr>
        <w:rPr>
          <w:b/>
          <w:bCs/>
          <w:color w:val="000000" w:themeColor="text1"/>
        </w:rPr>
      </w:pPr>
    </w:p>
    <w:p w14:paraId="5FC45B8A" w14:textId="0AF89CF8" w:rsidR="00F2128A" w:rsidRDefault="00F2128A" w:rsidP="000409D6">
      <w:pPr>
        <w:rPr>
          <w:b/>
          <w:bCs/>
          <w:color w:val="000000" w:themeColor="text1"/>
        </w:rPr>
      </w:pPr>
    </w:p>
    <w:p w14:paraId="7EAA95C8" w14:textId="714102A1" w:rsidR="00F2128A" w:rsidRDefault="00F2128A" w:rsidP="000409D6">
      <w:pPr>
        <w:rPr>
          <w:b/>
          <w:bCs/>
          <w:color w:val="000000" w:themeColor="text1"/>
        </w:rPr>
      </w:pPr>
    </w:p>
    <w:p w14:paraId="660EC6C2" w14:textId="5FEBEC72" w:rsidR="00F2128A" w:rsidRDefault="00F2128A" w:rsidP="000409D6">
      <w:pPr>
        <w:rPr>
          <w:b/>
          <w:bCs/>
          <w:color w:val="000000" w:themeColor="text1"/>
        </w:rPr>
      </w:pPr>
    </w:p>
    <w:p w14:paraId="78DAC7CC" w14:textId="7C2FDD02" w:rsidR="00F2128A" w:rsidRDefault="00F2128A" w:rsidP="000409D6">
      <w:pPr>
        <w:rPr>
          <w:b/>
          <w:bCs/>
          <w:color w:val="000000" w:themeColor="text1"/>
        </w:rPr>
      </w:pPr>
    </w:p>
    <w:p w14:paraId="533E9853" w14:textId="23669912" w:rsidR="00F2128A" w:rsidRDefault="00F2128A" w:rsidP="000409D6">
      <w:pPr>
        <w:rPr>
          <w:b/>
          <w:bCs/>
          <w:color w:val="000000" w:themeColor="text1"/>
        </w:rPr>
      </w:pPr>
    </w:p>
    <w:p w14:paraId="320B171D" w14:textId="6E8289A0" w:rsidR="00F2128A" w:rsidRDefault="00F2128A" w:rsidP="000409D6">
      <w:pPr>
        <w:rPr>
          <w:b/>
          <w:bCs/>
          <w:color w:val="000000" w:themeColor="text1"/>
        </w:rPr>
      </w:pPr>
    </w:p>
    <w:p w14:paraId="20E6B404" w14:textId="4D94BEB7" w:rsidR="00F2128A" w:rsidRDefault="00F2128A" w:rsidP="000409D6">
      <w:pPr>
        <w:rPr>
          <w:b/>
          <w:bCs/>
          <w:color w:val="000000" w:themeColor="text1"/>
        </w:rPr>
      </w:pPr>
    </w:p>
    <w:p w14:paraId="5E655456" w14:textId="7061499F" w:rsidR="00F2128A" w:rsidRDefault="00F2128A" w:rsidP="000409D6">
      <w:pPr>
        <w:rPr>
          <w:b/>
          <w:bCs/>
          <w:color w:val="000000" w:themeColor="text1"/>
        </w:rPr>
      </w:pPr>
    </w:p>
    <w:p w14:paraId="5F52458E" w14:textId="72434EE5" w:rsidR="00F2128A" w:rsidRDefault="00F2128A" w:rsidP="000409D6">
      <w:pPr>
        <w:rPr>
          <w:b/>
          <w:bCs/>
          <w:color w:val="000000" w:themeColor="text1"/>
        </w:rPr>
      </w:pPr>
    </w:p>
    <w:p w14:paraId="1B36A021" w14:textId="19A9CC0F" w:rsidR="00F2128A" w:rsidRDefault="00F2128A" w:rsidP="000409D6">
      <w:pPr>
        <w:rPr>
          <w:b/>
          <w:bCs/>
          <w:color w:val="000000" w:themeColor="text1"/>
        </w:rPr>
      </w:pPr>
    </w:p>
    <w:p w14:paraId="22062C86" w14:textId="61E6D8AF" w:rsidR="00F2128A" w:rsidRDefault="00F2128A" w:rsidP="000409D6">
      <w:pPr>
        <w:rPr>
          <w:b/>
          <w:bCs/>
          <w:color w:val="000000" w:themeColor="text1"/>
        </w:rPr>
      </w:pPr>
    </w:p>
    <w:p w14:paraId="7013A0C4" w14:textId="3C0B6E53" w:rsidR="00F2128A" w:rsidRDefault="00F2128A" w:rsidP="000409D6">
      <w:pPr>
        <w:rPr>
          <w:b/>
          <w:bCs/>
          <w:color w:val="000000" w:themeColor="text1"/>
        </w:rPr>
      </w:pPr>
    </w:p>
    <w:p w14:paraId="1D942804" w14:textId="57CFEE54" w:rsidR="00F2128A" w:rsidRDefault="00F2128A" w:rsidP="000409D6">
      <w:pPr>
        <w:rPr>
          <w:b/>
          <w:bCs/>
          <w:color w:val="000000" w:themeColor="text1"/>
        </w:rPr>
      </w:pPr>
    </w:p>
    <w:p w14:paraId="5EF6F44A" w14:textId="4306AAAD" w:rsidR="00F2128A" w:rsidRDefault="00F2128A" w:rsidP="000409D6">
      <w:pPr>
        <w:rPr>
          <w:b/>
          <w:bCs/>
          <w:color w:val="000000" w:themeColor="text1"/>
        </w:rPr>
      </w:pPr>
    </w:p>
    <w:p w14:paraId="71CE88FC" w14:textId="1B6A1918" w:rsidR="00F2128A" w:rsidRDefault="00F2128A" w:rsidP="000409D6">
      <w:pPr>
        <w:rPr>
          <w:b/>
          <w:bCs/>
          <w:color w:val="000000" w:themeColor="text1"/>
        </w:rPr>
      </w:pPr>
    </w:p>
    <w:p w14:paraId="505176C6" w14:textId="60466797" w:rsidR="00F2128A" w:rsidRDefault="00F2128A" w:rsidP="000409D6">
      <w:pPr>
        <w:rPr>
          <w:b/>
          <w:bCs/>
          <w:color w:val="000000" w:themeColor="text1"/>
        </w:rPr>
      </w:pPr>
    </w:p>
    <w:p w14:paraId="0800E7A5" w14:textId="77777777" w:rsidR="00F2128A" w:rsidRDefault="00F2128A" w:rsidP="000409D6">
      <w:pPr>
        <w:rPr>
          <w:b/>
          <w:bCs/>
          <w:color w:val="000000" w:themeColor="text1"/>
        </w:rPr>
      </w:pPr>
    </w:p>
    <w:p w14:paraId="519D4B37" w14:textId="21B7CD94" w:rsidR="00FA53C2" w:rsidRDefault="00FA53C2" w:rsidP="00FA53C2">
      <w:pPr>
        <w:jc w:val="center"/>
        <w:rPr>
          <w:b/>
          <w:bCs/>
          <w:color w:val="000000" w:themeColor="text1"/>
        </w:rPr>
      </w:pPr>
      <w:r>
        <w:rPr>
          <w:b/>
          <w:bCs/>
          <w:color w:val="000000" w:themeColor="text1"/>
        </w:rPr>
        <w:lastRenderedPageBreak/>
        <w:t>CHAPTER IV: RESULTS</w:t>
      </w:r>
    </w:p>
    <w:p w14:paraId="1A5B66DB" w14:textId="77777777" w:rsidR="00FA53C2" w:rsidRPr="004005DB" w:rsidRDefault="00FA53C2" w:rsidP="00FA53C2">
      <w:pPr>
        <w:jc w:val="center"/>
        <w:rPr>
          <w:b/>
          <w:bCs/>
          <w:color w:val="000000" w:themeColor="text1"/>
        </w:rPr>
      </w:pPr>
    </w:p>
    <w:p w14:paraId="3F85AC49" w14:textId="01127FA9" w:rsidR="00FA53C2" w:rsidRPr="00F001D6" w:rsidRDefault="00FA53C2" w:rsidP="00FA53C2">
      <w:pPr>
        <w:spacing w:line="480" w:lineRule="auto"/>
        <w:rPr>
          <w:color w:val="000000" w:themeColor="text1"/>
        </w:rPr>
      </w:pPr>
      <w:r>
        <w:rPr>
          <w:color w:val="000000" w:themeColor="text1"/>
        </w:rPr>
        <w:tab/>
        <w:t>Although numerous studies have established a relationship between stress and overeating among White females, this topic has been sparsely researched among racial/ethnic minorities (</w:t>
      </w:r>
      <w:proofErr w:type="spellStart"/>
      <w:r>
        <w:rPr>
          <w:color w:val="000000"/>
        </w:rPr>
        <w:t>Christaki</w:t>
      </w:r>
      <w:proofErr w:type="spellEnd"/>
      <w:r>
        <w:rPr>
          <w:color w:val="000000"/>
        </w:rPr>
        <w:t xml:space="preserve"> et al., 2013; Manzoni et al., 2009; </w:t>
      </w:r>
      <w:proofErr w:type="spellStart"/>
      <w:r>
        <w:rPr>
          <w:color w:val="000000"/>
        </w:rPr>
        <w:t>Vieten</w:t>
      </w:r>
      <w:proofErr w:type="spellEnd"/>
      <w:r>
        <w:rPr>
          <w:color w:val="000000"/>
        </w:rPr>
        <w:t xml:space="preserve"> et al., 2018; Webber et al., 2018</w:t>
      </w:r>
      <w:r>
        <w:rPr>
          <w:color w:val="000000" w:themeColor="text1"/>
        </w:rPr>
        <w:t>). Discriminatory stress has been evidenced to physiologically impact health among this population in a number of ways, and its potential influence on health behaviors, such as overeating, could exacerbate racial/ethnic health disparities. The current study sought to enhance the literature by investigating the relationship between overeating and discriminatory stress among racial/ethnic minority adults.</w:t>
      </w:r>
      <w:r w:rsidRPr="00F001D6">
        <w:rPr>
          <w:color w:val="000000" w:themeColor="text1"/>
        </w:rPr>
        <w:t xml:space="preserve"> In addition,</w:t>
      </w:r>
      <w:r>
        <w:rPr>
          <w:color w:val="000000" w:themeColor="text1"/>
        </w:rPr>
        <w:t xml:space="preserve"> </w:t>
      </w:r>
      <w:r w:rsidRPr="00F001D6">
        <w:rPr>
          <w:color w:val="000000" w:themeColor="text1"/>
        </w:rPr>
        <w:t xml:space="preserve">differences in overeating, binge eating, and discriminatory stress across various weight statuses, races/ethnicities, geographical locations, and </w:t>
      </w:r>
      <w:r>
        <w:rPr>
          <w:color w:val="000000" w:themeColor="text1"/>
        </w:rPr>
        <w:t>sexes were assessed</w:t>
      </w:r>
      <w:r w:rsidRPr="00F001D6">
        <w:rPr>
          <w:color w:val="000000" w:themeColor="text1"/>
        </w:rPr>
        <w:t>.</w:t>
      </w:r>
      <w:r w:rsidR="005F1C1C">
        <w:rPr>
          <w:color w:val="000000" w:themeColor="text1"/>
        </w:rPr>
        <w:t xml:space="preserve"> </w:t>
      </w:r>
      <w:r>
        <w:rPr>
          <w:color w:val="000000" w:themeColor="text1"/>
        </w:rPr>
        <w:t>The following section will present the results to the statistical analyses used to test the research hypotheses.</w:t>
      </w:r>
    </w:p>
    <w:p w14:paraId="062F465D" w14:textId="77777777" w:rsidR="00FA53C2" w:rsidRPr="00F001D6" w:rsidRDefault="00FA53C2" w:rsidP="00FA53C2">
      <w:pPr>
        <w:spacing w:line="480" w:lineRule="auto"/>
        <w:rPr>
          <w:b/>
          <w:bCs/>
          <w:color w:val="000000" w:themeColor="text1"/>
        </w:rPr>
      </w:pPr>
      <w:r w:rsidRPr="00F001D6">
        <w:rPr>
          <w:b/>
          <w:bCs/>
          <w:color w:val="000000" w:themeColor="text1"/>
        </w:rPr>
        <w:t>Participants</w:t>
      </w:r>
      <w:r w:rsidRPr="00F001D6">
        <w:rPr>
          <w:b/>
          <w:bCs/>
          <w:color w:val="000000" w:themeColor="text1"/>
        </w:rPr>
        <w:tab/>
      </w:r>
    </w:p>
    <w:p w14:paraId="5EAB0918" w14:textId="0E218DC2" w:rsidR="00FA53C2" w:rsidRDefault="00FA53C2" w:rsidP="00FA53C2">
      <w:pPr>
        <w:spacing w:line="480" w:lineRule="auto"/>
        <w:ind w:firstLine="720"/>
        <w:rPr>
          <w:color w:val="000000" w:themeColor="text1"/>
        </w:rPr>
      </w:pPr>
      <w:r w:rsidRPr="00F001D6">
        <w:rPr>
          <w:color w:val="000000" w:themeColor="text1"/>
        </w:rPr>
        <w:t xml:space="preserve">A total of 409 people </w:t>
      </w:r>
      <w:r>
        <w:rPr>
          <w:color w:val="000000" w:themeColor="text1"/>
        </w:rPr>
        <w:t xml:space="preserve">initiated the survey for this </w:t>
      </w:r>
      <w:r w:rsidRPr="00F001D6">
        <w:rPr>
          <w:color w:val="000000" w:themeColor="text1"/>
        </w:rPr>
        <w:t>study. However, 187 were excluded for not fulfilling the inclusion criteria</w:t>
      </w:r>
      <w:r>
        <w:rPr>
          <w:color w:val="000000" w:themeColor="text1"/>
        </w:rPr>
        <w:t xml:space="preserve"> or </w:t>
      </w:r>
      <w:r w:rsidRPr="000B7727">
        <w:rPr>
          <w:color w:val="000000" w:themeColor="text1"/>
        </w:rPr>
        <w:t>for failing to complete</w:t>
      </w:r>
      <w:r w:rsidR="00BD2014">
        <w:rPr>
          <w:color w:val="000000" w:themeColor="text1"/>
        </w:rPr>
        <w:t xml:space="preserve"> significant portions of</w:t>
      </w:r>
      <w:r w:rsidRPr="000B7727">
        <w:rPr>
          <w:color w:val="000000" w:themeColor="text1"/>
        </w:rPr>
        <w:t xml:space="preserve"> the survey</w:t>
      </w:r>
      <w:r w:rsidRPr="00F001D6">
        <w:rPr>
          <w:color w:val="000000" w:themeColor="text1"/>
        </w:rPr>
        <w:t>.</w:t>
      </w:r>
      <w:r>
        <w:rPr>
          <w:color w:val="000000" w:themeColor="text1"/>
        </w:rPr>
        <w:t xml:space="preserve"> Of the 222 respondents who were included in the analyses, 44.8%</w:t>
      </w:r>
      <w:r w:rsidRPr="00F001D6">
        <w:rPr>
          <w:color w:val="000000" w:themeColor="text1"/>
        </w:rPr>
        <w:t xml:space="preserve"> identified as non-Hispanic, African American</w:t>
      </w:r>
      <w:r>
        <w:rPr>
          <w:color w:val="000000" w:themeColor="text1"/>
        </w:rPr>
        <w:t>/</w:t>
      </w:r>
      <w:r w:rsidRPr="00F001D6">
        <w:rPr>
          <w:color w:val="000000" w:themeColor="text1"/>
        </w:rPr>
        <w:t>Black</w:t>
      </w:r>
      <w:r>
        <w:rPr>
          <w:color w:val="000000" w:themeColor="text1"/>
        </w:rPr>
        <w:t xml:space="preserve">; 28.3% identified as </w:t>
      </w:r>
      <w:r w:rsidRPr="00F001D6">
        <w:rPr>
          <w:color w:val="000000" w:themeColor="text1"/>
        </w:rPr>
        <w:t xml:space="preserve">Hispanic </w:t>
      </w:r>
      <w:r>
        <w:rPr>
          <w:color w:val="000000" w:themeColor="text1"/>
        </w:rPr>
        <w:t>(</w:t>
      </w:r>
      <w:r w:rsidRPr="00F001D6">
        <w:rPr>
          <w:color w:val="000000" w:themeColor="text1"/>
        </w:rPr>
        <w:t xml:space="preserve">White, </w:t>
      </w:r>
      <w:r w:rsidR="00F2128A">
        <w:rPr>
          <w:color w:val="000000" w:themeColor="text1"/>
        </w:rPr>
        <w:t>African American/</w:t>
      </w:r>
      <w:r w:rsidRPr="00F001D6">
        <w:rPr>
          <w:color w:val="000000" w:themeColor="text1"/>
        </w:rPr>
        <w:t>Black, or Asian</w:t>
      </w:r>
      <w:r>
        <w:rPr>
          <w:color w:val="000000" w:themeColor="text1"/>
        </w:rPr>
        <w:t>); and 26.9% identified as A</w:t>
      </w:r>
      <w:r w:rsidRPr="00F001D6">
        <w:rPr>
          <w:color w:val="000000" w:themeColor="text1"/>
        </w:rPr>
        <w:t>merican Indian</w:t>
      </w:r>
      <w:r>
        <w:rPr>
          <w:color w:val="000000" w:themeColor="text1"/>
        </w:rPr>
        <w:t>.</w:t>
      </w:r>
      <w:r w:rsidR="005F1C1C">
        <w:rPr>
          <w:color w:val="000000" w:themeColor="text1"/>
        </w:rPr>
        <w:t xml:space="preserve"> </w:t>
      </w:r>
      <w:r w:rsidRPr="00F001D6">
        <w:rPr>
          <w:color w:val="000000" w:themeColor="text1"/>
        </w:rPr>
        <w:t>Participants were between 18 and 81 years old (</w:t>
      </w:r>
      <w:r w:rsidRPr="00415D86">
        <w:rPr>
          <w:i/>
          <w:iCs/>
          <w:color w:val="000000" w:themeColor="text1"/>
        </w:rPr>
        <w:t>M</w:t>
      </w:r>
      <w:r>
        <w:rPr>
          <w:color w:val="000000" w:themeColor="text1"/>
        </w:rPr>
        <w:t xml:space="preserve"> = 35.24, </w:t>
      </w:r>
      <w:r w:rsidRPr="00F001D6">
        <w:rPr>
          <w:i/>
          <w:iCs/>
          <w:color w:val="000000" w:themeColor="text1"/>
        </w:rPr>
        <w:t xml:space="preserve">SD </w:t>
      </w:r>
      <w:r w:rsidRPr="00F001D6">
        <w:rPr>
          <w:color w:val="000000" w:themeColor="text1"/>
        </w:rPr>
        <w:t>= 14.12). Most were single (54.3%) females (69.2%)</w:t>
      </w:r>
      <w:r>
        <w:rPr>
          <w:color w:val="000000" w:themeColor="text1"/>
        </w:rPr>
        <w:t>,</w:t>
      </w:r>
      <w:r w:rsidRPr="00F001D6">
        <w:rPr>
          <w:color w:val="000000" w:themeColor="text1"/>
        </w:rPr>
        <w:t xml:space="preserve"> with an advanced degree (39.2%)</w:t>
      </w:r>
      <w:r>
        <w:rPr>
          <w:color w:val="000000" w:themeColor="text1"/>
        </w:rPr>
        <w:t>,</w:t>
      </w:r>
      <w:r w:rsidRPr="00F001D6">
        <w:rPr>
          <w:color w:val="000000" w:themeColor="text1"/>
        </w:rPr>
        <w:t xml:space="preserve"> and an average B</w:t>
      </w:r>
      <w:r w:rsidR="00307CC8">
        <w:rPr>
          <w:color w:val="000000" w:themeColor="text1"/>
        </w:rPr>
        <w:t xml:space="preserve">ody </w:t>
      </w:r>
      <w:r w:rsidRPr="00F001D6">
        <w:rPr>
          <w:color w:val="000000" w:themeColor="text1"/>
        </w:rPr>
        <w:t>M</w:t>
      </w:r>
      <w:r w:rsidR="00307CC8">
        <w:rPr>
          <w:color w:val="000000" w:themeColor="text1"/>
        </w:rPr>
        <w:t xml:space="preserve">ass </w:t>
      </w:r>
      <w:r w:rsidRPr="00F001D6">
        <w:rPr>
          <w:color w:val="000000" w:themeColor="text1"/>
        </w:rPr>
        <w:t>I</w:t>
      </w:r>
      <w:r w:rsidR="00307CC8">
        <w:rPr>
          <w:color w:val="000000" w:themeColor="text1"/>
        </w:rPr>
        <w:t>ndex (BMI)</w:t>
      </w:r>
      <w:r w:rsidRPr="00F001D6">
        <w:rPr>
          <w:color w:val="000000" w:themeColor="text1"/>
        </w:rPr>
        <w:t xml:space="preserve"> of 29.21 (</w:t>
      </w:r>
      <w:r w:rsidRPr="00415D86">
        <w:rPr>
          <w:i/>
          <w:iCs/>
          <w:color w:val="000000" w:themeColor="text1"/>
        </w:rPr>
        <w:t>SD</w:t>
      </w:r>
      <w:r>
        <w:rPr>
          <w:color w:val="000000" w:themeColor="text1"/>
        </w:rPr>
        <w:t xml:space="preserve"> = 12.88</w:t>
      </w:r>
      <w:r w:rsidR="00307CC8">
        <w:rPr>
          <w:color w:val="000000" w:themeColor="text1"/>
        </w:rPr>
        <w:t>)</w:t>
      </w:r>
      <w:r w:rsidRPr="00F001D6">
        <w:rPr>
          <w:color w:val="000000" w:themeColor="text1"/>
        </w:rPr>
        <w:t>.</w:t>
      </w:r>
      <w:r w:rsidR="005F1C1C">
        <w:rPr>
          <w:color w:val="000000" w:themeColor="text1"/>
        </w:rPr>
        <w:t xml:space="preserve"> </w:t>
      </w:r>
      <w:r w:rsidRPr="00F001D6">
        <w:rPr>
          <w:color w:val="000000" w:themeColor="text1"/>
        </w:rPr>
        <w:t xml:space="preserve">The median income was </w:t>
      </w:r>
      <w:r>
        <w:rPr>
          <w:color w:val="000000" w:themeColor="text1"/>
        </w:rPr>
        <w:t xml:space="preserve">$50,000. </w:t>
      </w:r>
      <w:r w:rsidRPr="00F001D6">
        <w:rPr>
          <w:color w:val="000000" w:themeColor="text1"/>
        </w:rPr>
        <w:t xml:space="preserve">A complete list of participant characteristics is </w:t>
      </w:r>
      <w:r>
        <w:rPr>
          <w:color w:val="000000" w:themeColor="text1"/>
        </w:rPr>
        <w:t>provid</w:t>
      </w:r>
      <w:r w:rsidRPr="00F001D6">
        <w:rPr>
          <w:color w:val="000000" w:themeColor="text1"/>
        </w:rPr>
        <w:t>ed in Table</w:t>
      </w:r>
      <w:r>
        <w:rPr>
          <w:color w:val="000000" w:themeColor="text1"/>
        </w:rPr>
        <w:t xml:space="preserve"> </w:t>
      </w:r>
      <w:r w:rsidRPr="00F001D6">
        <w:rPr>
          <w:color w:val="000000" w:themeColor="text1"/>
        </w:rPr>
        <w:t>1.</w:t>
      </w:r>
    </w:p>
    <w:p w14:paraId="6288B71B" w14:textId="77777777" w:rsidR="00FA53C2" w:rsidRPr="0081668E" w:rsidRDefault="00FA53C2" w:rsidP="00FA53C2"/>
    <w:p w14:paraId="31E57B66" w14:textId="77777777" w:rsidR="00FA53C2" w:rsidRDefault="00FA53C2" w:rsidP="00FA53C2">
      <w:pPr>
        <w:rPr>
          <w:color w:val="000000" w:themeColor="text1"/>
        </w:rPr>
      </w:pPr>
    </w:p>
    <w:p w14:paraId="4BBBC3CF" w14:textId="2EFDC06E" w:rsidR="00FA53C2" w:rsidRDefault="00FA53C2" w:rsidP="00FA53C2">
      <w:pPr>
        <w:rPr>
          <w:color w:val="000000" w:themeColor="text1"/>
        </w:rPr>
      </w:pPr>
    </w:p>
    <w:p w14:paraId="57CC0CBC" w14:textId="77777777" w:rsidR="00307CC8" w:rsidRDefault="00307CC8" w:rsidP="00FA53C2">
      <w:pPr>
        <w:rPr>
          <w:color w:val="000000" w:themeColor="text1"/>
        </w:rPr>
      </w:pPr>
    </w:p>
    <w:p w14:paraId="7D53A82C" w14:textId="77777777" w:rsidR="00FA53C2" w:rsidRPr="00E9353B" w:rsidRDefault="00FA53C2" w:rsidP="00FA53C2">
      <w:pPr>
        <w:rPr>
          <w:b/>
          <w:bCs/>
          <w:color w:val="000000" w:themeColor="text1"/>
        </w:rPr>
      </w:pPr>
      <w:r w:rsidRPr="00E9353B">
        <w:rPr>
          <w:b/>
          <w:bCs/>
          <w:color w:val="000000" w:themeColor="text1"/>
        </w:rPr>
        <w:lastRenderedPageBreak/>
        <w:t>Table 1</w:t>
      </w:r>
    </w:p>
    <w:p w14:paraId="0D67A73C" w14:textId="77777777" w:rsidR="00FA53C2" w:rsidRDefault="00FA53C2" w:rsidP="00FA53C2">
      <w:pPr>
        <w:rPr>
          <w:i/>
          <w:iCs/>
          <w:color w:val="000000" w:themeColor="text1"/>
        </w:rPr>
      </w:pPr>
    </w:p>
    <w:p w14:paraId="5C875707" w14:textId="11B2300B" w:rsidR="00FA53C2" w:rsidRDefault="00FA53C2" w:rsidP="00FA53C2">
      <w:pPr>
        <w:rPr>
          <w:color w:val="000000" w:themeColor="text1"/>
        </w:rPr>
      </w:pPr>
      <w:r>
        <w:rPr>
          <w:i/>
          <w:iCs/>
          <w:color w:val="000000" w:themeColor="text1"/>
        </w:rPr>
        <w:t xml:space="preserve">Participant </w:t>
      </w:r>
      <w:r w:rsidR="003E0A38">
        <w:rPr>
          <w:i/>
          <w:iCs/>
          <w:color w:val="000000" w:themeColor="text1"/>
        </w:rPr>
        <w:t>C</w:t>
      </w:r>
      <w:r>
        <w:rPr>
          <w:i/>
          <w:iCs/>
          <w:color w:val="000000" w:themeColor="text1"/>
        </w:rPr>
        <w:t>haracteristics (N = 222)</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810"/>
        <w:gridCol w:w="1430"/>
      </w:tblGrid>
      <w:tr w:rsidR="00FA53C2" w14:paraId="0CBBEA2B" w14:textId="77777777" w:rsidTr="00F35929">
        <w:tc>
          <w:tcPr>
            <w:tcW w:w="7110" w:type="dxa"/>
            <w:tcBorders>
              <w:top w:val="single" w:sz="4" w:space="0" w:color="auto"/>
              <w:bottom w:val="single" w:sz="4" w:space="0" w:color="auto"/>
            </w:tcBorders>
            <w:shd w:val="clear" w:color="auto" w:fill="auto"/>
          </w:tcPr>
          <w:p w14:paraId="4F228427" w14:textId="77777777" w:rsidR="00FA53C2" w:rsidRDefault="00FA53C2" w:rsidP="00F35929">
            <w:pPr>
              <w:rPr>
                <w:color w:val="000000" w:themeColor="text1"/>
              </w:rPr>
            </w:pPr>
            <w:r>
              <w:rPr>
                <w:color w:val="000000" w:themeColor="text1"/>
              </w:rPr>
              <w:t>Demographic</w:t>
            </w:r>
          </w:p>
        </w:tc>
        <w:tc>
          <w:tcPr>
            <w:tcW w:w="810" w:type="dxa"/>
            <w:tcBorders>
              <w:top w:val="single" w:sz="4" w:space="0" w:color="auto"/>
              <w:bottom w:val="single" w:sz="4" w:space="0" w:color="auto"/>
            </w:tcBorders>
          </w:tcPr>
          <w:p w14:paraId="7A34B97C" w14:textId="77777777" w:rsidR="00FA53C2" w:rsidRDefault="00FA53C2" w:rsidP="00F35929">
            <w:pPr>
              <w:rPr>
                <w:i/>
                <w:iCs/>
                <w:color w:val="000000" w:themeColor="text1"/>
              </w:rPr>
            </w:pPr>
            <w:r>
              <w:rPr>
                <w:i/>
                <w:iCs/>
                <w:color w:val="000000" w:themeColor="text1"/>
              </w:rPr>
              <w:t>n</w:t>
            </w:r>
          </w:p>
        </w:tc>
        <w:tc>
          <w:tcPr>
            <w:tcW w:w="1430" w:type="dxa"/>
            <w:tcBorders>
              <w:top w:val="single" w:sz="4" w:space="0" w:color="auto"/>
              <w:bottom w:val="single" w:sz="4" w:space="0" w:color="auto"/>
            </w:tcBorders>
          </w:tcPr>
          <w:p w14:paraId="53BCCAC6" w14:textId="77777777" w:rsidR="00FA53C2" w:rsidRDefault="00FA53C2" w:rsidP="00F35929">
            <w:pPr>
              <w:rPr>
                <w:color w:val="000000" w:themeColor="text1"/>
              </w:rPr>
            </w:pPr>
            <w:r>
              <w:rPr>
                <w:color w:val="000000" w:themeColor="text1"/>
              </w:rPr>
              <w:t>%</w:t>
            </w:r>
          </w:p>
        </w:tc>
      </w:tr>
      <w:tr w:rsidR="00FA53C2" w14:paraId="4737B556" w14:textId="77777777" w:rsidTr="00F35929">
        <w:tc>
          <w:tcPr>
            <w:tcW w:w="7110" w:type="dxa"/>
            <w:tcBorders>
              <w:top w:val="single" w:sz="4" w:space="0" w:color="auto"/>
            </w:tcBorders>
            <w:shd w:val="clear" w:color="auto" w:fill="auto"/>
          </w:tcPr>
          <w:p w14:paraId="20133E1A" w14:textId="77777777" w:rsidR="00FA53C2" w:rsidRDefault="00FA53C2" w:rsidP="00F35929">
            <w:pPr>
              <w:rPr>
                <w:color w:val="000000" w:themeColor="text1"/>
              </w:rPr>
            </w:pPr>
            <w:r>
              <w:rPr>
                <w:color w:val="000000" w:themeColor="text1"/>
              </w:rPr>
              <w:t xml:space="preserve">Race/ethnicity </w:t>
            </w:r>
          </w:p>
        </w:tc>
        <w:tc>
          <w:tcPr>
            <w:tcW w:w="810" w:type="dxa"/>
            <w:tcBorders>
              <w:top w:val="single" w:sz="4" w:space="0" w:color="auto"/>
            </w:tcBorders>
          </w:tcPr>
          <w:p w14:paraId="1D42340E" w14:textId="77777777" w:rsidR="00FA53C2" w:rsidRPr="00405C0B" w:rsidRDefault="00FA53C2" w:rsidP="00F35929">
            <w:pPr>
              <w:rPr>
                <w:color w:val="000000" w:themeColor="text1"/>
              </w:rPr>
            </w:pPr>
          </w:p>
        </w:tc>
        <w:tc>
          <w:tcPr>
            <w:tcW w:w="1430" w:type="dxa"/>
            <w:tcBorders>
              <w:top w:val="single" w:sz="4" w:space="0" w:color="auto"/>
            </w:tcBorders>
          </w:tcPr>
          <w:p w14:paraId="0FD3B0F1" w14:textId="77777777" w:rsidR="00FA53C2" w:rsidRDefault="00FA53C2" w:rsidP="00F35929">
            <w:pPr>
              <w:rPr>
                <w:color w:val="000000" w:themeColor="text1"/>
              </w:rPr>
            </w:pPr>
          </w:p>
        </w:tc>
      </w:tr>
      <w:tr w:rsidR="00FA53C2" w14:paraId="75DF78D9" w14:textId="77777777" w:rsidTr="00F35929">
        <w:tc>
          <w:tcPr>
            <w:tcW w:w="7110" w:type="dxa"/>
          </w:tcPr>
          <w:p w14:paraId="3F348F64" w14:textId="2FB3FB9A" w:rsidR="00FA53C2" w:rsidRDefault="003E0A38" w:rsidP="00F35929">
            <w:pPr>
              <w:rPr>
                <w:color w:val="000000" w:themeColor="text1"/>
              </w:rPr>
            </w:pPr>
            <w:r>
              <w:rPr>
                <w:color w:val="000000" w:themeColor="text1"/>
              </w:rPr>
              <w:t xml:space="preserve">  </w:t>
            </w:r>
            <w:r w:rsidR="00FA53C2">
              <w:rPr>
                <w:color w:val="000000" w:themeColor="text1"/>
              </w:rPr>
              <w:t>African American/Black</w:t>
            </w:r>
          </w:p>
        </w:tc>
        <w:tc>
          <w:tcPr>
            <w:tcW w:w="810" w:type="dxa"/>
          </w:tcPr>
          <w:p w14:paraId="5E6DBF6D" w14:textId="77777777" w:rsidR="00FA53C2" w:rsidRDefault="00FA53C2" w:rsidP="00F35929">
            <w:pPr>
              <w:rPr>
                <w:color w:val="000000" w:themeColor="text1"/>
              </w:rPr>
            </w:pPr>
            <w:r>
              <w:rPr>
                <w:color w:val="000000" w:themeColor="text1"/>
              </w:rPr>
              <w:t>99</w:t>
            </w:r>
          </w:p>
        </w:tc>
        <w:tc>
          <w:tcPr>
            <w:tcW w:w="1430" w:type="dxa"/>
          </w:tcPr>
          <w:p w14:paraId="3355991B" w14:textId="77777777" w:rsidR="00FA53C2" w:rsidRDefault="00FA53C2" w:rsidP="00F35929">
            <w:pPr>
              <w:rPr>
                <w:color w:val="000000" w:themeColor="text1"/>
              </w:rPr>
            </w:pPr>
            <w:r>
              <w:rPr>
                <w:color w:val="000000" w:themeColor="text1"/>
              </w:rPr>
              <w:t>44.8</w:t>
            </w:r>
          </w:p>
        </w:tc>
      </w:tr>
      <w:tr w:rsidR="00FA53C2" w14:paraId="3B58DD26" w14:textId="77777777" w:rsidTr="00F35929">
        <w:tc>
          <w:tcPr>
            <w:tcW w:w="7110" w:type="dxa"/>
          </w:tcPr>
          <w:p w14:paraId="192C0715" w14:textId="26C815F8"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Hispanic/</w:t>
            </w:r>
            <w:r w:rsidR="00DF0711">
              <w:rPr>
                <w:color w:val="000000" w:themeColor="text1"/>
              </w:rPr>
              <w:t>Latino(a)/</w:t>
            </w:r>
            <w:r w:rsidR="00FA53C2">
              <w:rPr>
                <w:color w:val="000000" w:themeColor="text1"/>
              </w:rPr>
              <w:t>Spanish</w:t>
            </w:r>
          </w:p>
        </w:tc>
        <w:tc>
          <w:tcPr>
            <w:tcW w:w="810" w:type="dxa"/>
          </w:tcPr>
          <w:p w14:paraId="491879FC" w14:textId="77777777" w:rsidR="00FA53C2" w:rsidRDefault="00FA53C2" w:rsidP="00F35929">
            <w:pPr>
              <w:rPr>
                <w:color w:val="000000" w:themeColor="text1"/>
              </w:rPr>
            </w:pPr>
            <w:r>
              <w:rPr>
                <w:color w:val="000000" w:themeColor="text1"/>
              </w:rPr>
              <w:t>63</w:t>
            </w:r>
          </w:p>
        </w:tc>
        <w:tc>
          <w:tcPr>
            <w:tcW w:w="1430" w:type="dxa"/>
          </w:tcPr>
          <w:p w14:paraId="4B0C8BB8" w14:textId="77777777" w:rsidR="00FA53C2" w:rsidRDefault="00FA53C2" w:rsidP="00F35929">
            <w:pPr>
              <w:rPr>
                <w:color w:val="000000" w:themeColor="text1"/>
              </w:rPr>
            </w:pPr>
            <w:r>
              <w:rPr>
                <w:color w:val="000000" w:themeColor="text1"/>
              </w:rPr>
              <w:t>28.3</w:t>
            </w:r>
          </w:p>
        </w:tc>
      </w:tr>
      <w:tr w:rsidR="00FA53C2" w14:paraId="0A3CEBFD" w14:textId="77777777" w:rsidTr="00F35929">
        <w:tc>
          <w:tcPr>
            <w:tcW w:w="7110" w:type="dxa"/>
          </w:tcPr>
          <w:p w14:paraId="5B28C355" w14:textId="64FF8875"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American Indian</w:t>
            </w:r>
          </w:p>
        </w:tc>
        <w:tc>
          <w:tcPr>
            <w:tcW w:w="810" w:type="dxa"/>
          </w:tcPr>
          <w:p w14:paraId="45DA8D7D" w14:textId="77777777" w:rsidR="00FA53C2" w:rsidRDefault="00FA53C2" w:rsidP="00F35929">
            <w:pPr>
              <w:rPr>
                <w:color w:val="000000" w:themeColor="text1"/>
              </w:rPr>
            </w:pPr>
            <w:r>
              <w:rPr>
                <w:color w:val="000000" w:themeColor="text1"/>
              </w:rPr>
              <w:t>60</w:t>
            </w:r>
          </w:p>
        </w:tc>
        <w:tc>
          <w:tcPr>
            <w:tcW w:w="1430" w:type="dxa"/>
          </w:tcPr>
          <w:p w14:paraId="6C72C6AE" w14:textId="77777777" w:rsidR="00FA53C2" w:rsidRDefault="00FA53C2" w:rsidP="00F35929">
            <w:pPr>
              <w:rPr>
                <w:color w:val="000000" w:themeColor="text1"/>
              </w:rPr>
            </w:pPr>
            <w:r>
              <w:rPr>
                <w:color w:val="000000" w:themeColor="text1"/>
              </w:rPr>
              <w:t>26.9</w:t>
            </w:r>
          </w:p>
        </w:tc>
      </w:tr>
      <w:tr w:rsidR="00FA53C2" w14:paraId="758FD0E7" w14:textId="77777777" w:rsidTr="00F35929">
        <w:tc>
          <w:tcPr>
            <w:tcW w:w="7110" w:type="dxa"/>
          </w:tcPr>
          <w:p w14:paraId="5E35F63E" w14:textId="77777777" w:rsidR="00FA53C2" w:rsidRDefault="00FA53C2" w:rsidP="00F35929">
            <w:pPr>
              <w:rPr>
                <w:color w:val="000000" w:themeColor="text1"/>
              </w:rPr>
            </w:pPr>
            <w:r>
              <w:rPr>
                <w:color w:val="000000" w:themeColor="text1"/>
              </w:rPr>
              <w:t>Sex</w:t>
            </w:r>
          </w:p>
        </w:tc>
        <w:tc>
          <w:tcPr>
            <w:tcW w:w="810" w:type="dxa"/>
          </w:tcPr>
          <w:p w14:paraId="57347E3E" w14:textId="77777777" w:rsidR="00FA53C2" w:rsidRDefault="00FA53C2" w:rsidP="00F35929">
            <w:pPr>
              <w:rPr>
                <w:color w:val="000000" w:themeColor="text1"/>
              </w:rPr>
            </w:pPr>
          </w:p>
        </w:tc>
        <w:tc>
          <w:tcPr>
            <w:tcW w:w="1430" w:type="dxa"/>
          </w:tcPr>
          <w:p w14:paraId="13DBE293" w14:textId="77777777" w:rsidR="00FA53C2" w:rsidRDefault="00FA53C2" w:rsidP="00F35929">
            <w:pPr>
              <w:rPr>
                <w:color w:val="000000" w:themeColor="text1"/>
              </w:rPr>
            </w:pPr>
          </w:p>
        </w:tc>
      </w:tr>
      <w:tr w:rsidR="00FA53C2" w14:paraId="2D0174B9" w14:textId="77777777" w:rsidTr="00F35929">
        <w:tc>
          <w:tcPr>
            <w:tcW w:w="7110" w:type="dxa"/>
          </w:tcPr>
          <w:p w14:paraId="294E3444" w14:textId="3A22E7A4" w:rsidR="00FA53C2" w:rsidRDefault="003E0A38" w:rsidP="00F35929">
            <w:pPr>
              <w:rPr>
                <w:color w:val="000000" w:themeColor="text1"/>
              </w:rPr>
            </w:pPr>
            <w:r>
              <w:rPr>
                <w:color w:val="000000" w:themeColor="text1"/>
              </w:rPr>
              <w:t xml:space="preserve">  </w:t>
            </w:r>
            <w:r w:rsidR="00FA53C2">
              <w:rPr>
                <w:color w:val="000000" w:themeColor="text1"/>
              </w:rPr>
              <w:t>Male</w:t>
            </w:r>
          </w:p>
        </w:tc>
        <w:tc>
          <w:tcPr>
            <w:tcW w:w="810" w:type="dxa"/>
          </w:tcPr>
          <w:p w14:paraId="3837E268" w14:textId="77777777" w:rsidR="00FA53C2" w:rsidRDefault="00FA53C2" w:rsidP="00F35929">
            <w:pPr>
              <w:rPr>
                <w:color w:val="000000" w:themeColor="text1"/>
              </w:rPr>
            </w:pPr>
            <w:r>
              <w:rPr>
                <w:color w:val="000000" w:themeColor="text1"/>
              </w:rPr>
              <w:t>68</w:t>
            </w:r>
          </w:p>
        </w:tc>
        <w:tc>
          <w:tcPr>
            <w:tcW w:w="1430" w:type="dxa"/>
          </w:tcPr>
          <w:p w14:paraId="52F5711E" w14:textId="77777777" w:rsidR="00FA53C2" w:rsidRDefault="00FA53C2" w:rsidP="00F35929">
            <w:pPr>
              <w:rPr>
                <w:color w:val="000000" w:themeColor="text1"/>
              </w:rPr>
            </w:pPr>
            <w:r>
              <w:rPr>
                <w:color w:val="000000" w:themeColor="text1"/>
              </w:rPr>
              <w:t>30.8</w:t>
            </w:r>
          </w:p>
        </w:tc>
      </w:tr>
      <w:tr w:rsidR="00FA53C2" w14:paraId="6A2FAACC" w14:textId="77777777" w:rsidTr="00F35929">
        <w:tc>
          <w:tcPr>
            <w:tcW w:w="7110" w:type="dxa"/>
          </w:tcPr>
          <w:p w14:paraId="2BE7BB78" w14:textId="681D5112"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Female</w:t>
            </w:r>
          </w:p>
        </w:tc>
        <w:tc>
          <w:tcPr>
            <w:tcW w:w="810" w:type="dxa"/>
          </w:tcPr>
          <w:p w14:paraId="740FB166" w14:textId="77777777" w:rsidR="00FA53C2" w:rsidRDefault="00FA53C2" w:rsidP="00F35929">
            <w:pPr>
              <w:rPr>
                <w:color w:val="000000" w:themeColor="text1"/>
              </w:rPr>
            </w:pPr>
            <w:r>
              <w:rPr>
                <w:color w:val="000000" w:themeColor="text1"/>
              </w:rPr>
              <w:t>153</w:t>
            </w:r>
          </w:p>
        </w:tc>
        <w:tc>
          <w:tcPr>
            <w:tcW w:w="1430" w:type="dxa"/>
          </w:tcPr>
          <w:p w14:paraId="191588D9" w14:textId="77777777" w:rsidR="00FA53C2" w:rsidRDefault="00FA53C2" w:rsidP="00F35929">
            <w:pPr>
              <w:rPr>
                <w:color w:val="000000" w:themeColor="text1"/>
              </w:rPr>
            </w:pPr>
            <w:r>
              <w:rPr>
                <w:color w:val="000000" w:themeColor="text1"/>
              </w:rPr>
              <w:t>69.2</w:t>
            </w:r>
          </w:p>
        </w:tc>
      </w:tr>
      <w:tr w:rsidR="00FA53C2" w14:paraId="340BBFDB" w14:textId="77777777" w:rsidTr="00F35929">
        <w:tc>
          <w:tcPr>
            <w:tcW w:w="7110" w:type="dxa"/>
          </w:tcPr>
          <w:p w14:paraId="41B83644" w14:textId="717D7E89" w:rsidR="00FA53C2" w:rsidRDefault="00FA53C2" w:rsidP="00F35929">
            <w:pPr>
              <w:rPr>
                <w:color w:val="000000" w:themeColor="text1"/>
              </w:rPr>
            </w:pPr>
            <w:r>
              <w:rPr>
                <w:color w:val="000000" w:themeColor="text1"/>
              </w:rPr>
              <w:t>Education level</w:t>
            </w:r>
          </w:p>
        </w:tc>
        <w:tc>
          <w:tcPr>
            <w:tcW w:w="810" w:type="dxa"/>
          </w:tcPr>
          <w:p w14:paraId="5306A698" w14:textId="77777777" w:rsidR="00FA53C2" w:rsidRDefault="00FA53C2" w:rsidP="00F35929">
            <w:pPr>
              <w:rPr>
                <w:color w:val="000000" w:themeColor="text1"/>
              </w:rPr>
            </w:pPr>
          </w:p>
        </w:tc>
        <w:tc>
          <w:tcPr>
            <w:tcW w:w="1430" w:type="dxa"/>
          </w:tcPr>
          <w:p w14:paraId="4131F188" w14:textId="77777777" w:rsidR="00FA53C2" w:rsidRDefault="00FA53C2" w:rsidP="00F35929">
            <w:pPr>
              <w:rPr>
                <w:color w:val="000000" w:themeColor="text1"/>
              </w:rPr>
            </w:pPr>
          </w:p>
        </w:tc>
      </w:tr>
      <w:tr w:rsidR="00FA53C2" w14:paraId="0485E9CF" w14:textId="77777777" w:rsidTr="00F35929">
        <w:tc>
          <w:tcPr>
            <w:tcW w:w="7110" w:type="dxa"/>
          </w:tcPr>
          <w:p w14:paraId="41CBF90B" w14:textId="47BC1F37"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&lt;High school</w:t>
            </w:r>
          </w:p>
        </w:tc>
        <w:tc>
          <w:tcPr>
            <w:tcW w:w="810" w:type="dxa"/>
          </w:tcPr>
          <w:p w14:paraId="491DF596" w14:textId="77777777" w:rsidR="00FA53C2" w:rsidRDefault="00FA53C2" w:rsidP="00F35929">
            <w:pPr>
              <w:rPr>
                <w:color w:val="000000" w:themeColor="text1"/>
              </w:rPr>
            </w:pPr>
            <w:r>
              <w:rPr>
                <w:color w:val="000000" w:themeColor="text1"/>
              </w:rPr>
              <w:t>1</w:t>
            </w:r>
          </w:p>
        </w:tc>
        <w:tc>
          <w:tcPr>
            <w:tcW w:w="1430" w:type="dxa"/>
          </w:tcPr>
          <w:p w14:paraId="1D634620" w14:textId="77777777" w:rsidR="00FA53C2" w:rsidRDefault="00FA53C2" w:rsidP="00F35929">
            <w:pPr>
              <w:rPr>
                <w:color w:val="000000" w:themeColor="text1"/>
              </w:rPr>
            </w:pPr>
            <w:r>
              <w:rPr>
                <w:color w:val="000000" w:themeColor="text1"/>
              </w:rPr>
              <w:t>0.5</w:t>
            </w:r>
          </w:p>
        </w:tc>
      </w:tr>
      <w:tr w:rsidR="00FA53C2" w14:paraId="30AB52B1" w14:textId="77777777" w:rsidTr="00F35929">
        <w:tc>
          <w:tcPr>
            <w:tcW w:w="7110" w:type="dxa"/>
          </w:tcPr>
          <w:p w14:paraId="206755CF" w14:textId="17066E9A"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High school graduate</w:t>
            </w:r>
          </w:p>
        </w:tc>
        <w:tc>
          <w:tcPr>
            <w:tcW w:w="810" w:type="dxa"/>
          </w:tcPr>
          <w:p w14:paraId="3753B519" w14:textId="77777777" w:rsidR="00FA53C2" w:rsidRDefault="00FA53C2" w:rsidP="00F35929">
            <w:pPr>
              <w:rPr>
                <w:color w:val="000000" w:themeColor="text1"/>
              </w:rPr>
            </w:pPr>
            <w:r>
              <w:rPr>
                <w:color w:val="000000" w:themeColor="text1"/>
              </w:rPr>
              <w:t>15</w:t>
            </w:r>
          </w:p>
        </w:tc>
        <w:tc>
          <w:tcPr>
            <w:tcW w:w="1430" w:type="dxa"/>
          </w:tcPr>
          <w:p w14:paraId="21576430" w14:textId="77777777" w:rsidR="00FA53C2" w:rsidRDefault="00FA53C2" w:rsidP="00F35929">
            <w:pPr>
              <w:rPr>
                <w:color w:val="000000" w:themeColor="text1"/>
              </w:rPr>
            </w:pPr>
            <w:r>
              <w:rPr>
                <w:color w:val="000000" w:themeColor="text1"/>
              </w:rPr>
              <w:t>6.8</w:t>
            </w:r>
          </w:p>
        </w:tc>
      </w:tr>
      <w:tr w:rsidR="00FA53C2" w14:paraId="2A6552AC" w14:textId="77777777" w:rsidTr="00F35929">
        <w:tc>
          <w:tcPr>
            <w:tcW w:w="7110" w:type="dxa"/>
          </w:tcPr>
          <w:p w14:paraId="37900E31" w14:textId="6CCDD9D1"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Vocational/trade/technical school</w:t>
            </w:r>
          </w:p>
        </w:tc>
        <w:tc>
          <w:tcPr>
            <w:tcW w:w="810" w:type="dxa"/>
          </w:tcPr>
          <w:p w14:paraId="2C7D48FD" w14:textId="77777777" w:rsidR="00FA53C2" w:rsidRDefault="00FA53C2" w:rsidP="00F35929">
            <w:pPr>
              <w:rPr>
                <w:color w:val="000000" w:themeColor="text1"/>
              </w:rPr>
            </w:pPr>
            <w:r>
              <w:rPr>
                <w:color w:val="000000" w:themeColor="text1"/>
              </w:rPr>
              <w:t>5</w:t>
            </w:r>
          </w:p>
        </w:tc>
        <w:tc>
          <w:tcPr>
            <w:tcW w:w="1430" w:type="dxa"/>
          </w:tcPr>
          <w:p w14:paraId="5D65EDEC" w14:textId="77777777" w:rsidR="00FA53C2" w:rsidRDefault="00FA53C2" w:rsidP="00F35929">
            <w:pPr>
              <w:rPr>
                <w:color w:val="000000" w:themeColor="text1"/>
              </w:rPr>
            </w:pPr>
            <w:r>
              <w:rPr>
                <w:color w:val="000000" w:themeColor="text1"/>
              </w:rPr>
              <w:t>2.3</w:t>
            </w:r>
          </w:p>
        </w:tc>
      </w:tr>
      <w:tr w:rsidR="00FA53C2" w14:paraId="5DEDCA0A" w14:textId="77777777" w:rsidTr="00F35929">
        <w:tc>
          <w:tcPr>
            <w:tcW w:w="7110" w:type="dxa"/>
          </w:tcPr>
          <w:p w14:paraId="0C216575" w14:textId="302A18E5"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Some college</w:t>
            </w:r>
          </w:p>
        </w:tc>
        <w:tc>
          <w:tcPr>
            <w:tcW w:w="810" w:type="dxa"/>
          </w:tcPr>
          <w:p w14:paraId="783DEC3A" w14:textId="77777777" w:rsidR="00FA53C2" w:rsidRDefault="00FA53C2" w:rsidP="00F35929">
            <w:pPr>
              <w:rPr>
                <w:color w:val="000000" w:themeColor="text1"/>
              </w:rPr>
            </w:pPr>
            <w:r>
              <w:rPr>
                <w:color w:val="000000" w:themeColor="text1"/>
              </w:rPr>
              <w:t>41</w:t>
            </w:r>
          </w:p>
        </w:tc>
        <w:tc>
          <w:tcPr>
            <w:tcW w:w="1430" w:type="dxa"/>
          </w:tcPr>
          <w:p w14:paraId="7A9C6C25" w14:textId="77777777" w:rsidR="00FA53C2" w:rsidRDefault="00FA53C2" w:rsidP="00F35929">
            <w:pPr>
              <w:rPr>
                <w:color w:val="000000" w:themeColor="text1"/>
              </w:rPr>
            </w:pPr>
            <w:r>
              <w:rPr>
                <w:color w:val="000000" w:themeColor="text1"/>
              </w:rPr>
              <w:t>18.5</w:t>
            </w:r>
          </w:p>
        </w:tc>
      </w:tr>
      <w:tr w:rsidR="00FA53C2" w14:paraId="114EEB6B" w14:textId="77777777" w:rsidTr="00F35929">
        <w:tc>
          <w:tcPr>
            <w:tcW w:w="7110" w:type="dxa"/>
          </w:tcPr>
          <w:p w14:paraId="066CD28E" w14:textId="5A09C74E"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Bachelor’s degree</w:t>
            </w:r>
          </w:p>
        </w:tc>
        <w:tc>
          <w:tcPr>
            <w:tcW w:w="810" w:type="dxa"/>
          </w:tcPr>
          <w:p w14:paraId="17D63ACD" w14:textId="77777777" w:rsidR="00FA53C2" w:rsidRDefault="00FA53C2" w:rsidP="00F35929">
            <w:pPr>
              <w:rPr>
                <w:color w:val="000000" w:themeColor="text1"/>
              </w:rPr>
            </w:pPr>
            <w:r>
              <w:rPr>
                <w:color w:val="000000" w:themeColor="text1"/>
              </w:rPr>
              <w:t>73</w:t>
            </w:r>
          </w:p>
        </w:tc>
        <w:tc>
          <w:tcPr>
            <w:tcW w:w="1430" w:type="dxa"/>
          </w:tcPr>
          <w:p w14:paraId="109A7A35" w14:textId="77777777" w:rsidR="00FA53C2" w:rsidRDefault="00FA53C2" w:rsidP="00F35929">
            <w:pPr>
              <w:rPr>
                <w:color w:val="000000" w:themeColor="text1"/>
              </w:rPr>
            </w:pPr>
            <w:r>
              <w:rPr>
                <w:color w:val="000000" w:themeColor="text1"/>
              </w:rPr>
              <w:t>32.9</w:t>
            </w:r>
          </w:p>
        </w:tc>
      </w:tr>
      <w:tr w:rsidR="00FA53C2" w14:paraId="5B11F1A5" w14:textId="77777777" w:rsidTr="00F35929">
        <w:tc>
          <w:tcPr>
            <w:tcW w:w="7110" w:type="dxa"/>
          </w:tcPr>
          <w:p w14:paraId="1BAA2923" w14:textId="442FEB6E"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Advanced degree</w:t>
            </w:r>
          </w:p>
        </w:tc>
        <w:tc>
          <w:tcPr>
            <w:tcW w:w="810" w:type="dxa"/>
          </w:tcPr>
          <w:p w14:paraId="69F8DF35" w14:textId="77777777" w:rsidR="00FA53C2" w:rsidRDefault="00FA53C2" w:rsidP="00F35929">
            <w:pPr>
              <w:rPr>
                <w:color w:val="000000" w:themeColor="text1"/>
              </w:rPr>
            </w:pPr>
            <w:r>
              <w:rPr>
                <w:color w:val="000000" w:themeColor="text1"/>
              </w:rPr>
              <w:t>87</w:t>
            </w:r>
          </w:p>
        </w:tc>
        <w:tc>
          <w:tcPr>
            <w:tcW w:w="1430" w:type="dxa"/>
          </w:tcPr>
          <w:p w14:paraId="0B97D6A3" w14:textId="77777777" w:rsidR="00FA53C2" w:rsidRDefault="00FA53C2" w:rsidP="00F35929">
            <w:pPr>
              <w:rPr>
                <w:color w:val="000000" w:themeColor="text1"/>
              </w:rPr>
            </w:pPr>
            <w:r>
              <w:rPr>
                <w:color w:val="000000" w:themeColor="text1"/>
              </w:rPr>
              <w:t>39.2</w:t>
            </w:r>
          </w:p>
        </w:tc>
      </w:tr>
      <w:tr w:rsidR="00FA53C2" w14:paraId="7E192C8E" w14:textId="77777777" w:rsidTr="00F35929">
        <w:tc>
          <w:tcPr>
            <w:tcW w:w="7110" w:type="dxa"/>
          </w:tcPr>
          <w:p w14:paraId="5A703D40" w14:textId="78561A49" w:rsidR="00FA53C2" w:rsidRDefault="00FA53C2" w:rsidP="00F35929">
            <w:pPr>
              <w:rPr>
                <w:color w:val="000000" w:themeColor="text1"/>
              </w:rPr>
            </w:pPr>
            <w:r>
              <w:rPr>
                <w:color w:val="000000" w:themeColor="text1"/>
              </w:rPr>
              <w:t>Geographic region</w:t>
            </w:r>
          </w:p>
        </w:tc>
        <w:tc>
          <w:tcPr>
            <w:tcW w:w="810" w:type="dxa"/>
          </w:tcPr>
          <w:p w14:paraId="1EEAB930" w14:textId="77777777" w:rsidR="00FA53C2" w:rsidRDefault="00FA53C2" w:rsidP="00F35929">
            <w:pPr>
              <w:rPr>
                <w:color w:val="000000" w:themeColor="text1"/>
              </w:rPr>
            </w:pPr>
          </w:p>
        </w:tc>
        <w:tc>
          <w:tcPr>
            <w:tcW w:w="1430" w:type="dxa"/>
          </w:tcPr>
          <w:p w14:paraId="2DCF205C" w14:textId="77777777" w:rsidR="00FA53C2" w:rsidRDefault="00FA53C2" w:rsidP="00F35929">
            <w:pPr>
              <w:rPr>
                <w:color w:val="000000" w:themeColor="text1"/>
              </w:rPr>
            </w:pPr>
          </w:p>
        </w:tc>
      </w:tr>
      <w:tr w:rsidR="00FA53C2" w14:paraId="24CBAEA2" w14:textId="77777777" w:rsidTr="00F35929">
        <w:tc>
          <w:tcPr>
            <w:tcW w:w="7110" w:type="dxa"/>
          </w:tcPr>
          <w:p w14:paraId="26CF3A33" w14:textId="7D67AA9B"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West</w:t>
            </w:r>
          </w:p>
        </w:tc>
        <w:tc>
          <w:tcPr>
            <w:tcW w:w="810" w:type="dxa"/>
          </w:tcPr>
          <w:p w14:paraId="76F87EAE" w14:textId="77777777" w:rsidR="00FA53C2" w:rsidRDefault="00FA53C2" w:rsidP="00F35929">
            <w:pPr>
              <w:rPr>
                <w:color w:val="000000" w:themeColor="text1"/>
              </w:rPr>
            </w:pPr>
            <w:r>
              <w:rPr>
                <w:color w:val="000000" w:themeColor="text1"/>
              </w:rPr>
              <w:t>22</w:t>
            </w:r>
          </w:p>
        </w:tc>
        <w:tc>
          <w:tcPr>
            <w:tcW w:w="1430" w:type="dxa"/>
          </w:tcPr>
          <w:p w14:paraId="3620D658" w14:textId="77777777" w:rsidR="00FA53C2" w:rsidRDefault="00FA53C2" w:rsidP="00F35929">
            <w:pPr>
              <w:rPr>
                <w:color w:val="000000" w:themeColor="text1"/>
              </w:rPr>
            </w:pPr>
            <w:r>
              <w:rPr>
                <w:color w:val="000000" w:themeColor="text1"/>
              </w:rPr>
              <w:t>10</w:t>
            </w:r>
          </w:p>
        </w:tc>
      </w:tr>
      <w:tr w:rsidR="00FA53C2" w14:paraId="3E5C0BB6" w14:textId="77777777" w:rsidTr="00F35929">
        <w:tc>
          <w:tcPr>
            <w:tcW w:w="7110" w:type="dxa"/>
          </w:tcPr>
          <w:p w14:paraId="34F74D53" w14:textId="0D08FFBC"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Midwest</w:t>
            </w:r>
          </w:p>
        </w:tc>
        <w:tc>
          <w:tcPr>
            <w:tcW w:w="810" w:type="dxa"/>
          </w:tcPr>
          <w:p w14:paraId="0E5E4624" w14:textId="77777777" w:rsidR="00FA53C2" w:rsidRDefault="00FA53C2" w:rsidP="00F35929">
            <w:pPr>
              <w:rPr>
                <w:color w:val="000000" w:themeColor="text1"/>
              </w:rPr>
            </w:pPr>
            <w:r>
              <w:rPr>
                <w:color w:val="000000" w:themeColor="text1"/>
              </w:rPr>
              <w:t>14</w:t>
            </w:r>
          </w:p>
        </w:tc>
        <w:tc>
          <w:tcPr>
            <w:tcW w:w="1430" w:type="dxa"/>
          </w:tcPr>
          <w:p w14:paraId="51B59683" w14:textId="77777777" w:rsidR="00FA53C2" w:rsidRDefault="00FA53C2" w:rsidP="00F35929">
            <w:pPr>
              <w:rPr>
                <w:color w:val="000000" w:themeColor="text1"/>
              </w:rPr>
            </w:pPr>
            <w:r>
              <w:rPr>
                <w:color w:val="000000" w:themeColor="text1"/>
              </w:rPr>
              <w:t>6.3</w:t>
            </w:r>
          </w:p>
        </w:tc>
      </w:tr>
      <w:tr w:rsidR="00FA53C2" w14:paraId="10D65969" w14:textId="77777777" w:rsidTr="00F35929">
        <w:tc>
          <w:tcPr>
            <w:tcW w:w="7110" w:type="dxa"/>
          </w:tcPr>
          <w:p w14:paraId="6C3A2313" w14:textId="2D4799DA"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South</w:t>
            </w:r>
          </w:p>
        </w:tc>
        <w:tc>
          <w:tcPr>
            <w:tcW w:w="810" w:type="dxa"/>
          </w:tcPr>
          <w:p w14:paraId="0D608791" w14:textId="77777777" w:rsidR="00FA53C2" w:rsidRDefault="00FA53C2" w:rsidP="00F35929">
            <w:pPr>
              <w:rPr>
                <w:color w:val="000000" w:themeColor="text1"/>
              </w:rPr>
            </w:pPr>
            <w:r>
              <w:rPr>
                <w:color w:val="000000" w:themeColor="text1"/>
              </w:rPr>
              <w:t>181</w:t>
            </w:r>
          </w:p>
        </w:tc>
        <w:tc>
          <w:tcPr>
            <w:tcW w:w="1430" w:type="dxa"/>
          </w:tcPr>
          <w:p w14:paraId="4B3D7C4C" w14:textId="77777777" w:rsidR="00FA53C2" w:rsidRDefault="00FA53C2" w:rsidP="00F35929">
            <w:pPr>
              <w:rPr>
                <w:color w:val="000000" w:themeColor="text1"/>
              </w:rPr>
            </w:pPr>
            <w:r>
              <w:rPr>
                <w:color w:val="000000" w:themeColor="text1"/>
              </w:rPr>
              <w:t>81.9</w:t>
            </w:r>
          </w:p>
        </w:tc>
      </w:tr>
      <w:tr w:rsidR="00FA53C2" w14:paraId="4A86BC2E" w14:textId="77777777" w:rsidTr="00F35929">
        <w:tc>
          <w:tcPr>
            <w:tcW w:w="7110" w:type="dxa"/>
          </w:tcPr>
          <w:p w14:paraId="0A30D6E8" w14:textId="2EE60FC5"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Northeast</w:t>
            </w:r>
          </w:p>
        </w:tc>
        <w:tc>
          <w:tcPr>
            <w:tcW w:w="810" w:type="dxa"/>
          </w:tcPr>
          <w:p w14:paraId="0EB139E2" w14:textId="77777777" w:rsidR="00FA53C2" w:rsidRDefault="00FA53C2" w:rsidP="00F35929">
            <w:pPr>
              <w:rPr>
                <w:color w:val="000000" w:themeColor="text1"/>
              </w:rPr>
            </w:pPr>
            <w:r>
              <w:rPr>
                <w:color w:val="000000" w:themeColor="text1"/>
              </w:rPr>
              <w:t>4</w:t>
            </w:r>
          </w:p>
        </w:tc>
        <w:tc>
          <w:tcPr>
            <w:tcW w:w="1430" w:type="dxa"/>
          </w:tcPr>
          <w:p w14:paraId="40063E09" w14:textId="77777777" w:rsidR="00FA53C2" w:rsidRDefault="00FA53C2" w:rsidP="00F35929">
            <w:pPr>
              <w:rPr>
                <w:color w:val="000000" w:themeColor="text1"/>
              </w:rPr>
            </w:pPr>
            <w:r>
              <w:rPr>
                <w:color w:val="000000" w:themeColor="text1"/>
              </w:rPr>
              <w:t>1.8</w:t>
            </w:r>
          </w:p>
        </w:tc>
      </w:tr>
      <w:tr w:rsidR="00FA53C2" w14:paraId="0E0E30B0" w14:textId="77777777" w:rsidTr="00F35929">
        <w:tc>
          <w:tcPr>
            <w:tcW w:w="7110" w:type="dxa"/>
          </w:tcPr>
          <w:p w14:paraId="2DEE138B" w14:textId="77777777" w:rsidR="00FA53C2" w:rsidRDefault="00FA53C2" w:rsidP="00F35929">
            <w:pPr>
              <w:rPr>
                <w:color w:val="000000" w:themeColor="text1"/>
              </w:rPr>
            </w:pPr>
            <w:r>
              <w:rPr>
                <w:color w:val="000000" w:themeColor="text1"/>
              </w:rPr>
              <w:t>Marital status</w:t>
            </w:r>
          </w:p>
        </w:tc>
        <w:tc>
          <w:tcPr>
            <w:tcW w:w="810" w:type="dxa"/>
          </w:tcPr>
          <w:p w14:paraId="21708561" w14:textId="77777777" w:rsidR="00FA53C2" w:rsidRDefault="00FA53C2" w:rsidP="00F35929">
            <w:pPr>
              <w:rPr>
                <w:color w:val="000000" w:themeColor="text1"/>
              </w:rPr>
            </w:pPr>
          </w:p>
        </w:tc>
        <w:tc>
          <w:tcPr>
            <w:tcW w:w="1430" w:type="dxa"/>
          </w:tcPr>
          <w:p w14:paraId="74B99175" w14:textId="77777777" w:rsidR="00FA53C2" w:rsidRDefault="00FA53C2" w:rsidP="00F35929">
            <w:pPr>
              <w:rPr>
                <w:color w:val="000000" w:themeColor="text1"/>
              </w:rPr>
            </w:pPr>
          </w:p>
        </w:tc>
      </w:tr>
      <w:tr w:rsidR="00FA53C2" w14:paraId="1E919CBF" w14:textId="77777777" w:rsidTr="00F35929">
        <w:tc>
          <w:tcPr>
            <w:tcW w:w="7110" w:type="dxa"/>
          </w:tcPr>
          <w:p w14:paraId="516E9B17" w14:textId="4AF7CEA9"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 xml:space="preserve">Married </w:t>
            </w:r>
          </w:p>
        </w:tc>
        <w:tc>
          <w:tcPr>
            <w:tcW w:w="810" w:type="dxa"/>
          </w:tcPr>
          <w:p w14:paraId="1B40A251" w14:textId="77777777" w:rsidR="00FA53C2" w:rsidRDefault="00FA53C2" w:rsidP="00F35929">
            <w:pPr>
              <w:rPr>
                <w:color w:val="000000" w:themeColor="text1"/>
              </w:rPr>
            </w:pPr>
            <w:r>
              <w:rPr>
                <w:color w:val="000000" w:themeColor="text1"/>
              </w:rPr>
              <w:t>80</w:t>
            </w:r>
          </w:p>
        </w:tc>
        <w:tc>
          <w:tcPr>
            <w:tcW w:w="1430" w:type="dxa"/>
          </w:tcPr>
          <w:p w14:paraId="199FB28D" w14:textId="77777777" w:rsidR="00FA53C2" w:rsidRDefault="00FA53C2" w:rsidP="00F35929">
            <w:pPr>
              <w:rPr>
                <w:color w:val="000000" w:themeColor="text1"/>
              </w:rPr>
            </w:pPr>
            <w:r>
              <w:rPr>
                <w:color w:val="000000" w:themeColor="text1"/>
              </w:rPr>
              <w:t>36</w:t>
            </w:r>
          </w:p>
        </w:tc>
      </w:tr>
      <w:tr w:rsidR="00FA53C2" w14:paraId="78E81ECC" w14:textId="77777777" w:rsidTr="00F35929">
        <w:tc>
          <w:tcPr>
            <w:tcW w:w="7110" w:type="dxa"/>
          </w:tcPr>
          <w:p w14:paraId="533716D7" w14:textId="1FBFF7EC"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 xml:space="preserve">Widowed </w:t>
            </w:r>
          </w:p>
        </w:tc>
        <w:tc>
          <w:tcPr>
            <w:tcW w:w="810" w:type="dxa"/>
          </w:tcPr>
          <w:p w14:paraId="03740C94" w14:textId="77777777" w:rsidR="00FA53C2" w:rsidRDefault="00FA53C2" w:rsidP="00F35929">
            <w:pPr>
              <w:rPr>
                <w:color w:val="000000" w:themeColor="text1"/>
              </w:rPr>
            </w:pPr>
            <w:r>
              <w:rPr>
                <w:color w:val="000000" w:themeColor="text1"/>
              </w:rPr>
              <w:t>2</w:t>
            </w:r>
          </w:p>
        </w:tc>
        <w:tc>
          <w:tcPr>
            <w:tcW w:w="1430" w:type="dxa"/>
          </w:tcPr>
          <w:p w14:paraId="16132E69" w14:textId="77777777" w:rsidR="00FA53C2" w:rsidRDefault="00FA53C2" w:rsidP="00F35929">
            <w:pPr>
              <w:rPr>
                <w:color w:val="000000" w:themeColor="text1"/>
              </w:rPr>
            </w:pPr>
            <w:r>
              <w:rPr>
                <w:color w:val="000000" w:themeColor="text1"/>
              </w:rPr>
              <w:t>0.9</w:t>
            </w:r>
          </w:p>
        </w:tc>
      </w:tr>
      <w:tr w:rsidR="00FA53C2" w14:paraId="3B7AB9B1" w14:textId="77777777" w:rsidTr="00F35929">
        <w:tc>
          <w:tcPr>
            <w:tcW w:w="7110" w:type="dxa"/>
          </w:tcPr>
          <w:p w14:paraId="7BF28233" w14:textId="2296DA00"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Divorced</w:t>
            </w:r>
          </w:p>
        </w:tc>
        <w:tc>
          <w:tcPr>
            <w:tcW w:w="810" w:type="dxa"/>
          </w:tcPr>
          <w:p w14:paraId="2179D5BE" w14:textId="77777777" w:rsidR="00FA53C2" w:rsidRDefault="00FA53C2" w:rsidP="00F35929">
            <w:pPr>
              <w:rPr>
                <w:color w:val="000000" w:themeColor="text1"/>
              </w:rPr>
            </w:pPr>
            <w:r>
              <w:rPr>
                <w:color w:val="000000" w:themeColor="text1"/>
              </w:rPr>
              <w:t>18</w:t>
            </w:r>
          </w:p>
        </w:tc>
        <w:tc>
          <w:tcPr>
            <w:tcW w:w="1430" w:type="dxa"/>
          </w:tcPr>
          <w:p w14:paraId="5A098D33" w14:textId="77777777" w:rsidR="00FA53C2" w:rsidRDefault="00FA53C2" w:rsidP="00F35929">
            <w:pPr>
              <w:rPr>
                <w:color w:val="000000" w:themeColor="text1"/>
              </w:rPr>
            </w:pPr>
            <w:r>
              <w:rPr>
                <w:color w:val="000000" w:themeColor="text1"/>
              </w:rPr>
              <w:t>8.1</w:t>
            </w:r>
          </w:p>
        </w:tc>
      </w:tr>
      <w:tr w:rsidR="00FA53C2" w14:paraId="4784E8E1" w14:textId="77777777" w:rsidTr="00F35929">
        <w:tc>
          <w:tcPr>
            <w:tcW w:w="7110" w:type="dxa"/>
          </w:tcPr>
          <w:p w14:paraId="6E327ECF" w14:textId="1035ED7F"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Separated</w:t>
            </w:r>
          </w:p>
        </w:tc>
        <w:tc>
          <w:tcPr>
            <w:tcW w:w="810" w:type="dxa"/>
          </w:tcPr>
          <w:p w14:paraId="2237BE4B" w14:textId="77777777" w:rsidR="00FA53C2" w:rsidRDefault="00FA53C2" w:rsidP="00F35929">
            <w:pPr>
              <w:rPr>
                <w:color w:val="000000" w:themeColor="text1"/>
              </w:rPr>
            </w:pPr>
            <w:r>
              <w:rPr>
                <w:color w:val="000000" w:themeColor="text1"/>
              </w:rPr>
              <w:t>1</w:t>
            </w:r>
          </w:p>
        </w:tc>
        <w:tc>
          <w:tcPr>
            <w:tcW w:w="1430" w:type="dxa"/>
          </w:tcPr>
          <w:p w14:paraId="4F8BF6B9" w14:textId="77777777" w:rsidR="00FA53C2" w:rsidRDefault="00FA53C2" w:rsidP="00F35929">
            <w:pPr>
              <w:rPr>
                <w:color w:val="000000" w:themeColor="text1"/>
              </w:rPr>
            </w:pPr>
            <w:r>
              <w:rPr>
                <w:color w:val="000000" w:themeColor="text1"/>
              </w:rPr>
              <w:t>0.5</w:t>
            </w:r>
          </w:p>
        </w:tc>
      </w:tr>
      <w:tr w:rsidR="00FA53C2" w14:paraId="75DD3A45" w14:textId="77777777" w:rsidTr="00F35929">
        <w:tc>
          <w:tcPr>
            <w:tcW w:w="7110" w:type="dxa"/>
          </w:tcPr>
          <w:p w14:paraId="50E6D921" w14:textId="0476784B" w:rsidR="00FA53C2" w:rsidRDefault="003E0A38" w:rsidP="00F35929">
            <w:pPr>
              <w:rPr>
                <w:color w:val="000000" w:themeColor="text1"/>
              </w:rPr>
            </w:pPr>
            <w:r>
              <w:rPr>
                <w:color w:val="000000" w:themeColor="text1"/>
              </w:rPr>
              <w:t xml:space="preserve">  </w:t>
            </w:r>
            <w:r w:rsidR="00FA53C2">
              <w:rPr>
                <w:color w:val="000000" w:themeColor="text1"/>
              </w:rPr>
              <w:t>Single</w:t>
            </w:r>
          </w:p>
        </w:tc>
        <w:tc>
          <w:tcPr>
            <w:tcW w:w="810" w:type="dxa"/>
          </w:tcPr>
          <w:p w14:paraId="43249537" w14:textId="77777777" w:rsidR="00FA53C2" w:rsidRDefault="00FA53C2" w:rsidP="00F35929">
            <w:pPr>
              <w:rPr>
                <w:color w:val="000000" w:themeColor="text1"/>
              </w:rPr>
            </w:pPr>
            <w:r>
              <w:rPr>
                <w:color w:val="000000" w:themeColor="text1"/>
              </w:rPr>
              <w:t>121</w:t>
            </w:r>
          </w:p>
        </w:tc>
        <w:tc>
          <w:tcPr>
            <w:tcW w:w="1430" w:type="dxa"/>
          </w:tcPr>
          <w:p w14:paraId="6D7D2ABB" w14:textId="77777777" w:rsidR="00FA53C2" w:rsidRDefault="00FA53C2" w:rsidP="00F35929">
            <w:pPr>
              <w:rPr>
                <w:color w:val="000000" w:themeColor="text1"/>
              </w:rPr>
            </w:pPr>
            <w:r>
              <w:rPr>
                <w:color w:val="000000" w:themeColor="text1"/>
              </w:rPr>
              <w:t>54.3</w:t>
            </w:r>
          </w:p>
        </w:tc>
      </w:tr>
      <w:tr w:rsidR="00FA53C2" w14:paraId="6A85AF4D" w14:textId="77777777" w:rsidTr="00F35929">
        <w:tc>
          <w:tcPr>
            <w:tcW w:w="7110" w:type="dxa"/>
          </w:tcPr>
          <w:p w14:paraId="43117076" w14:textId="2D22C1C9" w:rsidR="00FA53C2" w:rsidRDefault="00FA53C2" w:rsidP="00F35929">
            <w:pPr>
              <w:rPr>
                <w:color w:val="000000" w:themeColor="text1"/>
              </w:rPr>
            </w:pPr>
            <w:r>
              <w:rPr>
                <w:color w:val="000000" w:themeColor="text1"/>
              </w:rPr>
              <w:t xml:space="preserve">Weight </w:t>
            </w:r>
            <w:proofErr w:type="spellStart"/>
            <w:r>
              <w:rPr>
                <w:color w:val="000000" w:themeColor="text1"/>
              </w:rPr>
              <w:t>status</w:t>
            </w:r>
            <w:r w:rsidRPr="003E0A38">
              <w:rPr>
                <w:color w:val="000000" w:themeColor="text1"/>
                <w:vertAlign w:val="superscript"/>
              </w:rPr>
              <w:t>a</w:t>
            </w:r>
            <w:proofErr w:type="spellEnd"/>
          </w:p>
        </w:tc>
        <w:tc>
          <w:tcPr>
            <w:tcW w:w="810" w:type="dxa"/>
          </w:tcPr>
          <w:p w14:paraId="0F144167" w14:textId="77777777" w:rsidR="00FA53C2" w:rsidRDefault="00FA53C2" w:rsidP="00F35929">
            <w:pPr>
              <w:rPr>
                <w:color w:val="000000" w:themeColor="text1"/>
              </w:rPr>
            </w:pPr>
          </w:p>
        </w:tc>
        <w:tc>
          <w:tcPr>
            <w:tcW w:w="1430" w:type="dxa"/>
          </w:tcPr>
          <w:p w14:paraId="171DBA6D" w14:textId="77777777" w:rsidR="00FA53C2" w:rsidRDefault="00FA53C2" w:rsidP="00F35929">
            <w:pPr>
              <w:rPr>
                <w:color w:val="000000" w:themeColor="text1"/>
              </w:rPr>
            </w:pPr>
          </w:p>
        </w:tc>
      </w:tr>
      <w:tr w:rsidR="00FA53C2" w14:paraId="0A4FB3FE" w14:textId="77777777" w:rsidTr="00F35929">
        <w:tc>
          <w:tcPr>
            <w:tcW w:w="7110" w:type="dxa"/>
          </w:tcPr>
          <w:p w14:paraId="25A316A8" w14:textId="04A04C6E" w:rsidR="00FA53C2" w:rsidRDefault="003E0A38" w:rsidP="00F35929">
            <w:pPr>
              <w:rPr>
                <w:color w:val="000000" w:themeColor="text1"/>
              </w:rPr>
            </w:pPr>
            <w:r>
              <w:rPr>
                <w:color w:val="000000" w:themeColor="text1"/>
              </w:rPr>
              <w:t xml:space="preserve">  </w:t>
            </w:r>
            <w:r w:rsidR="00FA53C2">
              <w:rPr>
                <w:color w:val="000000" w:themeColor="text1"/>
              </w:rPr>
              <w:t>Underweight</w:t>
            </w:r>
          </w:p>
        </w:tc>
        <w:tc>
          <w:tcPr>
            <w:tcW w:w="810" w:type="dxa"/>
          </w:tcPr>
          <w:p w14:paraId="7CA90444" w14:textId="2016B32C" w:rsidR="00FA53C2" w:rsidRDefault="00B8650D" w:rsidP="00F35929">
            <w:pPr>
              <w:rPr>
                <w:color w:val="000000" w:themeColor="text1"/>
              </w:rPr>
            </w:pPr>
            <w:r>
              <w:rPr>
                <w:color w:val="000000" w:themeColor="text1"/>
              </w:rPr>
              <w:t>4</w:t>
            </w:r>
          </w:p>
        </w:tc>
        <w:tc>
          <w:tcPr>
            <w:tcW w:w="1430" w:type="dxa"/>
          </w:tcPr>
          <w:p w14:paraId="7B15B1B7" w14:textId="19B339E7" w:rsidR="00FA53C2" w:rsidRDefault="00FA53C2" w:rsidP="00F35929">
            <w:pPr>
              <w:rPr>
                <w:color w:val="000000" w:themeColor="text1"/>
              </w:rPr>
            </w:pPr>
            <w:r>
              <w:rPr>
                <w:color w:val="000000" w:themeColor="text1"/>
              </w:rPr>
              <w:t>2.</w:t>
            </w:r>
            <w:r w:rsidR="00B8650D">
              <w:rPr>
                <w:color w:val="000000" w:themeColor="text1"/>
              </w:rPr>
              <w:t>13</w:t>
            </w:r>
          </w:p>
        </w:tc>
      </w:tr>
      <w:tr w:rsidR="00FA53C2" w14:paraId="200CAFBC" w14:textId="77777777" w:rsidTr="00F35929">
        <w:tc>
          <w:tcPr>
            <w:tcW w:w="7110" w:type="dxa"/>
          </w:tcPr>
          <w:p w14:paraId="2EB8CA27" w14:textId="3EAFC248" w:rsidR="00FA53C2" w:rsidRDefault="003E0A38" w:rsidP="00F35929">
            <w:pPr>
              <w:rPr>
                <w:color w:val="000000" w:themeColor="text1"/>
              </w:rPr>
            </w:pPr>
            <w:r>
              <w:rPr>
                <w:color w:val="000000" w:themeColor="text1"/>
              </w:rPr>
              <w:t xml:space="preserve">  </w:t>
            </w:r>
            <w:r w:rsidR="00FA53C2">
              <w:rPr>
                <w:color w:val="000000" w:themeColor="text1"/>
              </w:rPr>
              <w:t>Normal</w:t>
            </w:r>
          </w:p>
        </w:tc>
        <w:tc>
          <w:tcPr>
            <w:tcW w:w="810" w:type="dxa"/>
          </w:tcPr>
          <w:p w14:paraId="022FFA76" w14:textId="4F61A8DB" w:rsidR="00FA53C2" w:rsidRDefault="00FA53C2" w:rsidP="00F35929">
            <w:pPr>
              <w:rPr>
                <w:color w:val="000000" w:themeColor="text1"/>
              </w:rPr>
            </w:pPr>
            <w:r>
              <w:rPr>
                <w:color w:val="000000" w:themeColor="text1"/>
              </w:rPr>
              <w:t>5</w:t>
            </w:r>
            <w:r w:rsidR="00B8650D">
              <w:rPr>
                <w:color w:val="000000" w:themeColor="text1"/>
              </w:rPr>
              <w:t>6</w:t>
            </w:r>
          </w:p>
        </w:tc>
        <w:tc>
          <w:tcPr>
            <w:tcW w:w="1430" w:type="dxa"/>
          </w:tcPr>
          <w:p w14:paraId="05A82E81" w14:textId="0FB24D62" w:rsidR="00FA53C2" w:rsidRDefault="00FA53C2" w:rsidP="00F35929">
            <w:pPr>
              <w:rPr>
                <w:color w:val="000000" w:themeColor="text1"/>
              </w:rPr>
            </w:pPr>
            <w:r>
              <w:rPr>
                <w:color w:val="000000" w:themeColor="text1"/>
              </w:rPr>
              <w:t>29.</w:t>
            </w:r>
            <w:r w:rsidR="00B8650D">
              <w:rPr>
                <w:color w:val="000000" w:themeColor="text1"/>
              </w:rPr>
              <w:t>79</w:t>
            </w:r>
          </w:p>
        </w:tc>
      </w:tr>
      <w:tr w:rsidR="00FA53C2" w14:paraId="2F10193C" w14:textId="77777777" w:rsidTr="00F35929">
        <w:tc>
          <w:tcPr>
            <w:tcW w:w="7110" w:type="dxa"/>
          </w:tcPr>
          <w:p w14:paraId="21BE717E" w14:textId="4FF18DAB"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Overweight</w:t>
            </w:r>
          </w:p>
        </w:tc>
        <w:tc>
          <w:tcPr>
            <w:tcW w:w="810" w:type="dxa"/>
          </w:tcPr>
          <w:p w14:paraId="2214ADD4" w14:textId="77777777" w:rsidR="00FA53C2" w:rsidRDefault="00FA53C2" w:rsidP="00F35929">
            <w:pPr>
              <w:rPr>
                <w:color w:val="000000" w:themeColor="text1"/>
              </w:rPr>
            </w:pPr>
            <w:r>
              <w:rPr>
                <w:color w:val="000000" w:themeColor="text1"/>
              </w:rPr>
              <w:t>53</w:t>
            </w:r>
          </w:p>
        </w:tc>
        <w:tc>
          <w:tcPr>
            <w:tcW w:w="1430" w:type="dxa"/>
          </w:tcPr>
          <w:p w14:paraId="0E5D5EF2" w14:textId="7607F2C1" w:rsidR="00FA53C2" w:rsidRDefault="00FA53C2" w:rsidP="00F35929">
            <w:pPr>
              <w:rPr>
                <w:color w:val="000000" w:themeColor="text1"/>
              </w:rPr>
            </w:pPr>
            <w:r>
              <w:rPr>
                <w:color w:val="000000" w:themeColor="text1"/>
              </w:rPr>
              <w:t>28</w:t>
            </w:r>
          </w:p>
        </w:tc>
      </w:tr>
      <w:tr w:rsidR="00FA53C2" w14:paraId="56F0D85C" w14:textId="77777777" w:rsidTr="00F35929">
        <w:tc>
          <w:tcPr>
            <w:tcW w:w="7110" w:type="dxa"/>
          </w:tcPr>
          <w:p w14:paraId="17A4CE2E" w14:textId="4EDD1C99" w:rsidR="00FA53C2" w:rsidRDefault="005F1C1C" w:rsidP="00F35929">
            <w:pPr>
              <w:rPr>
                <w:color w:val="000000" w:themeColor="text1"/>
              </w:rPr>
            </w:pPr>
            <w:r>
              <w:rPr>
                <w:color w:val="000000" w:themeColor="text1"/>
              </w:rPr>
              <w:t xml:space="preserve"> </w:t>
            </w:r>
            <w:r w:rsidR="003E0A38">
              <w:rPr>
                <w:color w:val="000000" w:themeColor="text1"/>
              </w:rPr>
              <w:t xml:space="preserve"> </w:t>
            </w:r>
            <w:r w:rsidR="00FA53C2">
              <w:rPr>
                <w:color w:val="000000" w:themeColor="text1"/>
              </w:rPr>
              <w:t>Obese</w:t>
            </w:r>
          </w:p>
        </w:tc>
        <w:tc>
          <w:tcPr>
            <w:tcW w:w="810" w:type="dxa"/>
          </w:tcPr>
          <w:p w14:paraId="28867F76" w14:textId="77777777" w:rsidR="00FA53C2" w:rsidRDefault="00FA53C2" w:rsidP="00F35929">
            <w:pPr>
              <w:rPr>
                <w:color w:val="000000" w:themeColor="text1"/>
              </w:rPr>
            </w:pPr>
            <w:r>
              <w:rPr>
                <w:color w:val="000000" w:themeColor="text1"/>
              </w:rPr>
              <w:t>76</w:t>
            </w:r>
          </w:p>
        </w:tc>
        <w:tc>
          <w:tcPr>
            <w:tcW w:w="1430" w:type="dxa"/>
          </w:tcPr>
          <w:p w14:paraId="4AD48B4D" w14:textId="4A7C3096" w:rsidR="00FA53C2" w:rsidRDefault="00FA53C2" w:rsidP="00F35929">
            <w:pPr>
              <w:rPr>
                <w:color w:val="000000" w:themeColor="text1"/>
              </w:rPr>
            </w:pPr>
            <w:r>
              <w:rPr>
                <w:color w:val="000000" w:themeColor="text1"/>
              </w:rPr>
              <w:t>40</w:t>
            </w:r>
          </w:p>
        </w:tc>
      </w:tr>
    </w:tbl>
    <w:p w14:paraId="70A9193C" w14:textId="77777777" w:rsidR="00FA53C2" w:rsidRDefault="00FA53C2" w:rsidP="00FA53C2">
      <w:pPr>
        <w:rPr>
          <w:color w:val="000000" w:themeColor="text1"/>
        </w:rPr>
      </w:pPr>
      <w:proofErr w:type="spellStart"/>
      <w:r w:rsidRPr="003E0A38">
        <w:rPr>
          <w:color w:val="000000" w:themeColor="text1"/>
          <w:vertAlign w:val="superscript"/>
        </w:rPr>
        <w:t>a</w:t>
      </w:r>
      <w:r>
        <w:rPr>
          <w:color w:val="000000" w:themeColor="text1"/>
        </w:rPr>
        <w:t>Only</w:t>
      </w:r>
      <w:proofErr w:type="spellEnd"/>
      <w:r>
        <w:rPr>
          <w:color w:val="000000" w:themeColor="text1"/>
        </w:rPr>
        <w:t xml:space="preserve"> participants who reported their height and weight were included (</w:t>
      </w:r>
      <w:r>
        <w:rPr>
          <w:i/>
          <w:iCs/>
          <w:color w:val="000000" w:themeColor="text1"/>
        </w:rPr>
        <w:t>N</w:t>
      </w:r>
      <w:r>
        <w:rPr>
          <w:color w:val="000000" w:themeColor="text1"/>
        </w:rPr>
        <w:t xml:space="preserve"> = 188)</w:t>
      </w:r>
    </w:p>
    <w:p w14:paraId="223A0E81" w14:textId="77777777" w:rsidR="00FA53C2" w:rsidRPr="00F001D6" w:rsidRDefault="00FA53C2" w:rsidP="00FA53C2">
      <w:pPr>
        <w:rPr>
          <w:color w:val="000000" w:themeColor="text1"/>
        </w:rPr>
      </w:pPr>
    </w:p>
    <w:p w14:paraId="081DE5FB" w14:textId="77777777" w:rsidR="003E0A38" w:rsidRDefault="003E0A38" w:rsidP="00FA53C2">
      <w:pPr>
        <w:spacing w:line="480" w:lineRule="auto"/>
        <w:rPr>
          <w:b/>
          <w:bCs/>
          <w:color w:val="000000" w:themeColor="text1"/>
        </w:rPr>
      </w:pPr>
    </w:p>
    <w:p w14:paraId="0FE93EE7" w14:textId="77777777" w:rsidR="00327996" w:rsidRDefault="00327996" w:rsidP="00FA53C2">
      <w:pPr>
        <w:spacing w:line="480" w:lineRule="auto"/>
        <w:rPr>
          <w:b/>
          <w:bCs/>
          <w:color w:val="000000" w:themeColor="text1"/>
        </w:rPr>
      </w:pPr>
    </w:p>
    <w:p w14:paraId="74794C84" w14:textId="77777777" w:rsidR="00327996" w:rsidRDefault="00327996" w:rsidP="00FA53C2">
      <w:pPr>
        <w:spacing w:line="480" w:lineRule="auto"/>
        <w:rPr>
          <w:b/>
          <w:bCs/>
          <w:color w:val="000000" w:themeColor="text1"/>
        </w:rPr>
      </w:pPr>
    </w:p>
    <w:p w14:paraId="05DC540A" w14:textId="77777777" w:rsidR="00327996" w:rsidRDefault="00327996" w:rsidP="00FA53C2">
      <w:pPr>
        <w:spacing w:line="480" w:lineRule="auto"/>
        <w:rPr>
          <w:b/>
          <w:bCs/>
          <w:color w:val="000000" w:themeColor="text1"/>
        </w:rPr>
      </w:pPr>
    </w:p>
    <w:p w14:paraId="7CFB25C0" w14:textId="77777777" w:rsidR="00327996" w:rsidRDefault="00327996" w:rsidP="00FA53C2">
      <w:pPr>
        <w:spacing w:line="480" w:lineRule="auto"/>
        <w:rPr>
          <w:b/>
          <w:bCs/>
          <w:color w:val="000000" w:themeColor="text1"/>
        </w:rPr>
      </w:pPr>
    </w:p>
    <w:p w14:paraId="01781CE4" w14:textId="7090C5A4" w:rsidR="00FA53C2" w:rsidRPr="00F001D6" w:rsidRDefault="00FA53C2" w:rsidP="00FA53C2">
      <w:pPr>
        <w:spacing w:line="480" w:lineRule="auto"/>
        <w:rPr>
          <w:b/>
          <w:bCs/>
          <w:color w:val="000000" w:themeColor="text1"/>
        </w:rPr>
      </w:pPr>
      <w:r>
        <w:rPr>
          <w:b/>
          <w:bCs/>
          <w:color w:val="000000" w:themeColor="text1"/>
        </w:rPr>
        <w:lastRenderedPageBreak/>
        <w:t>Discriminatory Stress</w:t>
      </w:r>
    </w:p>
    <w:p w14:paraId="77F8F52C" w14:textId="5770A6D2" w:rsidR="00FA53C2" w:rsidRDefault="00FA53C2" w:rsidP="00FA53C2">
      <w:pPr>
        <w:spacing w:line="480" w:lineRule="auto"/>
        <w:rPr>
          <w:color w:val="000000" w:themeColor="text1"/>
        </w:rPr>
      </w:pPr>
      <w:r w:rsidRPr="00F001D6">
        <w:rPr>
          <w:color w:val="000000" w:themeColor="text1"/>
        </w:rPr>
        <w:tab/>
      </w:r>
      <w:r>
        <w:rPr>
          <w:color w:val="000000" w:themeColor="text1"/>
        </w:rPr>
        <w:t>The Schedule of Racist Events</w:t>
      </w:r>
      <w:r w:rsidR="001D5E88">
        <w:rPr>
          <w:color w:val="000000" w:themeColor="text1"/>
        </w:rPr>
        <w:t>-</w:t>
      </w:r>
      <w:r w:rsidR="003E0A38">
        <w:rPr>
          <w:color w:val="000000" w:themeColor="text1"/>
        </w:rPr>
        <w:t>Generic</w:t>
      </w:r>
      <w:r>
        <w:rPr>
          <w:color w:val="000000" w:themeColor="text1"/>
        </w:rPr>
        <w:t xml:space="preserve"> (SRE</w:t>
      </w:r>
      <w:r w:rsidR="007B75A6">
        <w:rPr>
          <w:color w:val="000000" w:themeColor="text1"/>
        </w:rPr>
        <w:t>-</w:t>
      </w:r>
      <w:r w:rsidR="003E0A38">
        <w:rPr>
          <w:color w:val="000000" w:themeColor="text1"/>
        </w:rPr>
        <w:t>G</w:t>
      </w:r>
      <w:r>
        <w:rPr>
          <w:color w:val="000000" w:themeColor="text1"/>
        </w:rPr>
        <w:t>) was used to examine participants</w:t>
      </w:r>
      <w:r w:rsidR="00B36965">
        <w:rPr>
          <w:color w:val="000000" w:themeColor="text1"/>
        </w:rPr>
        <w:t>’</w:t>
      </w:r>
      <w:r>
        <w:rPr>
          <w:color w:val="000000" w:themeColor="text1"/>
        </w:rPr>
        <w:t xml:space="preserve"> encounters with discrimination from the past year (recent), over their lifetime, and the apprais</w:t>
      </w:r>
      <w:r w:rsidR="00F63B40">
        <w:rPr>
          <w:color w:val="000000" w:themeColor="text1"/>
        </w:rPr>
        <w:t>ed stressfulness</w:t>
      </w:r>
      <w:r>
        <w:rPr>
          <w:color w:val="000000" w:themeColor="text1"/>
        </w:rPr>
        <w:t xml:space="preserve"> of the events.</w:t>
      </w:r>
      <w:r w:rsidR="005F1C1C">
        <w:rPr>
          <w:color w:val="000000" w:themeColor="text1"/>
        </w:rPr>
        <w:t xml:space="preserve"> </w:t>
      </w:r>
      <w:r>
        <w:rPr>
          <w:color w:val="000000" w:themeColor="text1"/>
        </w:rPr>
        <w:t xml:space="preserve">The recent and lifetime </w:t>
      </w:r>
      <w:r w:rsidRPr="003E0A38">
        <w:rPr>
          <w:color w:val="000000" w:themeColor="text1"/>
        </w:rPr>
        <w:t>SRE</w:t>
      </w:r>
      <w:r w:rsidR="001D5E88">
        <w:rPr>
          <w:color w:val="000000" w:themeColor="text1"/>
        </w:rPr>
        <w:t>-</w:t>
      </w:r>
      <w:r w:rsidR="003E0A38">
        <w:rPr>
          <w:color w:val="000000" w:themeColor="text1"/>
        </w:rPr>
        <w:t xml:space="preserve">G </w:t>
      </w:r>
      <w:r>
        <w:rPr>
          <w:color w:val="000000" w:themeColor="text1"/>
        </w:rPr>
        <w:t>subscale</w:t>
      </w:r>
      <w:r w:rsidR="00060E48">
        <w:rPr>
          <w:color w:val="000000" w:themeColor="text1"/>
        </w:rPr>
        <w:t xml:space="preserve"> scores</w:t>
      </w:r>
      <w:r>
        <w:rPr>
          <w:color w:val="000000" w:themeColor="text1"/>
        </w:rPr>
        <w:t xml:space="preserve"> c</w:t>
      </w:r>
      <w:r w:rsidR="00060E48">
        <w:rPr>
          <w:color w:val="000000" w:themeColor="text1"/>
        </w:rPr>
        <w:t>an</w:t>
      </w:r>
      <w:r>
        <w:rPr>
          <w:color w:val="000000" w:themeColor="text1"/>
        </w:rPr>
        <w:t xml:space="preserve"> range from 18 to 108, and the appraisal subscale</w:t>
      </w:r>
      <w:r w:rsidR="00060E48">
        <w:rPr>
          <w:color w:val="000000" w:themeColor="text1"/>
        </w:rPr>
        <w:t xml:space="preserve"> scores</w:t>
      </w:r>
      <w:r>
        <w:rPr>
          <w:color w:val="000000" w:themeColor="text1"/>
        </w:rPr>
        <w:t xml:space="preserve"> c</w:t>
      </w:r>
      <w:r w:rsidR="00060E48">
        <w:rPr>
          <w:color w:val="000000" w:themeColor="text1"/>
        </w:rPr>
        <w:t>an</w:t>
      </w:r>
      <w:r>
        <w:rPr>
          <w:color w:val="000000" w:themeColor="text1"/>
        </w:rPr>
        <w:t xml:space="preserve"> range from 18 to 102. Participants reported an average</w:t>
      </w:r>
      <w:r w:rsidR="00060E48">
        <w:rPr>
          <w:color w:val="000000" w:themeColor="text1"/>
        </w:rPr>
        <w:t xml:space="preserve"> score</w:t>
      </w:r>
      <w:r>
        <w:rPr>
          <w:color w:val="000000" w:themeColor="text1"/>
        </w:rPr>
        <w:t xml:space="preserve"> of 36.50 (</w:t>
      </w:r>
      <w:r>
        <w:rPr>
          <w:i/>
          <w:iCs/>
          <w:color w:val="000000" w:themeColor="text1"/>
        </w:rPr>
        <w:t xml:space="preserve">SD </w:t>
      </w:r>
      <w:r>
        <w:rPr>
          <w:color w:val="000000" w:themeColor="text1"/>
        </w:rPr>
        <w:t>= 14.1; range = 18.0–104.0) for recent and 45.21 (</w:t>
      </w:r>
      <w:r>
        <w:rPr>
          <w:i/>
          <w:iCs/>
          <w:color w:val="000000" w:themeColor="text1"/>
        </w:rPr>
        <w:t xml:space="preserve">SD </w:t>
      </w:r>
      <w:r>
        <w:rPr>
          <w:color w:val="000000" w:themeColor="text1"/>
        </w:rPr>
        <w:t>= 15.80; range = 18</w:t>
      </w:r>
      <w:r w:rsidR="003E0A38">
        <w:rPr>
          <w:color w:val="000000" w:themeColor="text1"/>
        </w:rPr>
        <w:t>–</w:t>
      </w:r>
      <w:r>
        <w:rPr>
          <w:color w:val="000000" w:themeColor="text1"/>
        </w:rPr>
        <w:t>103) for lifetime discriminatory encounters, and their perceived stressfulness was an average of 58.27 (</w:t>
      </w:r>
      <w:r>
        <w:rPr>
          <w:i/>
          <w:iCs/>
          <w:color w:val="000000" w:themeColor="text1"/>
        </w:rPr>
        <w:t>SD</w:t>
      </w:r>
      <w:r w:rsidR="005F1C1C">
        <w:rPr>
          <w:i/>
          <w:iCs/>
          <w:color w:val="000000" w:themeColor="text1"/>
        </w:rPr>
        <w:t xml:space="preserve"> </w:t>
      </w:r>
      <w:r>
        <w:rPr>
          <w:color w:val="000000" w:themeColor="text1"/>
        </w:rPr>
        <w:t>= 22.95; range = 17</w:t>
      </w:r>
      <w:r w:rsidR="003E0A38">
        <w:rPr>
          <w:color w:val="000000" w:themeColor="text1"/>
        </w:rPr>
        <w:t>–</w:t>
      </w:r>
      <w:r>
        <w:rPr>
          <w:color w:val="000000" w:themeColor="text1"/>
        </w:rPr>
        <w:t xml:space="preserve">102). </w:t>
      </w:r>
      <w:r w:rsidR="00D73C09">
        <w:rPr>
          <w:color w:val="000000" w:themeColor="text1"/>
        </w:rPr>
        <w:t>The p</w:t>
      </w:r>
      <w:r w:rsidR="00F36EE3">
        <w:rPr>
          <w:color w:val="000000" w:themeColor="text1"/>
        </w:rPr>
        <w:t>e</w:t>
      </w:r>
      <w:r w:rsidR="00081FA1">
        <w:rPr>
          <w:color w:val="000000" w:themeColor="text1"/>
        </w:rPr>
        <w:t xml:space="preserve">rcentage of the sample </w:t>
      </w:r>
      <w:r w:rsidR="008C389C">
        <w:rPr>
          <w:color w:val="000000" w:themeColor="text1"/>
        </w:rPr>
        <w:t xml:space="preserve">that reported </w:t>
      </w:r>
      <w:r w:rsidR="00B80458">
        <w:rPr>
          <w:color w:val="000000" w:themeColor="text1"/>
        </w:rPr>
        <w:t xml:space="preserve">experiencing specific </w:t>
      </w:r>
      <w:r w:rsidR="005D64D1">
        <w:rPr>
          <w:color w:val="000000" w:themeColor="text1"/>
        </w:rPr>
        <w:t>recent</w:t>
      </w:r>
      <w:r w:rsidR="001262BB">
        <w:rPr>
          <w:color w:val="000000" w:themeColor="text1"/>
        </w:rPr>
        <w:t xml:space="preserve"> and lifetime</w:t>
      </w:r>
      <w:r w:rsidR="005D64D1">
        <w:rPr>
          <w:color w:val="000000" w:themeColor="text1"/>
        </w:rPr>
        <w:t xml:space="preserve"> </w:t>
      </w:r>
      <w:r w:rsidR="00CF68C6">
        <w:rPr>
          <w:color w:val="000000" w:themeColor="text1"/>
        </w:rPr>
        <w:t>discriminatory</w:t>
      </w:r>
      <w:r w:rsidR="001262BB">
        <w:rPr>
          <w:color w:val="000000" w:themeColor="text1"/>
        </w:rPr>
        <w:t xml:space="preserve"> events</w:t>
      </w:r>
      <w:r w:rsidR="002120F7">
        <w:rPr>
          <w:color w:val="000000" w:themeColor="text1"/>
        </w:rPr>
        <w:t xml:space="preserve"> is listed in Tables 2 and </w:t>
      </w:r>
      <w:r w:rsidR="002440A6">
        <w:rPr>
          <w:color w:val="000000" w:themeColor="text1"/>
        </w:rPr>
        <w:t>3</w:t>
      </w:r>
      <w:r w:rsidR="00D73C09">
        <w:rPr>
          <w:color w:val="000000" w:themeColor="text1"/>
        </w:rPr>
        <w:t>,</w:t>
      </w:r>
      <w:r w:rsidR="002120F7">
        <w:rPr>
          <w:color w:val="000000" w:themeColor="text1"/>
        </w:rPr>
        <w:t xml:space="preserve"> </w:t>
      </w:r>
      <w:r>
        <w:rPr>
          <w:color w:val="000000" w:themeColor="text1"/>
        </w:rPr>
        <w:t xml:space="preserve">and </w:t>
      </w:r>
      <w:r w:rsidR="005F324E">
        <w:rPr>
          <w:color w:val="000000" w:themeColor="text1"/>
        </w:rPr>
        <w:t>the appraised stressfulness of th</w:t>
      </w:r>
      <w:r w:rsidR="00032480">
        <w:rPr>
          <w:color w:val="000000" w:themeColor="text1"/>
        </w:rPr>
        <w:t>ose</w:t>
      </w:r>
      <w:r w:rsidR="005F324E">
        <w:rPr>
          <w:color w:val="000000" w:themeColor="text1"/>
        </w:rPr>
        <w:t xml:space="preserve"> encou</w:t>
      </w:r>
      <w:r w:rsidR="00032480">
        <w:rPr>
          <w:color w:val="000000" w:themeColor="text1"/>
        </w:rPr>
        <w:t xml:space="preserve">nters is listed in </w:t>
      </w:r>
      <w:r w:rsidR="002440A6">
        <w:rPr>
          <w:color w:val="000000" w:themeColor="text1"/>
        </w:rPr>
        <w:t>Table 4</w:t>
      </w:r>
      <w:r>
        <w:rPr>
          <w:color w:val="000000" w:themeColor="text1"/>
        </w:rPr>
        <w:t xml:space="preserve">. </w:t>
      </w:r>
    </w:p>
    <w:p w14:paraId="43F6FD75" w14:textId="3B3DC7DC" w:rsidR="00AE286B" w:rsidRDefault="00AE286B" w:rsidP="00FA53C2">
      <w:pPr>
        <w:spacing w:line="480" w:lineRule="auto"/>
        <w:rPr>
          <w:color w:val="000000" w:themeColor="text1"/>
        </w:rPr>
      </w:pPr>
    </w:p>
    <w:p w14:paraId="4C290532" w14:textId="3D237558" w:rsidR="00AE286B" w:rsidRDefault="00AE286B" w:rsidP="00FA53C2">
      <w:pPr>
        <w:spacing w:line="480" w:lineRule="auto"/>
        <w:rPr>
          <w:color w:val="000000" w:themeColor="text1"/>
        </w:rPr>
      </w:pPr>
    </w:p>
    <w:p w14:paraId="1459869D" w14:textId="557FCC3E" w:rsidR="00AE286B" w:rsidRDefault="00AE286B" w:rsidP="00FA53C2">
      <w:pPr>
        <w:spacing w:line="480" w:lineRule="auto"/>
        <w:rPr>
          <w:color w:val="000000" w:themeColor="text1"/>
        </w:rPr>
      </w:pPr>
    </w:p>
    <w:p w14:paraId="22CB3EB7" w14:textId="2E775236" w:rsidR="00AE286B" w:rsidRDefault="00AE286B" w:rsidP="00FA53C2">
      <w:pPr>
        <w:spacing w:line="480" w:lineRule="auto"/>
        <w:rPr>
          <w:color w:val="000000" w:themeColor="text1"/>
        </w:rPr>
      </w:pPr>
    </w:p>
    <w:p w14:paraId="3299BCF5" w14:textId="6BF1525B" w:rsidR="00AE286B" w:rsidRDefault="00AE286B" w:rsidP="00FA53C2">
      <w:pPr>
        <w:spacing w:line="480" w:lineRule="auto"/>
        <w:rPr>
          <w:color w:val="000000" w:themeColor="text1"/>
        </w:rPr>
      </w:pPr>
    </w:p>
    <w:p w14:paraId="23F15FED" w14:textId="29610E3A" w:rsidR="00AE286B" w:rsidRDefault="00AE286B" w:rsidP="00FA53C2">
      <w:pPr>
        <w:spacing w:line="480" w:lineRule="auto"/>
        <w:rPr>
          <w:color w:val="000000" w:themeColor="text1"/>
        </w:rPr>
      </w:pPr>
    </w:p>
    <w:p w14:paraId="0B6BA2A3" w14:textId="1A282529" w:rsidR="00AE286B" w:rsidRDefault="00AE286B" w:rsidP="00FA53C2">
      <w:pPr>
        <w:spacing w:line="480" w:lineRule="auto"/>
        <w:rPr>
          <w:color w:val="000000" w:themeColor="text1"/>
        </w:rPr>
      </w:pPr>
    </w:p>
    <w:p w14:paraId="11264C5F" w14:textId="0C27BE94" w:rsidR="00AE286B" w:rsidRDefault="00AE286B" w:rsidP="00FA53C2">
      <w:pPr>
        <w:spacing w:line="480" w:lineRule="auto"/>
        <w:rPr>
          <w:color w:val="000000" w:themeColor="text1"/>
        </w:rPr>
      </w:pPr>
    </w:p>
    <w:p w14:paraId="6BC6DF26" w14:textId="4BA0778C" w:rsidR="00AE286B" w:rsidRDefault="00AE286B" w:rsidP="00FA53C2">
      <w:pPr>
        <w:spacing w:line="480" w:lineRule="auto"/>
        <w:rPr>
          <w:color w:val="000000" w:themeColor="text1"/>
        </w:rPr>
      </w:pPr>
    </w:p>
    <w:p w14:paraId="66171996" w14:textId="52C2362F" w:rsidR="00AE286B" w:rsidRDefault="00AE286B" w:rsidP="00FA53C2">
      <w:pPr>
        <w:spacing w:line="480" w:lineRule="auto"/>
        <w:rPr>
          <w:color w:val="000000" w:themeColor="text1"/>
        </w:rPr>
      </w:pPr>
    </w:p>
    <w:p w14:paraId="7FA58F7F" w14:textId="1E0A726E" w:rsidR="00AE286B" w:rsidRDefault="00AE286B" w:rsidP="00FA53C2">
      <w:pPr>
        <w:spacing w:line="480" w:lineRule="auto"/>
        <w:rPr>
          <w:color w:val="000000" w:themeColor="text1"/>
        </w:rPr>
      </w:pPr>
    </w:p>
    <w:p w14:paraId="11D4958B" w14:textId="37A68A1C" w:rsidR="00AE286B" w:rsidRDefault="00AE286B" w:rsidP="00FA53C2">
      <w:pPr>
        <w:spacing w:line="480" w:lineRule="auto"/>
        <w:rPr>
          <w:color w:val="000000" w:themeColor="text1"/>
        </w:rPr>
      </w:pPr>
    </w:p>
    <w:p w14:paraId="63A28C76" w14:textId="77777777" w:rsidR="003F3EB9" w:rsidRDefault="003F3EB9" w:rsidP="00FA53C2">
      <w:pPr>
        <w:spacing w:line="480" w:lineRule="auto"/>
        <w:rPr>
          <w:color w:val="000000" w:themeColor="text1"/>
        </w:rPr>
        <w:sectPr w:rsidR="003F3EB9" w:rsidSect="00F71A79">
          <w:footerReference w:type="default" r:id="rId10"/>
          <w:pgSz w:w="12240" w:h="15840"/>
          <w:pgMar w:top="1440" w:right="1440" w:bottom="1440" w:left="1440" w:header="720" w:footer="720" w:gutter="0"/>
          <w:pgNumType w:start="1"/>
          <w:cols w:space="720"/>
          <w:docGrid w:linePitch="360"/>
        </w:sectPr>
      </w:pPr>
    </w:p>
    <w:p w14:paraId="3481C862" w14:textId="62B8B91E" w:rsidR="00AE286B" w:rsidRDefault="00AE286B" w:rsidP="00FA53C2">
      <w:pPr>
        <w:spacing w:line="480" w:lineRule="auto"/>
        <w:rPr>
          <w:color w:val="000000" w:themeColor="text1"/>
        </w:rPr>
      </w:pPr>
    </w:p>
    <w:p w14:paraId="24E2887B" w14:textId="77777777" w:rsidR="00FA53C2" w:rsidRDefault="00FA53C2" w:rsidP="003F3EB9">
      <w:pPr>
        <w:spacing w:line="480" w:lineRule="auto"/>
        <w:rPr>
          <w:color w:val="000000" w:themeColor="text1"/>
        </w:rPr>
      </w:pPr>
      <w:r>
        <w:rPr>
          <w:b/>
          <w:bCs/>
          <w:color w:val="000000" w:themeColor="text1"/>
        </w:rPr>
        <w:t>Table 2</w:t>
      </w:r>
    </w:p>
    <w:p w14:paraId="219AA07D" w14:textId="40F353F9" w:rsidR="00FA53C2" w:rsidRDefault="00C0140B" w:rsidP="003F3EB9">
      <w:pPr>
        <w:rPr>
          <w:color w:val="000000" w:themeColor="text1"/>
        </w:rPr>
      </w:pPr>
      <w:r>
        <w:rPr>
          <w:i/>
          <w:iCs/>
          <w:color w:val="000000" w:themeColor="text1"/>
        </w:rPr>
        <w:t>Percentage of Sample Reporting</w:t>
      </w:r>
      <w:r w:rsidR="003F10F3">
        <w:rPr>
          <w:i/>
          <w:iCs/>
          <w:color w:val="000000" w:themeColor="text1"/>
        </w:rPr>
        <w:t xml:space="preserve"> </w:t>
      </w:r>
      <w:r w:rsidR="00DD0AD1">
        <w:rPr>
          <w:i/>
          <w:iCs/>
          <w:color w:val="000000" w:themeColor="text1"/>
        </w:rPr>
        <w:t>Specific Discriminatory E</w:t>
      </w:r>
      <w:r w:rsidR="005215D1">
        <w:rPr>
          <w:i/>
          <w:iCs/>
          <w:color w:val="000000" w:themeColor="text1"/>
        </w:rPr>
        <w:t>vents</w:t>
      </w:r>
      <w:r w:rsidR="00DD0AD1">
        <w:rPr>
          <w:i/>
          <w:iCs/>
          <w:color w:val="000000" w:themeColor="text1"/>
        </w:rPr>
        <w:t xml:space="preserve"> </w:t>
      </w:r>
      <w:r w:rsidR="004A544A">
        <w:rPr>
          <w:i/>
          <w:iCs/>
          <w:color w:val="000000" w:themeColor="text1"/>
        </w:rPr>
        <w:t>(Recent</w:t>
      </w:r>
      <w:r w:rsidR="00DD0AD1">
        <w:rPr>
          <w:i/>
          <w:iCs/>
          <w:color w:val="000000" w:themeColor="text1"/>
        </w:rPr>
        <w:t>)</w:t>
      </w:r>
    </w:p>
    <w:tbl>
      <w:tblPr>
        <w:tblStyle w:val="TableGrid"/>
        <w:tblW w:w="11720" w:type="dxa"/>
        <w:tblInd w:w="-90" w:type="dxa"/>
        <w:tblLayout w:type="fixed"/>
        <w:tblLook w:val="04A0" w:firstRow="1" w:lastRow="0" w:firstColumn="1" w:lastColumn="0" w:noHBand="0" w:noVBand="1"/>
      </w:tblPr>
      <w:tblGrid>
        <w:gridCol w:w="2934"/>
        <w:gridCol w:w="1253"/>
        <w:gridCol w:w="211"/>
        <w:gridCol w:w="1042"/>
        <w:gridCol w:w="422"/>
        <w:gridCol w:w="832"/>
        <w:gridCol w:w="633"/>
        <w:gridCol w:w="620"/>
        <w:gridCol w:w="844"/>
        <w:gridCol w:w="410"/>
        <w:gridCol w:w="1054"/>
        <w:gridCol w:w="199"/>
        <w:gridCol w:w="1254"/>
        <w:gridCol w:w="12"/>
      </w:tblGrid>
      <w:tr w:rsidR="00DC0170" w:rsidRPr="002A15EB" w14:paraId="4F487C7C" w14:textId="77777777" w:rsidTr="003F3EB9">
        <w:trPr>
          <w:gridAfter w:val="1"/>
          <w:wAfter w:w="12" w:type="dxa"/>
        </w:trPr>
        <w:tc>
          <w:tcPr>
            <w:tcW w:w="2934" w:type="dxa"/>
            <w:tcBorders>
              <w:left w:val="nil"/>
              <w:bottom w:val="single" w:sz="4" w:space="0" w:color="auto"/>
              <w:right w:val="nil"/>
            </w:tcBorders>
            <w:vAlign w:val="center"/>
          </w:tcPr>
          <w:p w14:paraId="440BB207" w14:textId="08A658BB" w:rsidR="00021354" w:rsidRPr="003E0A38" w:rsidRDefault="00021354" w:rsidP="003F3EB9">
            <w:pPr>
              <w:jc w:val="center"/>
            </w:pPr>
            <w:r w:rsidRPr="003E0A38">
              <w:t>Item</w:t>
            </w:r>
          </w:p>
        </w:tc>
        <w:tc>
          <w:tcPr>
            <w:tcW w:w="1253" w:type="dxa"/>
            <w:tcBorders>
              <w:left w:val="nil"/>
              <w:bottom w:val="single" w:sz="4" w:space="0" w:color="auto"/>
              <w:right w:val="nil"/>
            </w:tcBorders>
            <w:vAlign w:val="center"/>
          </w:tcPr>
          <w:p w14:paraId="0FB98F7C" w14:textId="45C5ADB5" w:rsidR="00021354" w:rsidRPr="003E0A38" w:rsidRDefault="00D743A4" w:rsidP="003F3EB9">
            <w:pPr>
              <w:jc w:val="center"/>
            </w:pPr>
            <w:r>
              <w:t>No</w:t>
            </w:r>
          </w:p>
        </w:tc>
        <w:tc>
          <w:tcPr>
            <w:tcW w:w="1253" w:type="dxa"/>
            <w:gridSpan w:val="2"/>
            <w:tcBorders>
              <w:left w:val="nil"/>
              <w:bottom w:val="single" w:sz="4" w:space="0" w:color="auto"/>
              <w:right w:val="nil"/>
            </w:tcBorders>
          </w:tcPr>
          <w:p w14:paraId="1EE64CB3" w14:textId="4BA5CC99" w:rsidR="00DC0170" w:rsidRDefault="00DB438D" w:rsidP="003F3EB9">
            <w:pPr>
              <w:jc w:val="center"/>
            </w:pPr>
            <w:r>
              <w:t>&lt;</w:t>
            </w:r>
            <w:r w:rsidR="00021354" w:rsidRPr="003E0A38">
              <w:t>10%</w:t>
            </w:r>
            <w:r w:rsidR="00CE0192">
              <w:t xml:space="preserve"> </w:t>
            </w:r>
          </w:p>
          <w:p w14:paraId="5CC252D3" w14:textId="5ABCFA97" w:rsidR="00021354" w:rsidRPr="003E0A38" w:rsidRDefault="00021354" w:rsidP="003F3EB9">
            <w:pPr>
              <w:jc w:val="center"/>
            </w:pPr>
            <w:r w:rsidRPr="003E0A38">
              <w:t>of the time</w:t>
            </w:r>
          </w:p>
        </w:tc>
        <w:tc>
          <w:tcPr>
            <w:tcW w:w="1254" w:type="dxa"/>
            <w:gridSpan w:val="2"/>
            <w:tcBorders>
              <w:left w:val="nil"/>
              <w:bottom w:val="single" w:sz="4" w:space="0" w:color="auto"/>
              <w:right w:val="nil"/>
            </w:tcBorders>
          </w:tcPr>
          <w:p w14:paraId="6326CAF3" w14:textId="0860085A" w:rsidR="00021354" w:rsidRPr="003E0A38" w:rsidRDefault="00021354" w:rsidP="003F3EB9">
            <w:pPr>
              <w:jc w:val="center"/>
            </w:pPr>
            <w:r w:rsidRPr="003E0A38">
              <w:t>1</w:t>
            </w:r>
            <w:r w:rsidR="001F28D9" w:rsidRPr="003E0A38">
              <w:t>0</w:t>
            </w:r>
            <w:r w:rsidR="003674BE" w:rsidRPr="003E0A38">
              <w:t>–</w:t>
            </w:r>
            <w:r w:rsidRPr="003E0A38">
              <w:t>25%</w:t>
            </w:r>
          </w:p>
          <w:p w14:paraId="25F04D22" w14:textId="0B70D32A" w:rsidR="00010E78" w:rsidRPr="002A15EB" w:rsidRDefault="00010E78" w:rsidP="003F3EB9">
            <w:pPr>
              <w:jc w:val="center"/>
              <w:rPr>
                <w:i/>
                <w:iCs/>
              </w:rPr>
            </w:pPr>
            <w:r w:rsidRPr="003E0A38">
              <w:t>of the time</w:t>
            </w:r>
          </w:p>
        </w:tc>
        <w:tc>
          <w:tcPr>
            <w:tcW w:w="1253" w:type="dxa"/>
            <w:gridSpan w:val="2"/>
            <w:tcBorders>
              <w:left w:val="nil"/>
              <w:bottom w:val="single" w:sz="4" w:space="0" w:color="auto"/>
              <w:right w:val="nil"/>
            </w:tcBorders>
          </w:tcPr>
          <w:p w14:paraId="641FC708" w14:textId="672D1745" w:rsidR="00021354" w:rsidRPr="003E0A38" w:rsidRDefault="00021354" w:rsidP="003F3EB9">
            <w:pPr>
              <w:jc w:val="center"/>
            </w:pPr>
            <w:r w:rsidRPr="003E0A38">
              <w:t>26</w:t>
            </w:r>
            <w:r w:rsidR="00774854" w:rsidRPr="003E0A38">
              <w:t>–</w:t>
            </w:r>
            <w:r w:rsidRPr="003E0A38">
              <w:t>49%</w:t>
            </w:r>
          </w:p>
          <w:p w14:paraId="0ECBDB16" w14:textId="11167CBB" w:rsidR="00774854" w:rsidRPr="003E0A38" w:rsidRDefault="00774854" w:rsidP="003F3EB9">
            <w:pPr>
              <w:jc w:val="center"/>
            </w:pPr>
            <w:r w:rsidRPr="003E0A38">
              <w:t>of the time</w:t>
            </w:r>
          </w:p>
        </w:tc>
        <w:tc>
          <w:tcPr>
            <w:tcW w:w="1254" w:type="dxa"/>
            <w:gridSpan w:val="2"/>
            <w:tcBorders>
              <w:left w:val="nil"/>
              <w:bottom w:val="single" w:sz="4" w:space="0" w:color="auto"/>
              <w:right w:val="nil"/>
            </w:tcBorders>
          </w:tcPr>
          <w:p w14:paraId="7359EF7A" w14:textId="47E2A335" w:rsidR="00021354" w:rsidRPr="003E0A38" w:rsidRDefault="00021354" w:rsidP="003F3EB9">
            <w:pPr>
              <w:jc w:val="center"/>
            </w:pPr>
            <w:r w:rsidRPr="003E0A38">
              <w:t>50–70%</w:t>
            </w:r>
          </w:p>
          <w:p w14:paraId="3DA08447" w14:textId="5321E48B" w:rsidR="00021354" w:rsidRPr="003E0A38" w:rsidRDefault="00021354" w:rsidP="003F3EB9">
            <w:pPr>
              <w:jc w:val="center"/>
            </w:pPr>
            <w:r w:rsidRPr="003E0A38">
              <w:t>of the time</w:t>
            </w:r>
          </w:p>
        </w:tc>
        <w:tc>
          <w:tcPr>
            <w:tcW w:w="1253" w:type="dxa"/>
            <w:gridSpan w:val="2"/>
            <w:tcBorders>
              <w:left w:val="nil"/>
              <w:bottom w:val="single" w:sz="4" w:space="0" w:color="auto"/>
              <w:right w:val="nil"/>
            </w:tcBorders>
          </w:tcPr>
          <w:p w14:paraId="53ACE440" w14:textId="77777777" w:rsidR="00021354" w:rsidRPr="003E0A38" w:rsidRDefault="00021354" w:rsidP="003F3EB9">
            <w:pPr>
              <w:jc w:val="center"/>
            </w:pPr>
            <w:r w:rsidRPr="003E0A38">
              <w:t>&gt;70%</w:t>
            </w:r>
          </w:p>
          <w:p w14:paraId="51FF74DA" w14:textId="4A1DC723" w:rsidR="00021354" w:rsidRPr="003E0A38" w:rsidRDefault="00021354" w:rsidP="003F3EB9">
            <w:pPr>
              <w:jc w:val="center"/>
            </w:pPr>
            <w:r w:rsidRPr="003E0A38">
              <w:t>of the time</w:t>
            </w:r>
          </w:p>
        </w:tc>
        <w:tc>
          <w:tcPr>
            <w:tcW w:w="1254" w:type="dxa"/>
            <w:tcBorders>
              <w:left w:val="nil"/>
              <w:bottom w:val="single" w:sz="4" w:space="0" w:color="auto"/>
              <w:right w:val="nil"/>
            </w:tcBorders>
            <w:vAlign w:val="center"/>
          </w:tcPr>
          <w:p w14:paraId="5032BFF6" w14:textId="69A15206" w:rsidR="00021354" w:rsidRPr="003E0A38" w:rsidRDefault="00C80E47" w:rsidP="003F3EB9">
            <w:pPr>
              <w:jc w:val="center"/>
            </w:pPr>
            <w:r>
              <w:t>Yes</w:t>
            </w:r>
          </w:p>
        </w:tc>
      </w:tr>
      <w:tr w:rsidR="003705D9" w14:paraId="7482851F" w14:textId="77777777" w:rsidTr="003F3EB9">
        <w:trPr>
          <w:gridAfter w:val="1"/>
          <w:wAfter w:w="12" w:type="dxa"/>
        </w:trPr>
        <w:tc>
          <w:tcPr>
            <w:tcW w:w="2934" w:type="dxa"/>
            <w:tcBorders>
              <w:top w:val="single" w:sz="4" w:space="0" w:color="auto"/>
              <w:left w:val="nil"/>
              <w:bottom w:val="nil"/>
              <w:right w:val="nil"/>
            </w:tcBorders>
          </w:tcPr>
          <w:p w14:paraId="2ADC6ED3" w14:textId="17BCA1EE" w:rsidR="00021354" w:rsidRDefault="00021354" w:rsidP="003F3EB9">
            <w:r>
              <w:t xml:space="preserve">  1. Teachers/professors</w:t>
            </w:r>
          </w:p>
        </w:tc>
        <w:tc>
          <w:tcPr>
            <w:tcW w:w="1253" w:type="dxa"/>
            <w:tcBorders>
              <w:top w:val="single" w:sz="4" w:space="0" w:color="auto"/>
              <w:left w:val="nil"/>
              <w:bottom w:val="nil"/>
              <w:right w:val="nil"/>
            </w:tcBorders>
          </w:tcPr>
          <w:p w14:paraId="65945CF5" w14:textId="77777777" w:rsidR="00021354" w:rsidRDefault="00021354" w:rsidP="003F3EB9">
            <w:pPr>
              <w:jc w:val="center"/>
            </w:pPr>
            <w:r>
              <w:t>57.7</w:t>
            </w:r>
          </w:p>
        </w:tc>
        <w:tc>
          <w:tcPr>
            <w:tcW w:w="1253" w:type="dxa"/>
            <w:gridSpan w:val="2"/>
            <w:tcBorders>
              <w:top w:val="single" w:sz="4" w:space="0" w:color="auto"/>
              <w:left w:val="nil"/>
              <w:bottom w:val="nil"/>
              <w:right w:val="nil"/>
            </w:tcBorders>
          </w:tcPr>
          <w:p w14:paraId="07BF07B6" w14:textId="77777777" w:rsidR="00021354" w:rsidRDefault="00021354" w:rsidP="003F3EB9">
            <w:pPr>
              <w:jc w:val="center"/>
            </w:pPr>
            <w:r>
              <w:t>22.5</w:t>
            </w:r>
          </w:p>
        </w:tc>
        <w:tc>
          <w:tcPr>
            <w:tcW w:w="1254" w:type="dxa"/>
            <w:gridSpan w:val="2"/>
            <w:tcBorders>
              <w:top w:val="single" w:sz="4" w:space="0" w:color="auto"/>
              <w:left w:val="nil"/>
              <w:bottom w:val="nil"/>
              <w:right w:val="nil"/>
            </w:tcBorders>
          </w:tcPr>
          <w:p w14:paraId="46978963" w14:textId="77777777" w:rsidR="00021354" w:rsidRDefault="00021354" w:rsidP="003F3EB9">
            <w:pPr>
              <w:jc w:val="center"/>
            </w:pPr>
            <w:r>
              <w:t>14.4</w:t>
            </w:r>
          </w:p>
        </w:tc>
        <w:tc>
          <w:tcPr>
            <w:tcW w:w="1253" w:type="dxa"/>
            <w:gridSpan w:val="2"/>
            <w:tcBorders>
              <w:top w:val="single" w:sz="4" w:space="0" w:color="auto"/>
              <w:left w:val="nil"/>
              <w:bottom w:val="nil"/>
              <w:right w:val="nil"/>
            </w:tcBorders>
          </w:tcPr>
          <w:p w14:paraId="3E7E849D" w14:textId="77777777" w:rsidR="00021354" w:rsidRDefault="00021354" w:rsidP="003F3EB9">
            <w:pPr>
              <w:jc w:val="center"/>
            </w:pPr>
            <w:r>
              <w:t>3.6</w:t>
            </w:r>
          </w:p>
        </w:tc>
        <w:tc>
          <w:tcPr>
            <w:tcW w:w="1254" w:type="dxa"/>
            <w:gridSpan w:val="2"/>
            <w:tcBorders>
              <w:top w:val="single" w:sz="4" w:space="0" w:color="auto"/>
              <w:left w:val="nil"/>
              <w:bottom w:val="nil"/>
              <w:right w:val="nil"/>
            </w:tcBorders>
          </w:tcPr>
          <w:p w14:paraId="16B25939" w14:textId="77777777" w:rsidR="00021354" w:rsidRDefault="00021354" w:rsidP="003F3EB9">
            <w:pPr>
              <w:jc w:val="center"/>
            </w:pPr>
            <w:r>
              <w:t>0</w:t>
            </w:r>
          </w:p>
        </w:tc>
        <w:tc>
          <w:tcPr>
            <w:tcW w:w="1253" w:type="dxa"/>
            <w:gridSpan w:val="2"/>
            <w:tcBorders>
              <w:top w:val="single" w:sz="4" w:space="0" w:color="auto"/>
              <w:left w:val="nil"/>
              <w:bottom w:val="nil"/>
              <w:right w:val="nil"/>
            </w:tcBorders>
          </w:tcPr>
          <w:p w14:paraId="53159F8C" w14:textId="77777777" w:rsidR="00021354" w:rsidRDefault="00021354" w:rsidP="003F3EB9">
            <w:pPr>
              <w:jc w:val="center"/>
            </w:pPr>
            <w:r>
              <w:t>1.8</w:t>
            </w:r>
          </w:p>
        </w:tc>
        <w:tc>
          <w:tcPr>
            <w:tcW w:w="1254" w:type="dxa"/>
            <w:tcBorders>
              <w:top w:val="single" w:sz="4" w:space="0" w:color="auto"/>
              <w:left w:val="nil"/>
              <w:bottom w:val="nil"/>
              <w:right w:val="nil"/>
            </w:tcBorders>
          </w:tcPr>
          <w:p w14:paraId="7F968E67" w14:textId="77777777" w:rsidR="00021354" w:rsidRDefault="00021354" w:rsidP="003F3EB9">
            <w:pPr>
              <w:jc w:val="center"/>
            </w:pPr>
            <w:r>
              <w:t>42.3</w:t>
            </w:r>
          </w:p>
        </w:tc>
      </w:tr>
      <w:tr w:rsidR="003705D9" w14:paraId="21BC9FC6" w14:textId="77777777" w:rsidTr="003F3EB9">
        <w:trPr>
          <w:gridAfter w:val="1"/>
          <w:wAfter w:w="12" w:type="dxa"/>
        </w:trPr>
        <w:tc>
          <w:tcPr>
            <w:tcW w:w="2934" w:type="dxa"/>
            <w:tcBorders>
              <w:top w:val="nil"/>
              <w:left w:val="nil"/>
              <w:bottom w:val="nil"/>
              <w:right w:val="nil"/>
            </w:tcBorders>
          </w:tcPr>
          <w:p w14:paraId="4E39F0B2" w14:textId="1106295B" w:rsidR="00021354" w:rsidRDefault="00021354" w:rsidP="003F3EB9">
            <w:r>
              <w:t xml:space="preserve">  2. Employer/boss</w:t>
            </w:r>
          </w:p>
        </w:tc>
        <w:tc>
          <w:tcPr>
            <w:tcW w:w="1253" w:type="dxa"/>
            <w:tcBorders>
              <w:top w:val="nil"/>
              <w:left w:val="nil"/>
              <w:bottom w:val="nil"/>
              <w:right w:val="nil"/>
            </w:tcBorders>
          </w:tcPr>
          <w:p w14:paraId="1FD3AF03" w14:textId="77777777" w:rsidR="00021354" w:rsidRDefault="00021354" w:rsidP="003F3EB9">
            <w:pPr>
              <w:jc w:val="center"/>
            </w:pPr>
            <w:r>
              <w:t>49.1</w:t>
            </w:r>
          </w:p>
        </w:tc>
        <w:tc>
          <w:tcPr>
            <w:tcW w:w="1253" w:type="dxa"/>
            <w:gridSpan w:val="2"/>
            <w:tcBorders>
              <w:top w:val="nil"/>
              <w:left w:val="nil"/>
              <w:bottom w:val="nil"/>
              <w:right w:val="nil"/>
            </w:tcBorders>
          </w:tcPr>
          <w:p w14:paraId="16EDD178" w14:textId="77777777" w:rsidR="00021354" w:rsidRDefault="00021354" w:rsidP="003F3EB9">
            <w:pPr>
              <w:jc w:val="center"/>
            </w:pPr>
            <w:r>
              <w:t>25.2</w:t>
            </w:r>
          </w:p>
        </w:tc>
        <w:tc>
          <w:tcPr>
            <w:tcW w:w="1254" w:type="dxa"/>
            <w:gridSpan w:val="2"/>
            <w:tcBorders>
              <w:top w:val="nil"/>
              <w:left w:val="nil"/>
              <w:bottom w:val="nil"/>
              <w:right w:val="nil"/>
            </w:tcBorders>
          </w:tcPr>
          <w:p w14:paraId="3C89B818" w14:textId="77777777" w:rsidR="00021354" w:rsidRDefault="00021354" w:rsidP="003F3EB9">
            <w:pPr>
              <w:jc w:val="center"/>
            </w:pPr>
            <w:r>
              <w:t>14.0</w:t>
            </w:r>
          </w:p>
        </w:tc>
        <w:tc>
          <w:tcPr>
            <w:tcW w:w="1253" w:type="dxa"/>
            <w:gridSpan w:val="2"/>
            <w:tcBorders>
              <w:top w:val="nil"/>
              <w:left w:val="nil"/>
              <w:bottom w:val="nil"/>
              <w:right w:val="nil"/>
            </w:tcBorders>
          </w:tcPr>
          <w:p w14:paraId="0A683FD9" w14:textId="77777777" w:rsidR="00021354" w:rsidRDefault="00021354" w:rsidP="003F3EB9">
            <w:pPr>
              <w:jc w:val="center"/>
            </w:pPr>
            <w:r>
              <w:t>6.3</w:t>
            </w:r>
          </w:p>
        </w:tc>
        <w:tc>
          <w:tcPr>
            <w:tcW w:w="1254" w:type="dxa"/>
            <w:gridSpan w:val="2"/>
            <w:tcBorders>
              <w:top w:val="nil"/>
              <w:left w:val="nil"/>
              <w:bottom w:val="nil"/>
              <w:right w:val="nil"/>
            </w:tcBorders>
          </w:tcPr>
          <w:p w14:paraId="5C66141D" w14:textId="77777777" w:rsidR="00021354" w:rsidRDefault="00021354" w:rsidP="003F3EB9">
            <w:pPr>
              <w:jc w:val="center"/>
            </w:pPr>
            <w:r>
              <w:t>3.6</w:t>
            </w:r>
          </w:p>
        </w:tc>
        <w:tc>
          <w:tcPr>
            <w:tcW w:w="1253" w:type="dxa"/>
            <w:gridSpan w:val="2"/>
            <w:tcBorders>
              <w:top w:val="nil"/>
              <w:left w:val="nil"/>
              <w:bottom w:val="nil"/>
              <w:right w:val="nil"/>
            </w:tcBorders>
          </w:tcPr>
          <w:p w14:paraId="531E83C9" w14:textId="77777777" w:rsidR="00021354" w:rsidRDefault="00021354" w:rsidP="003F3EB9">
            <w:pPr>
              <w:jc w:val="center"/>
            </w:pPr>
            <w:r>
              <w:t>1.8</w:t>
            </w:r>
          </w:p>
        </w:tc>
        <w:tc>
          <w:tcPr>
            <w:tcW w:w="1254" w:type="dxa"/>
            <w:tcBorders>
              <w:top w:val="nil"/>
              <w:left w:val="nil"/>
              <w:bottom w:val="nil"/>
              <w:right w:val="nil"/>
            </w:tcBorders>
          </w:tcPr>
          <w:p w14:paraId="54B29B66" w14:textId="77777777" w:rsidR="00021354" w:rsidRDefault="00021354" w:rsidP="003F3EB9">
            <w:pPr>
              <w:jc w:val="center"/>
            </w:pPr>
            <w:r>
              <w:t>50.9</w:t>
            </w:r>
          </w:p>
        </w:tc>
      </w:tr>
      <w:tr w:rsidR="003705D9" w14:paraId="20A6266D" w14:textId="77777777" w:rsidTr="003F3EB9">
        <w:trPr>
          <w:gridAfter w:val="1"/>
          <w:wAfter w:w="12" w:type="dxa"/>
          <w:trHeight w:val="351"/>
        </w:trPr>
        <w:tc>
          <w:tcPr>
            <w:tcW w:w="2934" w:type="dxa"/>
            <w:tcBorders>
              <w:top w:val="nil"/>
              <w:left w:val="nil"/>
              <w:bottom w:val="nil"/>
              <w:right w:val="nil"/>
            </w:tcBorders>
          </w:tcPr>
          <w:p w14:paraId="5C4A2A1F" w14:textId="533F995C" w:rsidR="00021354" w:rsidRDefault="00021354" w:rsidP="003F3EB9">
            <w:r>
              <w:t xml:space="preserve">  3. Colleagues</w:t>
            </w:r>
          </w:p>
        </w:tc>
        <w:tc>
          <w:tcPr>
            <w:tcW w:w="1253" w:type="dxa"/>
            <w:tcBorders>
              <w:top w:val="nil"/>
              <w:left w:val="nil"/>
              <w:bottom w:val="nil"/>
              <w:right w:val="nil"/>
            </w:tcBorders>
          </w:tcPr>
          <w:p w14:paraId="243ED422" w14:textId="77777777" w:rsidR="00021354" w:rsidRDefault="00021354" w:rsidP="003F3EB9">
            <w:pPr>
              <w:jc w:val="center"/>
            </w:pPr>
            <w:r>
              <w:t>36.5</w:t>
            </w:r>
          </w:p>
        </w:tc>
        <w:tc>
          <w:tcPr>
            <w:tcW w:w="1253" w:type="dxa"/>
            <w:gridSpan w:val="2"/>
            <w:tcBorders>
              <w:top w:val="nil"/>
              <w:left w:val="nil"/>
              <w:bottom w:val="nil"/>
              <w:right w:val="nil"/>
            </w:tcBorders>
          </w:tcPr>
          <w:p w14:paraId="195CF345" w14:textId="77777777" w:rsidR="00021354" w:rsidRDefault="00021354" w:rsidP="003F3EB9">
            <w:pPr>
              <w:jc w:val="center"/>
            </w:pPr>
            <w:r>
              <w:t>23.4</w:t>
            </w:r>
          </w:p>
        </w:tc>
        <w:tc>
          <w:tcPr>
            <w:tcW w:w="1254" w:type="dxa"/>
            <w:gridSpan w:val="2"/>
            <w:tcBorders>
              <w:top w:val="nil"/>
              <w:left w:val="nil"/>
              <w:bottom w:val="nil"/>
              <w:right w:val="nil"/>
            </w:tcBorders>
          </w:tcPr>
          <w:p w14:paraId="1DED6C85" w14:textId="77777777" w:rsidR="00021354" w:rsidRDefault="00021354" w:rsidP="003F3EB9">
            <w:pPr>
              <w:jc w:val="center"/>
            </w:pPr>
            <w:r>
              <w:t>24.3</w:t>
            </w:r>
          </w:p>
        </w:tc>
        <w:tc>
          <w:tcPr>
            <w:tcW w:w="1253" w:type="dxa"/>
            <w:gridSpan w:val="2"/>
            <w:tcBorders>
              <w:top w:val="nil"/>
              <w:left w:val="nil"/>
              <w:bottom w:val="nil"/>
              <w:right w:val="nil"/>
            </w:tcBorders>
          </w:tcPr>
          <w:p w14:paraId="3868E49D" w14:textId="77777777" w:rsidR="00021354" w:rsidRDefault="00021354" w:rsidP="003F3EB9">
            <w:pPr>
              <w:jc w:val="center"/>
            </w:pPr>
            <w:r>
              <w:t>10.8</w:t>
            </w:r>
          </w:p>
        </w:tc>
        <w:tc>
          <w:tcPr>
            <w:tcW w:w="1254" w:type="dxa"/>
            <w:gridSpan w:val="2"/>
            <w:tcBorders>
              <w:top w:val="nil"/>
              <w:left w:val="nil"/>
              <w:bottom w:val="nil"/>
              <w:right w:val="nil"/>
            </w:tcBorders>
          </w:tcPr>
          <w:p w14:paraId="2B171AA7" w14:textId="77777777" w:rsidR="00021354" w:rsidRDefault="00021354" w:rsidP="003F3EB9">
            <w:pPr>
              <w:jc w:val="center"/>
            </w:pPr>
            <w:r>
              <w:t>2.7</w:t>
            </w:r>
          </w:p>
        </w:tc>
        <w:tc>
          <w:tcPr>
            <w:tcW w:w="1253" w:type="dxa"/>
            <w:gridSpan w:val="2"/>
            <w:tcBorders>
              <w:top w:val="nil"/>
              <w:left w:val="nil"/>
              <w:bottom w:val="nil"/>
              <w:right w:val="nil"/>
            </w:tcBorders>
          </w:tcPr>
          <w:p w14:paraId="30663450" w14:textId="77777777" w:rsidR="00021354" w:rsidRDefault="00021354" w:rsidP="003F3EB9">
            <w:pPr>
              <w:jc w:val="center"/>
            </w:pPr>
            <w:r>
              <w:t>2.3</w:t>
            </w:r>
          </w:p>
        </w:tc>
        <w:tc>
          <w:tcPr>
            <w:tcW w:w="1254" w:type="dxa"/>
            <w:tcBorders>
              <w:top w:val="nil"/>
              <w:left w:val="nil"/>
              <w:bottom w:val="nil"/>
              <w:right w:val="nil"/>
            </w:tcBorders>
          </w:tcPr>
          <w:p w14:paraId="5BF1AB04" w14:textId="77777777" w:rsidR="00021354" w:rsidRDefault="00021354" w:rsidP="003F3EB9">
            <w:pPr>
              <w:jc w:val="center"/>
            </w:pPr>
            <w:r>
              <w:t>63.5</w:t>
            </w:r>
          </w:p>
        </w:tc>
      </w:tr>
      <w:tr w:rsidR="003705D9" w14:paraId="2CBC85DF" w14:textId="77777777" w:rsidTr="003F3EB9">
        <w:trPr>
          <w:gridAfter w:val="1"/>
          <w:wAfter w:w="12" w:type="dxa"/>
        </w:trPr>
        <w:tc>
          <w:tcPr>
            <w:tcW w:w="2934" w:type="dxa"/>
            <w:tcBorders>
              <w:top w:val="nil"/>
              <w:left w:val="nil"/>
              <w:bottom w:val="nil"/>
              <w:right w:val="nil"/>
            </w:tcBorders>
          </w:tcPr>
          <w:p w14:paraId="211CEF21" w14:textId="08FF24CE" w:rsidR="00021354" w:rsidRDefault="00021354" w:rsidP="003F3EB9">
            <w:r>
              <w:t xml:space="preserve">  4. Service jobs</w:t>
            </w:r>
          </w:p>
        </w:tc>
        <w:tc>
          <w:tcPr>
            <w:tcW w:w="1253" w:type="dxa"/>
            <w:tcBorders>
              <w:top w:val="nil"/>
              <w:left w:val="nil"/>
              <w:bottom w:val="nil"/>
              <w:right w:val="nil"/>
            </w:tcBorders>
          </w:tcPr>
          <w:p w14:paraId="6E0E7C0F" w14:textId="77777777" w:rsidR="00021354" w:rsidRDefault="00021354" w:rsidP="003F3EB9">
            <w:pPr>
              <w:jc w:val="center"/>
            </w:pPr>
            <w:r>
              <w:t>28.4</w:t>
            </w:r>
          </w:p>
        </w:tc>
        <w:tc>
          <w:tcPr>
            <w:tcW w:w="1253" w:type="dxa"/>
            <w:gridSpan w:val="2"/>
            <w:tcBorders>
              <w:top w:val="nil"/>
              <w:left w:val="nil"/>
              <w:bottom w:val="nil"/>
              <w:right w:val="nil"/>
            </w:tcBorders>
          </w:tcPr>
          <w:p w14:paraId="3CBA38B2" w14:textId="77777777" w:rsidR="00021354" w:rsidRDefault="00021354" w:rsidP="003F3EB9">
            <w:pPr>
              <w:jc w:val="center"/>
            </w:pPr>
            <w:r>
              <w:t>36.5</w:t>
            </w:r>
          </w:p>
        </w:tc>
        <w:tc>
          <w:tcPr>
            <w:tcW w:w="1254" w:type="dxa"/>
            <w:gridSpan w:val="2"/>
            <w:tcBorders>
              <w:top w:val="nil"/>
              <w:left w:val="nil"/>
              <w:bottom w:val="nil"/>
              <w:right w:val="nil"/>
            </w:tcBorders>
          </w:tcPr>
          <w:p w14:paraId="4F1DD835" w14:textId="77777777" w:rsidR="00021354" w:rsidRDefault="00021354" w:rsidP="003F3EB9">
            <w:pPr>
              <w:jc w:val="center"/>
            </w:pPr>
            <w:r>
              <w:t>18.5</w:t>
            </w:r>
          </w:p>
        </w:tc>
        <w:tc>
          <w:tcPr>
            <w:tcW w:w="1253" w:type="dxa"/>
            <w:gridSpan w:val="2"/>
            <w:tcBorders>
              <w:top w:val="nil"/>
              <w:left w:val="nil"/>
              <w:bottom w:val="nil"/>
              <w:right w:val="nil"/>
            </w:tcBorders>
          </w:tcPr>
          <w:p w14:paraId="46FC5766" w14:textId="77777777" w:rsidR="00021354" w:rsidRDefault="00021354" w:rsidP="003F3EB9">
            <w:pPr>
              <w:jc w:val="center"/>
            </w:pPr>
            <w:r>
              <w:t>12.2</w:t>
            </w:r>
          </w:p>
        </w:tc>
        <w:tc>
          <w:tcPr>
            <w:tcW w:w="1254" w:type="dxa"/>
            <w:gridSpan w:val="2"/>
            <w:tcBorders>
              <w:top w:val="nil"/>
              <w:left w:val="nil"/>
              <w:bottom w:val="nil"/>
              <w:right w:val="nil"/>
            </w:tcBorders>
          </w:tcPr>
          <w:p w14:paraId="59B1BE58" w14:textId="77777777" w:rsidR="00021354" w:rsidRDefault="00021354" w:rsidP="003F3EB9">
            <w:pPr>
              <w:jc w:val="center"/>
            </w:pPr>
            <w:r>
              <w:t>3.2</w:t>
            </w:r>
          </w:p>
        </w:tc>
        <w:tc>
          <w:tcPr>
            <w:tcW w:w="1253" w:type="dxa"/>
            <w:gridSpan w:val="2"/>
            <w:tcBorders>
              <w:top w:val="nil"/>
              <w:left w:val="nil"/>
              <w:bottom w:val="nil"/>
              <w:right w:val="nil"/>
            </w:tcBorders>
          </w:tcPr>
          <w:p w14:paraId="12E00B17" w14:textId="77777777" w:rsidR="00021354" w:rsidRDefault="00021354" w:rsidP="003F3EB9">
            <w:pPr>
              <w:jc w:val="center"/>
            </w:pPr>
            <w:r>
              <w:t>1.4</w:t>
            </w:r>
          </w:p>
        </w:tc>
        <w:tc>
          <w:tcPr>
            <w:tcW w:w="1254" w:type="dxa"/>
            <w:tcBorders>
              <w:top w:val="nil"/>
              <w:left w:val="nil"/>
              <w:bottom w:val="nil"/>
              <w:right w:val="nil"/>
            </w:tcBorders>
          </w:tcPr>
          <w:p w14:paraId="38163205" w14:textId="77777777" w:rsidR="00021354" w:rsidRDefault="00021354" w:rsidP="003F3EB9">
            <w:pPr>
              <w:jc w:val="center"/>
            </w:pPr>
            <w:r>
              <w:t>71.6</w:t>
            </w:r>
          </w:p>
        </w:tc>
      </w:tr>
      <w:tr w:rsidR="003705D9" w14:paraId="39BB20B2" w14:textId="77777777" w:rsidTr="003F3EB9">
        <w:trPr>
          <w:gridAfter w:val="1"/>
          <w:wAfter w:w="12" w:type="dxa"/>
        </w:trPr>
        <w:tc>
          <w:tcPr>
            <w:tcW w:w="2934" w:type="dxa"/>
            <w:tcBorders>
              <w:top w:val="nil"/>
              <w:left w:val="nil"/>
              <w:bottom w:val="nil"/>
              <w:right w:val="nil"/>
            </w:tcBorders>
          </w:tcPr>
          <w:p w14:paraId="57687F72" w14:textId="2BBCEA2F" w:rsidR="00021354" w:rsidRDefault="00021354" w:rsidP="003F3EB9">
            <w:r>
              <w:t xml:space="preserve">  5. Strangers</w:t>
            </w:r>
          </w:p>
        </w:tc>
        <w:tc>
          <w:tcPr>
            <w:tcW w:w="1253" w:type="dxa"/>
            <w:tcBorders>
              <w:top w:val="nil"/>
              <w:left w:val="nil"/>
              <w:bottom w:val="nil"/>
              <w:right w:val="nil"/>
            </w:tcBorders>
          </w:tcPr>
          <w:p w14:paraId="5EEE2489" w14:textId="77777777" w:rsidR="00021354" w:rsidRDefault="00021354" w:rsidP="003F3EB9">
            <w:pPr>
              <w:jc w:val="center"/>
            </w:pPr>
            <w:r>
              <w:t>22.5</w:t>
            </w:r>
          </w:p>
        </w:tc>
        <w:tc>
          <w:tcPr>
            <w:tcW w:w="1253" w:type="dxa"/>
            <w:gridSpan w:val="2"/>
            <w:tcBorders>
              <w:top w:val="nil"/>
              <w:left w:val="nil"/>
              <w:bottom w:val="nil"/>
              <w:right w:val="nil"/>
            </w:tcBorders>
          </w:tcPr>
          <w:p w14:paraId="70FC79BA" w14:textId="77777777" w:rsidR="00021354" w:rsidRDefault="00021354" w:rsidP="003F3EB9">
            <w:pPr>
              <w:jc w:val="center"/>
            </w:pPr>
            <w:r>
              <w:t>29.3</w:t>
            </w:r>
          </w:p>
        </w:tc>
        <w:tc>
          <w:tcPr>
            <w:tcW w:w="1254" w:type="dxa"/>
            <w:gridSpan w:val="2"/>
            <w:tcBorders>
              <w:top w:val="nil"/>
              <w:left w:val="nil"/>
              <w:bottom w:val="nil"/>
              <w:right w:val="nil"/>
            </w:tcBorders>
          </w:tcPr>
          <w:p w14:paraId="20D6CC3C" w14:textId="77777777" w:rsidR="00021354" w:rsidRDefault="00021354" w:rsidP="003F3EB9">
            <w:pPr>
              <w:jc w:val="center"/>
            </w:pPr>
            <w:r>
              <w:t>29.7</w:t>
            </w:r>
          </w:p>
        </w:tc>
        <w:tc>
          <w:tcPr>
            <w:tcW w:w="1253" w:type="dxa"/>
            <w:gridSpan w:val="2"/>
            <w:tcBorders>
              <w:top w:val="nil"/>
              <w:left w:val="nil"/>
              <w:bottom w:val="nil"/>
              <w:right w:val="nil"/>
            </w:tcBorders>
          </w:tcPr>
          <w:p w14:paraId="6B65D06B" w14:textId="77777777" w:rsidR="00021354" w:rsidRDefault="00021354" w:rsidP="003F3EB9">
            <w:pPr>
              <w:jc w:val="center"/>
            </w:pPr>
            <w:r>
              <w:t>14.0</w:t>
            </w:r>
          </w:p>
        </w:tc>
        <w:tc>
          <w:tcPr>
            <w:tcW w:w="1254" w:type="dxa"/>
            <w:gridSpan w:val="2"/>
            <w:tcBorders>
              <w:top w:val="nil"/>
              <w:left w:val="nil"/>
              <w:bottom w:val="nil"/>
              <w:right w:val="nil"/>
            </w:tcBorders>
          </w:tcPr>
          <w:p w14:paraId="3BF982AC" w14:textId="77777777" w:rsidR="00021354" w:rsidRDefault="00021354" w:rsidP="003F3EB9">
            <w:pPr>
              <w:jc w:val="center"/>
            </w:pPr>
            <w:r>
              <w:t>3.2</w:t>
            </w:r>
          </w:p>
        </w:tc>
        <w:tc>
          <w:tcPr>
            <w:tcW w:w="1253" w:type="dxa"/>
            <w:gridSpan w:val="2"/>
            <w:tcBorders>
              <w:top w:val="nil"/>
              <w:left w:val="nil"/>
              <w:bottom w:val="nil"/>
              <w:right w:val="nil"/>
            </w:tcBorders>
          </w:tcPr>
          <w:p w14:paraId="6E16C63D" w14:textId="77777777" w:rsidR="00021354" w:rsidRDefault="00021354" w:rsidP="003F3EB9">
            <w:pPr>
              <w:jc w:val="center"/>
            </w:pPr>
            <w:r>
              <w:t>1.4</w:t>
            </w:r>
          </w:p>
        </w:tc>
        <w:tc>
          <w:tcPr>
            <w:tcW w:w="1254" w:type="dxa"/>
            <w:tcBorders>
              <w:top w:val="nil"/>
              <w:left w:val="nil"/>
              <w:bottom w:val="nil"/>
              <w:right w:val="nil"/>
            </w:tcBorders>
          </w:tcPr>
          <w:p w14:paraId="7AC0167B" w14:textId="77777777" w:rsidR="00021354" w:rsidRDefault="00021354" w:rsidP="003F3EB9">
            <w:pPr>
              <w:jc w:val="center"/>
            </w:pPr>
            <w:r>
              <w:t>77.5</w:t>
            </w:r>
          </w:p>
        </w:tc>
      </w:tr>
      <w:tr w:rsidR="003705D9" w14:paraId="0421FEA3" w14:textId="77777777" w:rsidTr="003F3EB9">
        <w:trPr>
          <w:gridAfter w:val="1"/>
          <w:wAfter w:w="12" w:type="dxa"/>
        </w:trPr>
        <w:tc>
          <w:tcPr>
            <w:tcW w:w="2934" w:type="dxa"/>
            <w:tcBorders>
              <w:top w:val="nil"/>
              <w:left w:val="nil"/>
              <w:bottom w:val="nil"/>
              <w:right w:val="nil"/>
            </w:tcBorders>
          </w:tcPr>
          <w:p w14:paraId="5AE22E38" w14:textId="3DD601D6" w:rsidR="00021354" w:rsidRDefault="00021354" w:rsidP="003F3EB9">
            <w:r>
              <w:t xml:space="preserve">  6. Helping</w:t>
            </w:r>
            <w:r w:rsidR="003E0A38">
              <w:t xml:space="preserve"> </w:t>
            </w:r>
            <w:r>
              <w:t>jobs</w:t>
            </w:r>
          </w:p>
        </w:tc>
        <w:tc>
          <w:tcPr>
            <w:tcW w:w="1253" w:type="dxa"/>
            <w:tcBorders>
              <w:top w:val="nil"/>
              <w:left w:val="nil"/>
              <w:bottom w:val="nil"/>
              <w:right w:val="nil"/>
            </w:tcBorders>
          </w:tcPr>
          <w:p w14:paraId="32140737" w14:textId="77777777" w:rsidR="00021354" w:rsidRDefault="00021354" w:rsidP="003F3EB9">
            <w:pPr>
              <w:jc w:val="center"/>
            </w:pPr>
            <w:r>
              <w:t>59.9</w:t>
            </w:r>
          </w:p>
        </w:tc>
        <w:tc>
          <w:tcPr>
            <w:tcW w:w="1253" w:type="dxa"/>
            <w:gridSpan w:val="2"/>
            <w:tcBorders>
              <w:top w:val="nil"/>
              <w:left w:val="nil"/>
              <w:bottom w:val="nil"/>
              <w:right w:val="nil"/>
            </w:tcBorders>
          </w:tcPr>
          <w:p w14:paraId="45659FE6" w14:textId="77777777" w:rsidR="00021354" w:rsidRDefault="00021354" w:rsidP="003F3EB9">
            <w:pPr>
              <w:jc w:val="center"/>
            </w:pPr>
            <w:r>
              <w:t>19.8</w:t>
            </w:r>
          </w:p>
        </w:tc>
        <w:tc>
          <w:tcPr>
            <w:tcW w:w="1254" w:type="dxa"/>
            <w:gridSpan w:val="2"/>
            <w:tcBorders>
              <w:top w:val="nil"/>
              <w:left w:val="nil"/>
              <w:bottom w:val="nil"/>
              <w:right w:val="nil"/>
            </w:tcBorders>
          </w:tcPr>
          <w:p w14:paraId="66B40901" w14:textId="77777777" w:rsidR="00021354" w:rsidRDefault="00021354" w:rsidP="003F3EB9">
            <w:pPr>
              <w:jc w:val="center"/>
            </w:pPr>
            <w:r>
              <w:t>13.1</w:t>
            </w:r>
          </w:p>
        </w:tc>
        <w:tc>
          <w:tcPr>
            <w:tcW w:w="1253" w:type="dxa"/>
            <w:gridSpan w:val="2"/>
            <w:tcBorders>
              <w:top w:val="nil"/>
              <w:left w:val="nil"/>
              <w:bottom w:val="nil"/>
              <w:right w:val="nil"/>
            </w:tcBorders>
          </w:tcPr>
          <w:p w14:paraId="23CA4C06" w14:textId="77777777" w:rsidR="00021354" w:rsidRDefault="00021354" w:rsidP="003F3EB9">
            <w:pPr>
              <w:jc w:val="center"/>
            </w:pPr>
            <w:r>
              <w:t>3.6</w:t>
            </w:r>
          </w:p>
        </w:tc>
        <w:tc>
          <w:tcPr>
            <w:tcW w:w="1254" w:type="dxa"/>
            <w:gridSpan w:val="2"/>
            <w:tcBorders>
              <w:top w:val="nil"/>
              <w:left w:val="nil"/>
              <w:bottom w:val="nil"/>
              <w:right w:val="nil"/>
            </w:tcBorders>
          </w:tcPr>
          <w:p w14:paraId="22D341CC" w14:textId="77777777" w:rsidR="00021354" w:rsidRDefault="00021354" w:rsidP="003F3EB9">
            <w:pPr>
              <w:jc w:val="center"/>
            </w:pPr>
            <w:r>
              <w:t>2.3</w:t>
            </w:r>
          </w:p>
        </w:tc>
        <w:tc>
          <w:tcPr>
            <w:tcW w:w="1253" w:type="dxa"/>
            <w:gridSpan w:val="2"/>
            <w:tcBorders>
              <w:top w:val="nil"/>
              <w:left w:val="nil"/>
              <w:bottom w:val="nil"/>
              <w:right w:val="nil"/>
            </w:tcBorders>
          </w:tcPr>
          <w:p w14:paraId="1D8FEAC1" w14:textId="77777777" w:rsidR="00021354" w:rsidRDefault="00021354" w:rsidP="003F3EB9">
            <w:pPr>
              <w:jc w:val="center"/>
            </w:pPr>
            <w:r>
              <w:t>1.8</w:t>
            </w:r>
          </w:p>
        </w:tc>
        <w:tc>
          <w:tcPr>
            <w:tcW w:w="1254" w:type="dxa"/>
            <w:tcBorders>
              <w:top w:val="nil"/>
              <w:left w:val="nil"/>
              <w:bottom w:val="nil"/>
              <w:right w:val="nil"/>
            </w:tcBorders>
          </w:tcPr>
          <w:p w14:paraId="352DB812" w14:textId="77777777" w:rsidR="00021354" w:rsidRDefault="00021354" w:rsidP="003F3EB9">
            <w:pPr>
              <w:jc w:val="center"/>
            </w:pPr>
            <w:r>
              <w:t>40.1</w:t>
            </w:r>
          </w:p>
        </w:tc>
      </w:tr>
      <w:tr w:rsidR="003705D9" w14:paraId="5511024C" w14:textId="77777777" w:rsidTr="003F3EB9">
        <w:trPr>
          <w:gridAfter w:val="1"/>
          <w:wAfter w:w="12" w:type="dxa"/>
        </w:trPr>
        <w:tc>
          <w:tcPr>
            <w:tcW w:w="2934" w:type="dxa"/>
            <w:tcBorders>
              <w:top w:val="nil"/>
              <w:left w:val="nil"/>
              <w:bottom w:val="nil"/>
              <w:right w:val="nil"/>
            </w:tcBorders>
          </w:tcPr>
          <w:p w14:paraId="27325862" w14:textId="5DB4393C" w:rsidR="00021354" w:rsidRDefault="00021354" w:rsidP="003F3EB9">
            <w:r>
              <w:t xml:space="preserve">  7. Neighbors</w:t>
            </w:r>
          </w:p>
        </w:tc>
        <w:tc>
          <w:tcPr>
            <w:tcW w:w="1253" w:type="dxa"/>
            <w:tcBorders>
              <w:top w:val="nil"/>
              <w:left w:val="nil"/>
              <w:bottom w:val="nil"/>
              <w:right w:val="nil"/>
            </w:tcBorders>
          </w:tcPr>
          <w:p w14:paraId="51755EAC" w14:textId="77777777" w:rsidR="00021354" w:rsidRDefault="00021354" w:rsidP="003F3EB9">
            <w:pPr>
              <w:jc w:val="center"/>
            </w:pPr>
            <w:r>
              <w:t>59.9</w:t>
            </w:r>
          </w:p>
        </w:tc>
        <w:tc>
          <w:tcPr>
            <w:tcW w:w="1253" w:type="dxa"/>
            <w:gridSpan w:val="2"/>
            <w:tcBorders>
              <w:top w:val="nil"/>
              <w:left w:val="nil"/>
              <w:bottom w:val="nil"/>
              <w:right w:val="nil"/>
            </w:tcBorders>
          </w:tcPr>
          <w:p w14:paraId="1EBDD9BB" w14:textId="77777777" w:rsidR="00021354" w:rsidRDefault="00021354" w:rsidP="003F3EB9">
            <w:pPr>
              <w:jc w:val="center"/>
            </w:pPr>
            <w:r>
              <w:t>23.0</w:t>
            </w:r>
          </w:p>
        </w:tc>
        <w:tc>
          <w:tcPr>
            <w:tcW w:w="1254" w:type="dxa"/>
            <w:gridSpan w:val="2"/>
            <w:tcBorders>
              <w:top w:val="nil"/>
              <w:left w:val="nil"/>
              <w:bottom w:val="nil"/>
              <w:right w:val="nil"/>
            </w:tcBorders>
          </w:tcPr>
          <w:p w14:paraId="7456AE53" w14:textId="77D22CF1" w:rsidR="00021354" w:rsidRDefault="002A5071" w:rsidP="003F3EB9">
            <w:pPr>
              <w:jc w:val="center"/>
            </w:pPr>
            <w:r>
              <w:t xml:space="preserve">  </w:t>
            </w:r>
            <w:r w:rsidR="00021354">
              <w:t>9.5</w:t>
            </w:r>
          </w:p>
        </w:tc>
        <w:tc>
          <w:tcPr>
            <w:tcW w:w="1253" w:type="dxa"/>
            <w:gridSpan w:val="2"/>
            <w:tcBorders>
              <w:top w:val="nil"/>
              <w:left w:val="nil"/>
              <w:bottom w:val="nil"/>
              <w:right w:val="nil"/>
            </w:tcBorders>
          </w:tcPr>
          <w:p w14:paraId="3C6AACB9" w14:textId="77777777" w:rsidR="00021354" w:rsidRDefault="00021354" w:rsidP="003F3EB9">
            <w:pPr>
              <w:jc w:val="center"/>
            </w:pPr>
            <w:r>
              <w:t>6.3</w:t>
            </w:r>
          </w:p>
        </w:tc>
        <w:tc>
          <w:tcPr>
            <w:tcW w:w="1254" w:type="dxa"/>
            <w:gridSpan w:val="2"/>
            <w:tcBorders>
              <w:top w:val="nil"/>
              <w:left w:val="nil"/>
              <w:bottom w:val="nil"/>
              <w:right w:val="nil"/>
            </w:tcBorders>
          </w:tcPr>
          <w:p w14:paraId="637117BC" w14:textId="77777777" w:rsidR="00021354" w:rsidRDefault="00021354" w:rsidP="003F3EB9">
            <w:pPr>
              <w:jc w:val="center"/>
            </w:pPr>
            <w:r>
              <w:t>0.9</w:t>
            </w:r>
          </w:p>
        </w:tc>
        <w:tc>
          <w:tcPr>
            <w:tcW w:w="1253" w:type="dxa"/>
            <w:gridSpan w:val="2"/>
            <w:tcBorders>
              <w:top w:val="nil"/>
              <w:left w:val="nil"/>
              <w:bottom w:val="nil"/>
              <w:right w:val="nil"/>
            </w:tcBorders>
          </w:tcPr>
          <w:p w14:paraId="04A88209" w14:textId="77777777" w:rsidR="00021354" w:rsidRDefault="00021354" w:rsidP="003F3EB9">
            <w:pPr>
              <w:jc w:val="center"/>
            </w:pPr>
            <w:r>
              <w:t>0.5</w:t>
            </w:r>
          </w:p>
        </w:tc>
        <w:tc>
          <w:tcPr>
            <w:tcW w:w="1254" w:type="dxa"/>
            <w:tcBorders>
              <w:top w:val="nil"/>
              <w:left w:val="nil"/>
              <w:bottom w:val="nil"/>
              <w:right w:val="nil"/>
            </w:tcBorders>
          </w:tcPr>
          <w:p w14:paraId="4F91349D" w14:textId="77777777" w:rsidR="00021354" w:rsidRDefault="00021354" w:rsidP="003F3EB9">
            <w:pPr>
              <w:jc w:val="center"/>
            </w:pPr>
            <w:r>
              <w:t>40.1</w:t>
            </w:r>
          </w:p>
        </w:tc>
      </w:tr>
      <w:tr w:rsidR="003705D9" w14:paraId="4F53051F" w14:textId="77777777" w:rsidTr="003F3EB9">
        <w:trPr>
          <w:gridAfter w:val="1"/>
          <w:wAfter w:w="12" w:type="dxa"/>
        </w:trPr>
        <w:tc>
          <w:tcPr>
            <w:tcW w:w="2934" w:type="dxa"/>
            <w:tcBorders>
              <w:top w:val="nil"/>
              <w:left w:val="nil"/>
              <w:bottom w:val="nil"/>
              <w:right w:val="nil"/>
            </w:tcBorders>
          </w:tcPr>
          <w:p w14:paraId="08920444" w14:textId="3D2F6D82" w:rsidR="00021354" w:rsidRDefault="00021354" w:rsidP="003F3EB9">
            <w:r>
              <w:t xml:space="preserve">  8. Institutions </w:t>
            </w:r>
          </w:p>
        </w:tc>
        <w:tc>
          <w:tcPr>
            <w:tcW w:w="1253" w:type="dxa"/>
            <w:tcBorders>
              <w:top w:val="nil"/>
              <w:left w:val="nil"/>
              <w:bottom w:val="nil"/>
              <w:right w:val="nil"/>
            </w:tcBorders>
          </w:tcPr>
          <w:p w14:paraId="64BA5255" w14:textId="77777777" w:rsidR="00021354" w:rsidRDefault="00021354" w:rsidP="003F3EB9">
            <w:pPr>
              <w:jc w:val="center"/>
            </w:pPr>
            <w:r>
              <w:t>50.9</w:t>
            </w:r>
          </w:p>
        </w:tc>
        <w:tc>
          <w:tcPr>
            <w:tcW w:w="1253" w:type="dxa"/>
            <w:gridSpan w:val="2"/>
            <w:tcBorders>
              <w:top w:val="nil"/>
              <w:left w:val="nil"/>
              <w:bottom w:val="nil"/>
              <w:right w:val="nil"/>
            </w:tcBorders>
          </w:tcPr>
          <w:p w14:paraId="5AF57878" w14:textId="77777777" w:rsidR="00021354" w:rsidRDefault="00021354" w:rsidP="003F3EB9">
            <w:pPr>
              <w:jc w:val="center"/>
            </w:pPr>
            <w:r>
              <w:t>25.2</w:t>
            </w:r>
          </w:p>
        </w:tc>
        <w:tc>
          <w:tcPr>
            <w:tcW w:w="1254" w:type="dxa"/>
            <w:gridSpan w:val="2"/>
            <w:tcBorders>
              <w:top w:val="nil"/>
              <w:left w:val="nil"/>
              <w:bottom w:val="nil"/>
              <w:right w:val="nil"/>
            </w:tcBorders>
          </w:tcPr>
          <w:p w14:paraId="161B7B86" w14:textId="77777777" w:rsidR="00021354" w:rsidRDefault="00021354" w:rsidP="003F3EB9">
            <w:pPr>
              <w:jc w:val="center"/>
            </w:pPr>
            <w:r>
              <w:t>11.3</w:t>
            </w:r>
          </w:p>
        </w:tc>
        <w:tc>
          <w:tcPr>
            <w:tcW w:w="1253" w:type="dxa"/>
            <w:gridSpan w:val="2"/>
            <w:tcBorders>
              <w:top w:val="nil"/>
              <w:left w:val="nil"/>
              <w:bottom w:val="nil"/>
              <w:right w:val="nil"/>
            </w:tcBorders>
          </w:tcPr>
          <w:p w14:paraId="375E74AF" w14:textId="77777777" w:rsidR="00021354" w:rsidRDefault="00021354" w:rsidP="003F3EB9">
            <w:pPr>
              <w:jc w:val="center"/>
            </w:pPr>
            <w:r>
              <w:t>7.7</w:t>
            </w:r>
          </w:p>
        </w:tc>
        <w:tc>
          <w:tcPr>
            <w:tcW w:w="1254" w:type="dxa"/>
            <w:gridSpan w:val="2"/>
            <w:tcBorders>
              <w:top w:val="nil"/>
              <w:left w:val="nil"/>
              <w:bottom w:val="nil"/>
              <w:right w:val="nil"/>
            </w:tcBorders>
          </w:tcPr>
          <w:p w14:paraId="3DAF2F79" w14:textId="77777777" w:rsidR="00021354" w:rsidRDefault="00021354" w:rsidP="003F3EB9">
            <w:pPr>
              <w:jc w:val="center"/>
            </w:pPr>
            <w:r>
              <w:t>2.7</w:t>
            </w:r>
          </w:p>
        </w:tc>
        <w:tc>
          <w:tcPr>
            <w:tcW w:w="1253" w:type="dxa"/>
            <w:gridSpan w:val="2"/>
            <w:tcBorders>
              <w:top w:val="nil"/>
              <w:left w:val="nil"/>
              <w:bottom w:val="nil"/>
              <w:right w:val="nil"/>
            </w:tcBorders>
          </w:tcPr>
          <w:p w14:paraId="04BCFCE4" w14:textId="77777777" w:rsidR="00021354" w:rsidRDefault="00021354" w:rsidP="003F3EB9">
            <w:pPr>
              <w:jc w:val="center"/>
            </w:pPr>
            <w:r>
              <w:t>2.3</w:t>
            </w:r>
          </w:p>
        </w:tc>
        <w:tc>
          <w:tcPr>
            <w:tcW w:w="1254" w:type="dxa"/>
            <w:tcBorders>
              <w:top w:val="nil"/>
              <w:left w:val="nil"/>
              <w:bottom w:val="nil"/>
              <w:right w:val="nil"/>
            </w:tcBorders>
          </w:tcPr>
          <w:p w14:paraId="613E78B0" w14:textId="77777777" w:rsidR="00021354" w:rsidRDefault="00021354" w:rsidP="003F3EB9">
            <w:pPr>
              <w:jc w:val="center"/>
            </w:pPr>
            <w:r>
              <w:t>49.1</w:t>
            </w:r>
          </w:p>
        </w:tc>
      </w:tr>
      <w:tr w:rsidR="003705D9" w14:paraId="12A8BC73" w14:textId="77777777" w:rsidTr="003F3EB9">
        <w:trPr>
          <w:gridAfter w:val="1"/>
          <w:wAfter w:w="12" w:type="dxa"/>
        </w:trPr>
        <w:tc>
          <w:tcPr>
            <w:tcW w:w="2934" w:type="dxa"/>
            <w:tcBorders>
              <w:top w:val="nil"/>
              <w:left w:val="nil"/>
              <w:bottom w:val="nil"/>
              <w:right w:val="nil"/>
            </w:tcBorders>
          </w:tcPr>
          <w:p w14:paraId="3EF8660E" w14:textId="44353198" w:rsidR="00021354" w:rsidRDefault="00021354" w:rsidP="003F3EB9">
            <w:r>
              <w:t xml:space="preserve">  9. Friends</w:t>
            </w:r>
          </w:p>
        </w:tc>
        <w:tc>
          <w:tcPr>
            <w:tcW w:w="1253" w:type="dxa"/>
            <w:tcBorders>
              <w:top w:val="nil"/>
              <w:left w:val="nil"/>
              <w:bottom w:val="nil"/>
              <w:right w:val="nil"/>
            </w:tcBorders>
          </w:tcPr>
          <w:p w14:paraId="5A700139" w14:textId="77777777" w:rsidR="00021354" w:rsidRDefault="00021354" w:rsidP="003F3EB9">
            <w:pPr>
              <w:jc w:val="center"/>
            </w:pPr>
            <w:r>
              <w:t>55.0</w:t>
            </w:r>
          </w:p>
        </w:tc>
        <w:tc>
          <w:tcPr>
            <w:tcW w:w="1253" w:type="dxa"/>
            <w:gridSpan w:val="2"/>
            <w:tcBorders>
              <w:top w:val="nil"/>
              <w:left w:val="nil"/>
              <w:bottom w:val="nil"/>
              <w:right w:val="nil"/>
            </w:tcBorders>
          </w:tcPr>
          <w:p w14:paraId="15EBD541" w14:textId="77777777" w:rsidR="00021354" w:rsidRDefault="00021354" w:rsidP="003F3EB9">
            <w:pPr>
              <w:jc w:val="center"/>
            </w:pPr>
            <w:r>
              <w:t>24.8</w:t>
            </w:r>
          </w:p>
        </w:tc>
        <w:tc>
          <w:tcPr>
            <w:tcW w:w="1254" w:type="dxa"/>
            <w:gridSpan w:val="2"/>
            <w:tcBorders>
              <w:top w:val="nil"/>
              <w:left w:val="nil"/>
              <w:bottom w:val="nil"/>
              <w:right w:val="nil"/>
            </w:tcBorders>
          </w:tcPr>
          <w:p w14:paraId="1360E786" w14:textId="77777777" w:rsidR="00021354" w:rsidRDefault="00021354" w:rsidP="003F3EB9">
            <w:pPr>
              <w:jc w:val="center"/>
            </w:pPr>
            <w:r>
              <w:t>14.0</w:t>
            </w:r>
          </w:p>
        </w:tc>
        <w:tc>
          <w:tcPr>
            <w:tcW w:w="1253" w:type="dxa"/>
            <w:gridSpan w:val="2"/>
            <w:tcBorders>
              <w:top w:val="nil"/>
              <w:left w:val="nil"/>
              <w:bottom w:val="nil"/>
              <w:right w:val="nil"/>
            </w:tcBorders>
          </w:tcPr>
          <w:p w14:paraId="079EA90B" w14:textId="77777777" w:rsidR="00021354" w:rsidRDefault="00021354" w:rsidP="003F3EB9">
            <w:pPr>
              <w:jc w:val="center"/>
            </w:pPr>
            <w:r>
              <w:t>5.0</w:t>
            </w:r>
          </w:p>
        </w:tc>
        <w:tc>
          <w:tcPr>
            <w:tcW w:w="1254" w:type="dxa"/>
            <w:gridSpan w:val="2"/>
            <w:tcBorders>
              <w:top w:val="nil"/>
              <w:left w:val="nil"/>
              <w:bottom w:val="nil"/>
              <w:right w:val="nil"/>
            </w:tcBorders>
          </w:tcPr>
          <w:p w14:paraId="6CC7C8A9" w14:textId="77777777" w:rsidR="00021354" w:rsidRDefault="00021354" w:rsidP="003F3EB9">
            <w:pPr>
              <w:jc w:val="center"/>
            </w:pPr>
            <w:r>
              <w:t>0.5</w:t>
            </w:r>
          </w:p>
        </w:tc>
        <w:tc>
          <w:tcPr>
            <w:tcW w:w="1253" w:type="dxa"/>
            <w:gridSpan w:val="2"/>
            <w:tcBorders>
              <w:top w:val="nil"/>
              <w:left w:val="nil"/>
              <w:bottom w:val="nil"/>
              <w:right w:val="nil"/>
            </w:tcBorders>
          </w:tcPr>
          <w:p w14:paraId="4769E80A" w14:textId="77777777" w:rsidR="00021354" w:rsidRDefault="00021354" w:rsidP="003F3EB9">
            <w:pPr>
              <w:jc w:val="center"/>
            </w:pPr>
            <w:r>
              <w:t>0.9</w:t>
            </w:r>
          </w:p>
        </w:tc>
        <w:tc>
          <w:tcPr>
            <w:tcW w:w="1254" w:type="dxa"/>
            <w:tcBorders>
              <w:top w:val="nil"/>
              <w:left w:val="nil"/>
              <w:bottom w:val="nil"/>
              <w:right w:val="nil"/>
            </w:tcBorders>
          </w:tcPr>
          <w:p w14:paraId="44F7B028" w14:textId="77777777" w:rsidR="00021354" w:rsidRDefault="00021354" w:rsidP="003F3EB9">
            <w:pPr>
              <w:jc w:val="center"/>
            </w:pPr>
            <w:r>
              <w:t>45.0</w:t>
            </w:r>
          </w:p>
        </w:tc>
      </w:tr>
      <w:tr w:rsidR="003705D9" w14:paraId="3EDE1296" w14:textId="77777777" w:rsidTr="003F3EB9">
        <w:trPr>
          <w:gridAfter w:val="1"/>
          <w:wAfter w:w="12" w:type="dxa"/>
        </w:trPr>
        <w:tc>
          <w:tcPr>
            <w:tcW w:w="2934" w:type="dxa"/>
            <w:tcBorders>
              <w:top w:val="nil"/>
              <w:left w:val="nil"/>
              <w:bottom w:val="nil"/>
              <w:right w:val="nil"/>
            </w:tcBorders>
          </w:tcPr>
          <w:p w14:paraId="6E5252C7" w14:textId="3A9CE08F" w:rsidR="00021354" w:rsidRDefault="00021354" w:rsidP="003F3EB9">
            <w:r>
              <w:t>10. Accused/suspected</w:t>
            </w:r>
          </w:p>
        </w:tc>
        <w:tc>
          <w:tcPr>
            <w:tcW w:w="1253" w:type="dxa"/>
            <w:tcBorders>
              <w:top w:val="nil"/>
              <w:left w:val="nil"/>
              <w:bottom w:val="nil"/>
              <w:right w:val="nil"/>
            </w:tcBorders>
          </w:tcPr>
          <w:p w14:paraId="673E95AD" w14:textId="77777777" w:rsidR="00021354" w:rsidRDefault="00021354" w:rsidP="003F3EB9">
            <w:pPr>
              <w:jc w:val="center"/>
            </w:pPr>
            <w:r>
              <w:t>65.3</w:t>
            </w:r>
          </w:p>
        </w:tc>
        <w:tc>
          <w:tcPr>
            <w:tcW w:w="1253" w:type="dxa"/>
            <w:gridSpan w:val="2"/>
            <w:tcBorders>
              <w:top w:val="nil"/>
              <w:left w:val="nil"/>
              <w:bottom w:val="nil"/>
              <w:right w:val="nil"/>
            </w:tcBorders>
          </w:tcPr>
          <w:p w14:paraId="6700F193" w14:textId="77777777" w:rsidR="00021354" w:rsidRDefault="00021354" w:rsidP="003F3EB9">
            <w:pPr>
              <w:jc w:val="center"/>
            </w:pPr>
            <w:r>
              <w:t>19.4</w:t>
            </w:r>
          </w:p>
        </w:tc>
        <w:tc>
          <w:tcPr>
            <w:tcW w:w="1254" w:type="dxa"/>
            <w:gridSpan w:val="2"/>
            <w:tcBorders>
              <w:top w:val="nil"/>
              <w:left w:val="nil"/>
              <w:bottom w:val="nil"/>
              <w:right w:val="nil"/>
            </w:tcBorders>
          </w:tcPr>
          <w:p w14:paraId="2A408B8A" w14:textId="257E77B4" w:rsidR="00021354" w:rsidRDefault="002A5071" w:rsidP="003F3EB9">
            <w:pPr>
              <w:jc w:val="center"/>
            </w:pPr>
            <w:r>
              <w:t xml:space="preserve">  </w:t>
            </w:r>
            <w:r w:rsidR="00021354">
              <w:t>6.8</w:t>
            </w:r>
          </w:p>
        </w:tc>
        <w:tc>
          <w:tcPr>
            <w:tcW w:w="1253" w:type="dxa"/>
            <w:gridSpan w:val="2"/>
            <w:tcBorders>
              <w:top w:val="nil"/>
              <w:left w:val="nil"/>
              <w:bottom w:val="nil"/>
              <w:right w:val="nil"/>
            </w:tcBorders>
          </w:tcPr>
          <w:p w14:paraId="0935FFA2" w14:textId="77777777" w:rsidR="00021354" w:rsidRDefault="00021354" w:rsidP="003F3EB9">
            <w:pPr>
              <w:jc w:val="center"/>
            </w:pPr>
            <w:r>
              <w:t>5.0</w:t>
            </w:r>
          </w:p>
        </w:tc>
        <w:tc>
          <w:tcPr>
            <w:tcW w:w="1254" w:type="dxa"/>
            <w:gridSpan w:val="2"/>
            <w:tcBorders>
              <w:top w:val="nil"/>
              <w:left w:val="nil"/>
              <w:bottom w:val="nil"/>
              <w:right w:val="nil"/>
            </w:tcBorders>
          </w:tcPr>
          <w:p w14:paraId="779C9CCD" w14:textId="77777777" w:rsidR="00021354" w:rsidRDefault="00021354" w:rsidP="003F3EB9">
            <w:pPr>
              <w:jc w:val="center"/>
            </w:pPr>
            <w:r>
              <w:t>2.7</w:t>
            </w:r>
          </w:p>
        </w:tc>
        <w:tc>
          <w:tcPr>
            <w:tcW w:w="1253" w:type="dxa"/>
            <w:gridSpan w:val="2"/>
            <w:tcBorders>
              <w:top w:val="nil"/>
              <w:left w:val="nil"/>
              <w:bottom w:val="nil"/>
              <w:right w:val="nil"/>
            </w:tcBorders>
          </w:tcPr>
          <w:p w14:paraId="4E385218" w14:textId="77777777" w:rsidR="00021354" w:rsidRDefault="00021354" w:rsidP="003F3EB9">
            <w:pPr>
              <w:jc w:val="center"/>
            </w:pPr>
            <w:r>
              <w:t>0.9</w:t>
            </w:r>
          </w:p>
        </w:tc>
        <w:tc>
          <w:tcPr>
            <w:tcW w:w="1254" w:type="dxa"/>
            <w:tcBorders>
              <w:top w:val="nil"/>
              <w:left w:val="nil"/>
              <w:bottom w:val="nil"/>
              <w:right w:val="nil"/>
            </w:tcBorders>
          </w:tcPr>
          <w:p w14:paraId="61B232AA" w14:textId="77777777" w:rsidR="00021354" w:rsidRDefault="00021354" w:rsidP="003F3EB9">
            <w:pPr>
              <w:jc w:val="center"/>
            </w:pPr>
            <w:r>
              <w:t>34.7</w:t>
            </w:r>
          </w:p>
        </w:tc>
      </w:tr>
      <w:tr w:rsidR="003705D9" w14:paraId="67D45B1B" w14:textId="77777777" w:rsidTr="003F3EB9">
        <w:trPr>
          <w:gridAfter w:val="1"/>
          <w:wAfter w:w="12" w:type="dxa"/>
        </w:trPr>
        <w:tc>
          <w:tcPr>
            <w:tcW w:w="2934" w:type="dxa"/>
            <w:tcBorders>
              <w:top w:val="nil"/>
              <w:left w:val="nil"/>
              <w:bottom w:val="nil"/>
              <w:right w:val="nil"/>
            </w:tcBorders>
          </w:tcPr>
          <w:p w14:paraId="687BC7A0" w14:textId="5C826C03" w:rsidR="00021354" w:rsidRDefault="00021354" w:rsidP="003F3EB9">
            <w:r>
              <w:t>11.</w:t>
            </w:r>
            <w:r w:rsidR="003E0A38">
              <w:t xml:space="preserve"> </w:t>
            </w:r>
            <w:r>
              <w:t>Intentions</w:t>
            </w:r>
          </w:p>
        </w:tc>
        <w:tc>
          <w:tcPr>
            <w:tcW w:w="1253" w:type="dxa"/>
            <w:tcBorders>
              <w:top w:val="nil"/>
              <w:left w:val="nil"/>
              <w:bottom w:val="nil"/>
              <w:right w:val="nil"/>
            </w:tcBorders>
          </w:tcPr>
          <w:p w14:paraId="6FA63BBC" w14:textId="77777777" w:rsidR="00021354" w:rsidRDefault="00021354" w:rsidP="003F3EB9">
            <w:pPr>
              <w:jc w:val="center"/>
            </w:pPr>
            <w:r>
              <w:t>36.5</w:t>
            </w:r>
          </w:p>
        </w:tc>
        <w:tc>
          <w:tcPr>
            <w:tcW w:w="1253" w:type="dxa"/>
            <w:gridSpan w:val="2"/>
            <w:tcBorders>
              <w:top w:val="nil"/>
              <w:left w:val="nil"/>
              <w:bottom w:val="nil"/>
              <w:right w:val="nil"/>
            </w:tcBorders>
          </w:tcPr>
          <w:p w14:paraId="574E89BD" w14:textId="77777777" w:rsidR="00021354" w:rsidRDefault="00021354" w:rsidP="003F3EB9">
            <w:pPr>
              <w:jc w:val="center"/>
            </w:pPr>
            <w:r>
              <w:t>29.3</w:t>
            </w:r>
          </w:p>
        </w:tc>
        <w:tc>
          <w:tcPr>
            <w:tcW w:w="1254" w:type="dxa"/>
            <w:gridSpan w:val="2"/>
            <w:tcBorders>
              <w:top w:val="nil"/>
              <w:left w:val="nil"/>
              <w:bottom w:val="nil"/>
              <w:right w:val="nil"/>
            </w:tcBorders>
          </w:tcPr>
          <w:p w14:paraId="7B070DF8" w14:textId="77777777" w:rsidR="00021354" w:rsidRDefault="00021354" w:rsidP="003F3EB9">
            <w:pPr>
              <w:jc w:val="center"/>
            </w:pPr>
            <w:r>
              <w:t>15.8</w:t>
            </w:r>
          </w:p>
        </w:tc>
        <w:tc>
          <w:tcPr>
            <w:tcW w:w="1253" w:type="dxa"/>
            <w:gridSpan w:val="2"/>
            <w:tcBorders>
              <w:top w:val="nil"/>
              <w:left w:val="nil"/>
              <w:bottom w:val="nil"/>
              <w:right w:val="nil"/>
            </w:tcBorders>
          </w:tcPr>
          <w:p w14:paraId="58AFDC07" w14:textId="77777777" w:rsidR="00021354" w:rsidRDefault="00021354" w:rsidP="003F3EB9">
            <w:pPr>
              <w:jc w:val="center"/>
            </w:pPr>
            <w:r>
              <w:t>12.2</w:t>
            </w:r>
          </w:p>
        </w:tc>
        <w:tc>
          <w:tcPr>
            <w:tcW w:w="1254" w:type="dxa"/>
            <w:gridSpan w:val="2"/>
            <w:tcBorders>
              <w:top w:val="nil"/>
              <w:left w:val="nil"/>
              <w:bottom w:val="nil"/>
              <w:right w:val="nil"/>
            </w:tcBorders>
          </w:tcPr>
          <w:p w14:paraId="6D98D8F9" w14:textId="77777777" w:rsidR="00021354" w:rsidRDefault="00021354" w:rsidP="003F3EB9">
            <w:pPr>
              <w:jc w:val="center"/>
            </w:pPr>
            <w:r>
              <w:t>4.1</w:t>
            </w:r>
          </w:p>
        </w:tc>
        <w:tc>
          <w:tcPr>
            <w:tcW w:w="1253" w:type="dxa"/>
            <w:gridSpan w:val="2"/>
            <w:tcBorders>
              <w:top w:val="nil"/>
              <w:left w:val="nil"/>
              <w:bottom w:val="nil"/>
              <w:right w:val="nil"/>
            </w:tcBorders>
          </w:tcPr>
          <w:p w14:paraId="1BC8BFE5" w14:textId="77777777" w:rsidR="00021354" w:rsidRDefault="00021354" w:rsidP="003F3EB9">
            <w:pPr>
              <w:jc w:val="center"/>
            </w:pPr>
            <w:r>
              <w:t>2.3</w:t>
            </w:r>
          </w:p>
        </w:tc>
        <w:tc>
          <w:tcPr>
            <w:tcW w:w="1254" w:type="dxa"/>
            <w:tcBorders>
              <w:top w:val="nil"/>
              <w:left w:val="nil"/>
              <w:bottom w:val="nil"/>
              <w:right w:val="nil"/>
            </w:tcBorders>
          </w:tcPr>
          <w:p w14:paraId="7F767C58" w14:textId="77777777" w:rsidR="00021354" w:rsidRDefault="00021354" w:rsidP="003F3EB9">
            <w:pPr>
              <w:jc w:val="center"/>
            </w:pPr>
            <w:r>
              <w:t>63.5</w:t>
            </w:r>
          </w:p>
        </w:tc>
      </w:tr>
      <w:tr w:rsidR="003705D9" w14:paraId="07F74232" w14:textId="77777777" w:rsidTr="003F3EB9">
        <w:trPr>
          <w:gridAfter w:val="1"/>
          <w:wAfter w:w="12" w:type="dxa"/>
        </w:trPr>
        <w:tc>
          <w:tcPr>
            <w:tcW w:w="2934" w:type="dxa"/>
            <w:tcBorders>
              <w:top w:val="nil"/>
              <w:left w:val="nil"/>
              <w:bottom w:val="nil"/>
              <w:right w:val="nil"/>
            </w:tcBorders>
          </w:tcPr>
          <w:p w14:paraId="58B811B8" w14:textId="6C4CB7A4" w:rsidR="00021354" w:rsidRDefault="00021354" w:rsidP="003F3EB9">
            <w:r>
              <w:t>12.</w:t>
            </w:r>
            <w:r w:rsidR="003E0A38">
              <w:t xml:space="preserve"> </w:t>
            </w:r>
            <w:r>
              <w:t xml:space="preserve">Wanted to tell off </w:t>
            </w:r>
          </w:p>
        </w:tc>
        <w:tc>
          <w:tcPr>
            <w:tcW w:w="1253" w:type="dxa"/>
            <w:tcBorders>
              <w:top w:val="nil"/>
              <w:left w:val="nil"/>
              <w:bottom w:val="nil"/>
              <w:right w:val="nil"/>
            </w:tcBorders>
          </w:tcPr>
          <w:p w14:paraId="288CA3CD" w14:textId="77777777" w:rsidR="00021354" w:rsidRDefault="00021354" w:rsidP="003F3EB9">
            <w:pPr>
              <w:jc w:val="center"/>
            </w:pPr>
            <w:r>
              <w:t>17.1</w:t>
            </w:r>
          </w:p>
        </w:tc>
        <w:tc>
          <w:tcPr>
            <w:tcW w:w="1253" w:type="dxa"/>
            <w:gridSpan w:val="2"/>
            <w:tcBorders>
              <w:top w:val="nil"/>
              <w:left w:val="nil"/>
              <w:bottom w:val="nil"/>
              <w:right w:val="nil"/>
            </w:tcBorders>
          </w:tcPr>
          <w:p w14:paraId="3674AECA" w14:textId="77777777" w:rsidR="00021354" w:rsidRDefault="00021354" w:rsidP="003F3EB9">
            <w:pPr>
              <w:jc w:val="center"/>
            </w:pPr>
            <w:r>
              <w:t>19.4</w:t>
            </w:r>
          </w:p>
        </w:tc>
        <w:tc>
          <w:tcPr>
            <w:tcW w:w="1254" w:type="dxa"/>
            <w:gridSpan w:val="2"/>
            <w:tcBorders>
              <w:top w:val="nil"/>
              <w:left w:val="nil"/>
              <w:bottom w:val="nil"/>
              <w:right w:val="nil"/>
            </w:tcBorders>
          </w:tcPr>
          <w:p w14:paraId="35624184" w14:textId="77777777" w:rsidR="00021354" w:rsidRDefault="00021354" w:rsidP="003F3EB9">
            <w:pPr>
              <w:jc w:val="center"/>
            </w:pPr>
            <w:r>
              <w:t>18.9</w:t>
            </w:r>
          </w:p>
        </w:tc>
        <w:tc>
          <w:tcPr>
            <w:tcW w:w="1253" w:type="dxa"/>
            <w:gridSpan w:val="2"/>
            <w:tcBorders>
              <w:top w:val="nil"/>
              <w:left w:val="nil"/>
              <w:bottom w:val="nil"/>
              <w:right w:val="nil"/>
            </w:tcBorders>
          </w:tcPr>
          <w:p w14:paraId="15783F65" w14:textId="77777777" w:rsidR="00021354" w:rsidRDefault="00021354" w:rsidP="003F3EB9">
            <w:pPr>
              <w:jc w:val="center"/>
            </w:pPr>
            <w:r>
              <w:t>22.1</w:t>
            </w:r>
          </w:p>
        </w:tc>
        <w:tc>
          <w:tcPr>
            <w:tcW w:w="1254" w:type="dxa"/>
            <w:gridSpan w:val="2"/>
            <w:tcBorders>
              <w:top w:val="nil"/>
              <w:left w:val="nil"/>
              <w:bottom w:val="nil"/>
              <w:right w:val="nil"/>
            </w:tcBorders>
          </w:tcPr>
          <w:p w14:paraId="4124C262" w14:textId="77777777" w:rsidR="00021354" w:rsidRDefault="00021354" w:rsidP="003F3EB9">
            <w:pPr>
              <w:jc w:val="center"/>
            </w:pPr>
            <w:r>
              <w:t>11.3</w:t>
            </w:r>
          </w:p>
        </w:tc>
        <w:tc>
          <w:tcPr>
            <w:tcW w:w="1253" w:type="dxa"/>
            <w:gridSpan w:val="2"/>
            <w:tcBorders>
              <w:top w:val="nil"/>
              <w:left w:val="nil"/>
              <w:bottom w:val="nil"/>
              <w:right w:val="nil"/>
            </w:tcBorders>
          </w:tcPr>
          <w:p w14:paraId="3A420863" w14:textId="77777777" w:rsidR="00021354" w:rsidRDefault="00021354" w:rsidP="003F3EB9">
            <w:pPr>
              <w:jc w:val="center"/>
            </w:pPr>
            <w:r>
              <w:t>11.3</w:t>
            </w:r>
          </w:p>
        </w:tc>
        <w:tc>
          <w:tcPr>
            <w:tcW w:w="1254" w:type="dxa"/>
            <w:tcBorders>
              <w:top w:val="nil"/>
              <w:left w:val="nil"/>
              <w:bottom w:val="nil"/>
              <w:right w:val="nil"/>
            </w:tcBorders>
          </w:tcPr>
          <w:p w14:paraId="12488F31" w14:textId="77777777" w:rsidR="00021354" w:rsidRDefault="00021354" w:rsidP="003F3EB9">
            <w:pPr>
              <w:jc w:val="center"/>
            </w:pPr>
            <w:r>
              <w:t>82.9</w:t>
            </w:r>
          </w:p>
        </w:tc>
      </w:tr>
      <w:tr w:rsidR="003705D9" w14:paraId="62C4F478" w14:textId="77777777" w:rsidTr="003F3EB9">
        <w:trPr>
          <w:gridAfter w:val="1"/>
          <w:wAfter w:w="12" w:type="dxa"/>
        </w:trPr>
        <w:tc>
          <w:tcPr>
            <w:tcW w:w="2934" w:type="dxa"/>
            <w:tcBorders>
              <w:top w:val="nil"/>
              <w:left w:val="nil"/>
              <w:bottom w:val="nil"/>
              <w:right w:val="nil"/>
            </w:tcBorders>
          </w:tcPr>
          <w:p w14:paraId="33B31B4E" w14:textId="77777777" w:rsidR="00021354" w:rsidRDefault="00021354" w:rsidP="003F3EB9">
            <w:r>
              <w:t>13. Felt really angry</w:t>
            </w:r>
          </w:p>
        </w:tc>
        <w:tc>
          <w:tcPr>
            <w:tcW w:w="1253" w:type="dxa"/>
            <w:tcBorders>
              <w:top w:val="nil"/>
              <w:left w:val="nil"/>
              <w:bottom w:val="nil"/>
              <w:right w:val="nil"/>
            </w:tcBorders>
          </w:tcPr>
          <w:p w14:paraId="792B6071" w14:textId="77777777" w:rsidR="00021354" w:rsidRDefault="00021354" w:rsidP="003F3EB9">
            <w:pPr>
              <w:jc w:val="center"/>
            </w:pPr>
            <w:r>
              <w:t>28.8</w:t>
            </w:r>
          </w:p>
        </w:tc>
        <w:tc>
          <w:tcPr>
            <w:tcW w:w="1253" w:type="dxa"/>
            <w:gridSpan w:val="2"/>
            <w:tcBorders>
              <w:top w:val="nil"/>
              <w:left w:val="nil"/>
              <w:bottom w:val="nil"/>
              <w:right w:val="nil"/>
            </w:tcBorders>
          </w:tcPr>
          <w:p w14:paraId="101FB87A" w14:textId="77777777" w:rsidR="00021354" w:rsidRDefault="00021354" w:rsidP="003F3EB9">
            <w:pPr>
              <w:jc w:val="center"/>
            </w:pPr>
            <w:r>
              <w:t>31.1</w:t>
            </w:r>
          </w:p>
        </w:tc>
        <w:tc>
          <w:tcPr>
            <w:tcW w:w="1254" w:type="dxa"/>
            <w:gridSpan w:val="2"/>
            <w:tcBorders>
              <w:top w:val="nil"/>
              <w:left w:val="nil"/>
              <w:bottom w:val="nil"/>
              <w:right w:val="nil"/>
            </w:tcBorders>
          </w:tcPr>
          <w:p w14:paraId="2BF4E9AD" w14:textId="77777777" w:rsidR="00021354" w:rsidRDefault="00021354" w:rsidP="003F3EB9">
            <w:pPr>
              <w:jc w:val="center"/>
            </w:pPr>
            <w:r>
              <w:t>16.7</w:t>
            </w:r>
          </w:p>
        </w:tc>
        <w:tc>
          <w:tcPr>
            <w:tcW w:w="1253" w:type="dxa"/>
            <w:gridSpan w:val="2"/>
            <w:tcBorders>
              <w:top w:val="nil"/>
              <w:left w:val="nil"/>
              <w:bottom w:val="nil"/>
              <w:right w:val="nil"/>
            </w:tcBorders>
          </w:tcPr>
          <w:p w14:paraId="6DB56504" w14:textId="77777777" w:rsidR="00021354" w:rsidRDefault="00021354" w:rsidP="003F3EB9">
            <w:pPr>
              <w:jc w:val="center"/>
            </w:pPr>
            <w:r>
              <w:t>9.5</w:t>
            </w:r>
          </w:p>
        </w:tc>
        <w:tc>
          <w:tcPr>
            <w:tcW w:w="1254" w:type="dxa"/>
            <w:gridSpan w:val="2"/>
            <w:tcBorders>
              <w:top w:val="nil"/>
              <w:left w:val="nil"/>
              <w:bottom w:val="nil"/>
              <w:right w:val="nil"/>
            </w:tcBorders>
          </w:tcPr>
          <w:p w14:paraId="62F13C1E" w14:textId="77777777" w:rsidR="00021354" w:rsidRDefault="00021354" w:rsidP="003F3EB9">
            <w:pPr>
              <w:jc w:val="center"/>
            </w:pPr>
            <w:r>
              <w:t>6.3</w:t>
            </w:r>
          </w:p>
        </w:tc>
        <w:tc>
          <w:tcPr>
            <w:tcW w:w="1253" w:type="dxa"/>
            <w:gridSpan w:val="2"/>
            <w:tcBorders>
              <w:top w:val="nil"/>
              <w:left w:val="nil"/>
              <w:bottom w:val="nil"/>
              <w:right w:val="nil"/>
            </w:tcBorders>
          </w:tcPr>
          <w:p w14:paraId="5B9C39DE" w14:textId="77777777" w:rsidR="00021354" w:rsidRDefault="00021354" w:rsidP="003F3EB9">
            <w:pPr>
              <w:jc w:val="center"/>
            </w:pPr>
            <w:r>
              <w:t>7.7</w:t>
            </w:r>
          </w:p>
        </w:tc>
        <w:tc>
          <w:tcPr>
            <w:tcW w:w="1254" w:type="dxa"/>
            <w:tcBorders>
              <w:top w:val="nil"/>
              <w:left w:val="nil"/>
              <w:bottom w:val="nil"/>
              <w:right w:val="nil"/>
            </w:tcBorders>
          </w:tcPr>
          <w:p w14:paraId="1364D3DD" w14:textId="77777777" w:rsidR="00021354" w:rsidRDefault="00021354" w:rsidP="003F3EB9">
            <w:pPr>
              <w:jc w:val="center"/>
            </w:pPr>
            <w:r>
              <w:t>71.2</w:t>
            </w:r>
          </w:p>
        </w:tc>
      </w:tr>
      <w:tr w:rsidR="003705D9" w14:paraId="094AA57C" w14:textId="77777777" w:rsidTr="003F3EB9">
        <w:trPr>
          <w:gridAfter w:val="1"/>
          <w:wAfter w:w="12" w:type="dxa"/>
        </w:trPr>
        <w:tc>
          <w:tcPr>
            <w:tcW w:w="2934" w:type="dxa"/>
            <w:tcBorders>
              <w:top w:val="nil"/>
              <w:left w:val="nil"/>
              <w:bottom w:val="nil"/>
              <w:right w:val="nil"/>
            </w:tcBorders>
          </w:tcPr>
          <w:p w14:paraId="38E3960E" w14:textId="77777777" w:rsidR="00021354" w:rsidRDefault="00021354" w:rsidP="003F3EB9">
            <w:r>
              <w:t>14. Took drastic steps</w:t>
            </w:r>
          </w:p>
        </w:tc>
        <w:tc>
          <w:tcPr>
            <w:tcW w:w="1253" w:type="dxa"/>
            <w:tcBorders>
              <w:top w:val="nil"/>
              <w:left w:val="nil"/>
              <w:bottom w:val="nil"/>
              <w:right w:val="nil"/>
            </w:tcBorders>
          </w:tcPr>
          <w:p w14:paraId="0E007799" w14:textId="77777777" w:rsidR="00021354" w:rsidRDefault="00021354" w:rsidP="003F3EB9">
            <w:pPr>
              <w:jc w:val="center"/>
            </w:pPr>
            <w:r>
              <w:t>82.9</w:t>
            </w:r>
          </w:p>
        </w:tc>
        <w:tc>
          <w:tcPr>
            <w:tcW w:w="1253" w:type="dxa"/>
            <w:gridSpan w:val="2"/>
            <w:tcBorders>
              <w:top w:val="nil"/>
              <w:left w:val="nil"/>
              <w:bottom w:val="nil"/>
              <w:right w:val="nil"/>
            </w:tcBorders>
          </w:tcPr>
          <w:p w14:paraId="42F8DA42" w14:textId="77777777" w:rsidR="00021354" w:rsidRDefault="00021354" w:rsidP="003F3EB9">
            <w:pPr>
              <w:jc w:val="center"/>
            </w:pPr>
            <w:r>
              <w:t>11.7</w:t>
            </w:r>
          </w:p>
        </w:tc>
        <w:tc>
          <w:tcPr>
            <w:tcW w:w="1254" w:type="dxa"/>
            <w:gridSpan w:val="2"/>
            <w:tcBorders>
              <w:top w:val="nil"/>
              <w:left w:val="nil"/>
              <w:bottom w:val="nil"/>
              <w:right w:val="nil"/>
            </w:tcBorders>
          </w:tcPr>
          <w:p w14:paraId="5FDA0039" w14:textId="03FDF460" w:rsidR="00021354" w:rsidRDefault="002A5071" w:rsidP="003F3EB9">
            <w:pPr>
              <w:jc w:val="center"/>
            </w:pPr>
            <w:r>
              <w:t xml:space="preserve">  </w:t>
            </w:r>
            <w:r w:rsidR="00021354">
              <w:t>1.8</w:t>
            </w:r>
          </w:p>
        </w:tc>
        <w:tc>
          <w:tcPr>
            <w:tcW w:w="1253" w:type="dxa"/>
            <w:gridSpan w:val="2"/>
            <w:tcBorders>
              <w:top w:val="nil"/>
              <w:left w:val="nil"/>
              <w:bottom w:val="nil"/>
              <w:right w:val="nil"/>
            </w:tcBorders>
          </w:tcPr>
          <w:p w14:paraId="49477A46" w14:textId="77777777" w:rsidR="00021354" w:rsidRDefault="00021354" w:rsidP="003F3EB9">
            <w:pPr>
              <w:jc w:val="center"/>
            </w:pPr>
            <w:r>
              <w:t>1.8</w:t>
            </w:r>
          </w:p>
        </w:tc>
        <w:tc>
          <w:tcPr>
            <w:tcW w:w="1254" w:type="dxa"/>
            <w:gridSpan w:val="2"/>
            <w:tcBorders>
              <w:top w:val="nil"/>
              <w:left w:val="nil"/>
              <w:bottom w:val="nil"/>
              <w:right w:val="nil"/>
            </w:tcBorders>
          </w:tcPr>
          <w:p w14:paraId="562ABB07" w14:textId="77777777" w:rsidR="00021354" w:rsidRDefault="00021354" w:rsidP="003F3EB9">
            <w:pPr>
              <w:jc w:val="center"/>
            </w:pPr>
            <w:r>
              <w:t>0.9</w:t>
            </w:r>
          </w:p>
        </w:tc>
        <w:tc>
          <w:tcPr>
            <w:tcW w:w="1253" w:type="dxa"/>
            <w:gridSpan w:val="2"/>
            <w:tcBorders>
              <w:top w:val="nil"/>
              <w:left w:val="nil"/>
              <w:bottom w:val="nil"/>
              <w:right w:val="nil"/>
            </w:tcBorders>
          </w:tcPr>
          <w:p w14:paraId="4055CF17" w14:textId="77777777" w:rsidR="00021354" w:rsidRDefault="00021354" w:rsidP="003F3EB9">
            <w:pPr>
              <w:jc w:val="center"/>
            </w:pPr>
            <w:r>
              <w:t>0.9</w:t>
            </w:r>
          </w:p>
        </w:tc>
        <w:tc>
          <w:tcPr>
            <w:tcW w:w="1254" w:type="dxa"/>
            <w:tcBorders>
              <w:top w:val="nil"/>
              <w:left w:val="nil"/>
              <w:bottom w:val="nil"/>
              <w:right w:val="nil"/>
            </w:tcBorders>
          </w:tcPr>
          <w:p w14:paraId="36F66D23" w14:textId="77777777" w:rsidR="00021354" w:rsidRDefault="00021354" w:rsidP="003F3EB9">
            <w:pPr>
              <w:jc w:val="center"/>
            </w:pPr>
            <w:r>
              <w:t>17.1</w:t>
            </w:r>
          </w:p>
        </w:tc>
      </w:tr>
      <w:tr w:rsidR="003705D9" w14:paraId="210F8EC8" w14:textId="77777777" w:rsidTr="003F3EB9">
        <w:trPr>
          <w:gridAfter w:val="1"/>
          <w:wAfter w:w="12" w:type="dxa"/>
        </w:trPr>
        <w:tc>
          <w:tcPr>
            <w:tcW w:w="2934" w:type="dxa"/>
            <w:tcBorders>
              <w:top w:val="nil"/>
              <w:left w:val="nil"/>
              <w:bottom w:val="nil"/>
              <w:right w:val="nil"/>
            </w:tcBorders>
          </w:tcPr>
          <w:p w14:paraId="0FBB46B7" w14:textId="77777777" w:rsidR="00021354" w:rsidRDefault="00021354" w:rsidP="003F3EB9">
            <w:r>
              <w:t>15. Called racist names</w:t>
            </w:r>
          </w:p>
        </w:tc>
        <w:tc>
          <w:tcPr>
            <w:tcW w:w="1253" w:type="dxa"/>
            <w:tcBorders>
              <w:top w:val="nil"/>
              <w:left w:val="nil"/>
              <w:bottom w:val="nil"/>
              <w:right w:val="nil"/>
            </w:tcBorders>
          </w:tcPr>
          <w:p w14:paraId="1E948498" w14:textId="77777777" w:rsidR="00021354" w:rsidRDefault="00021354" w:rsidP="003F3EB9">
            <w:pPr>
              <w:jc w:val="center"/>
            </w:pPr>
            <w:r>
              <w:t>58.6</w:t>
            </w:r>
          </w:p>
        </w:tc>
        <w:tc>
          <w:tcPr>
            <w:tcW w:w="1253" w:type="dxa"/>
            <w:gridSpan w:val="2"/>
            <w:tcBorders>
              <w:top w:val="nil"/>
              <w:left w:val="nil"/>
              <w:bottom w:val="nil"/>
              <w:right w:val="nil"/>
            </w:tcBorders>
          </w:tcPr>
          <w:p w14:paraId="42AF71D7" w14:textId="77777777" w:rsidR="00021354" w:rsidRDefault="00021354" w:rsidP="003F3EB9">
            <w:pPr>
              <w:jc w:val="center"/>
            </w:pPr>
            <w:r>
              <w:t>24.8</w:t>
            </w:r>
          </w:p>
        </w:tc>
        <w:tc>
          <w:tcPr>
            <w:tcW w:w="1254" w:type="dxa"/>
            <w:gridSpan w:val="2"/>
            <w:tcBorders>
              <w:top w:val="nil"/>
              <w:left w:val="nil"/>
              <w:bottom w:val="nil"/>
              <w:right w:val="nil"/>
            </w:tcBorders>
          </w:tcPr>
          <w:p w14:paraId="5FAF2EE7" w14:textId="77777777" w:rsidR="00021354" w:rsidRDefault="00021354" w:rsidP="003F3EB9">
            <w:pPr>
              <w:jc w:val="center"/>
            </w:pPr>
            <w:r>
              <w:t>11.7</w:t>
            </w:r>
          </w:p>
        </w:tc>
        <w:tc>
          <w:tcPr>
            <w:tcW w:w="1253" w:type="dxa"/>
            <w:gridSpan w:val="2"/>
            <w:tcBorders>
              <w:top w:val="nil"/>
              <w:left w:val="nil"/>
              <w:bottom w:val="nil"/>
              <w:right w:val="nil"/>
            </w:tcBorders>
          </w:tcPr>
          <w:p w14:paraId="5EA7400A" w14:textId="77777777" w:rsidR="00021354" w:rsidRDefault="00021354" w:rsidP="003F3EB9">
            <w:pPr>
              <w:jc w:val="center"/>
            </w:pPr>
            <w:r>
              <w:t>3.6</w:t>
            </w:r>
          </w:p>
        </w:tc>
        <w:tc>
          <w:tcPr>
            <w:tcW w:w="1254" w:type="dxa"/>
            <w:gridSpan w:val="2"/>
            <w:tcBorders>
              <w:top w:val="nil"/>
              <w:left w:val="nil"/>
              <w:bottom w:val="nil"/>
              <w:right w:val="nil"/>
            </w:tcBorders>
          </w:tcPr>
          <w:p w14:paraId="51509D98" w14:textId="77777777" w:rsidR="00021354" w:rsidRDefault="00021354" w:rsidP="003F3EB9">
            <w:pPr>
              <w:jc w:val="center"/>
            </w:pPr>
            <w:r>
              <w:t>0.5</w:t>
            </w:r>
          </w:p>
        </w:tc>
        <w:tc>
          <w:tcPr>
            <w:tcW w:w="1253" w:type="dxa"/>
            <w:gridSpan w:val="2"/>
            <w:tcBorders>
              <w:top w:val="nil"/>
              <w:left w:val="nil"/>
              <w:bottom w:val="nil"/>
              <w:right w:val="nil"/>
            </w:tcBorders>
          </w:tcPr>
          <w:p w14:paraId="1CBAA185" w14:textId="77777777" w:rsidR="00021354" w:rsidRDefault="00021354" w:rsidP="003F3EB9">
            <w:pPr>
              <w:jc w:val="center"/>
            </w:pPr>
            <w:r>
              <w:t>0.9</w:t>
            </w:r>
          </w:p>
        </w:tc>
        <w:tc>
          <w:tcPr>
            <w:tcW w:w="1254" w:type="dxa"/>
            <w:tcBorders>
              <w:top w:val="nil"/>
              <w:left w:val="nil"/>
              <w:bottom w:val="nil"/>
              <w:right w:val="nil"/>
            </w:tcBorders>
          </w:tcPr>
          <w:p w14:paraId="3ED321DD" w14:textId="77777777" w:rsidR="00021354" w:rsidRDefault="00021354" w:rsidP="003F3EB9">
            <w:pPr>
              <w:jc w:val="center"/>
            </w:pPr>
            <w:r>
              <w:t>41.4</w:t>
            </w:r>
          </w:p>
        </w:tc>
      </w:tr>
      <w:tr w:rsidR="003705D9" w14:paraId="7D37BF0B" w14:textId="77777777" w:rsidTr="003F3EB9">
        <w:trPr>
          <w:gridAfter w:val="1"/>
          <w:wAfter w:w="12" w:type="dxa"/>
        </w:trPr>
        <w:tc>
          <w:tcPr>
            <w:tcW w:w="2934" w:type="dxa"/>
            <w:tcBorders>
              <w:top w:val="nil"/>
              <w:left w:val="nil"/>
              <w:bottom w:val="nil"/>
              <w:right w:val="nil"/>
            </w:tcBorders>
          </w:tcPr>
          <w:p w14:paraId="6CE545E0" w14:textId="2F5F9129" w:rsidR="00021354" w:rsidRDefault="00021354" w:rsidP="003F3EB9">
            <w:r>
              <w:t>16. Argument/fight</w:t>
            </w:r>
          </w:p>
        </w:tc>
        <w:tc>
          <w:tcPr>
            <w:tcW w:w="1253" w:type="dxa"/>
            <w:tcBorders>
              <w:top w:val="nil"/>
              <w:left w:val="nil"/>
              <w:bottom w:val="nil"/>
              <w:right w:val="nil"/>
            </w:tcBorders>
          </w:tcPr>
          <w:p w14:paraId="32B69D8F" w14:textId="77777777" w:rsidR="00021354" w:rsidRDefault="00021354" w:rsidP="003F3EB9">
            <w:pPr>
              <w:jc w:val="center"/>
            </w:pPr>
            <w:r>
              <w:t>41.4</w:t>
            </w:r>
          </w:p>
        </w:tc>
        <w:tc>
          <w:tcPr>
            <w:tcW w:w="1253" w:type="dxa"/>
            <w:gridSpan w:val="2"/>
            <w:tcBorders>
              <w:top w:val="nil"/>
              <w:left w:val="nil"/>
              <w:bottom w:val="nil"/>
              <w:right w:val="nil"/>
            </w:tcBorders>
          </w:tcPr>
          <w:p w14:paraId="22C7421B" w14:textId="77777777" w:rsidR="00021354" w:rsidRDefault="00021354" w:rsidP="003F3EB9">
            <w:pPr>
              <w:jc w:val="center"/>
            </w:pPr>
            <w:r>
              <w:t>23.4</w:t>
            </w:r>
          </w:p>
        </w:tc>
        <w:tc>
          <w:tcPr>
            <w:tcW w:w="1254" w:type="dxa"/>
            <w:gridSpan w:val="2"/>
            <w:tcBorders>
              <w:top w:val="nil"/>
              <w:left w:val="nil"/>
              <w:bottom w:val="nil"/>
              <w:right w:val="nil"/>
            </w:tcBorders>
          </w:tcPr>
          <w:p w14:paraId="513FC067" w14:textId="77777777" w:rsidR="00021354" w:rsidRDefault="00021354" w:rsidP="003F3EB9">
            <w:pPr>
              <w:jc w:val="center"/>
            </w:pPr>
            <w:r>
              <w:t>18.5</w:t>
            </w:r>
          </w:p>
        </w:tc>
        <w:tc>
          <w:tcPr>
            <w:tcW w:w="1253" w:type="dxa"/>
            <w:gridSpan w:val="2"/>
            <w:tcBorders>
              <w:top w:val="nil"/>
              <w:left w:val="nil"/>
              <w:bottom w:val="nil"/>
              <w:right w:val="nil"/>
            </w:tcBorders>
          </w:tcPr>
          <w:p w14:paraId="15C50AE9" w14:textId="77777777" w:rsidR="00021354" w:rsidRDefault="00021354" w:rsidP="003F3EB9">
            <w:pPr>
              <w:jc w:val="center"/>
            </w:pPr>
            <w:r>
              <w:t>12.6</w:t>
            </w:r>
          </w:p>
        </w:tc>
        <w:tc>
          <w:tcPr>
            <w:tcW w:w="1254" w:type="dxa"/>
            <w:gridSpan w:val="2"/>
            <w:tcBorders>
              <w:top w:val="nil"/>
              <w:left w:val="nil"/>
              <w:bottom w:val="nil"/>
              <w:right w:val="nil"/>
            </w:tcBorders>
          </w:tcPr>
          <w:p w14:paraId="434037CE" w14:textId="77777777" w:rsidR="00021354" w:rsidRDefault="00021354" w:rsidP="003F3EB9">
            <w:pPr>
              <w:jc w:val="center"/>
            </w:pPr>
            <w:r>
              <w:t>3.2</w:t>
            </w:r>
          </w:p>
        </w:tc>
        <w:tc>
          <w:tcPr>
            <w:tcW w:w="1253" w:type="dxa"/>
            <w:gridSpan w:val="2"/>
            <w:tcBorders>
              <w:top w:val="nil"/>
              <w:left w:val="nil"/>
              <w:bottom w:val="nil"/>
              <w:right w:val="nil"/>
            </w:tcBorders>
          </w:tcPr>
          <w:p w14:paraId="11A9A54B" w14:textId="77777777" w:rsidR="00021354" w:rsidRDefault="00021354" w:rsidP="003F3EB9">
            <w:pPr>
              <w:jc w:val="center"/>
            </w:pPr>
            <w:r>
              <w:t>0.9</w:t>
            </w:r>
          </w:p>
        </w:tc>
        <w:tc>
          <w:tcPr>
            <w:tcW w:w="1254" w:type="dxa"/>
            <w:tcBorders>
              <w:top w:val="nil"/>
              <w:left w:val="nil"/>
              <w:bottom w:val="nil"/>
              <w:right w:val="nil"/>
            </w:tcBorders>
          </w:tcPr>
          <w:p w14:paraId="3436DE5A" w14:textId="77777777" w:rsidR="00021354" w:rsidRDefault="00021354" w:rsidP="003F3EB9">
            <w:pPr>
              <w:jc w:val="center"/>
            </w:pPr>
            <w:r>
              <w:t>58.6</w:t>
            </w:r>
          </w:p>
        </w:tc>
      </w:tr>
      <w:tr w:rsidR="00886493" w14:paraId="00444F01" w14:textId="77777777" w:rsidTr="003F3EB9">
        <w:trPr>
          <w:gridAfter w:val="1"/>
          <w:wAfter w:w="12" w:type="dxa"/>
          <w:trHeight w:val="99"/>
        </w:trPr>
        <w:tc>
          <w:tcPr>
            <w:tcW w:w="2934" w:type="dxa"/>
            <w:tcBorders>
              <w:top w:val="nil"/>
              <w:left w:val="nil"/>
              <w:bottom w:val="nil"/>
              <w:right w:val="nil"/>
            </w:tcBorders>
          </w:tcPr>
          <w:p w14:paraId="5EA91316" w14:textId="0050A91E" w:rsidR="00021354" w:rsidRDefault="00021354" w:rsidP="003F3EB9">
            <w:r>
              <w:t>17. Made fun of/harmed</w:t>
            </w:r>
          </w:p>
        </w:tc>
        <w:tc>
          <w:tcPr>
            <w:tcW w:w="1253" w:type="dxa"/>
            <w:tcBorders>
              <w:top w:val="nil"/>
              <w:left w:val="nil"/>
              <w:bottom w:val="nil"/>
              <w:right w:val="nil"/>
            </w:tcBorders>
          </w:tcPr>
          <w:p w14:paraId="174E2A35" w14:textId="77777777" w:rsidR="00021354" w:rsidRDefault="00021354" w:rsidP="003F3EB9">
            <w:pPr>
              <w:jc w:val="center"/>
            </w:pPr>
            <w:r>
              <w:t>76.6</w:t>
            </w:r>
          </w:p>
        </w:tc>
        <w:tc>
          <w:tcPr>
            <w:tcW w:w="1253" w:type="dxa"/>
            <w:gridSpan w:val="2"/>
            <w:tcBorders>
              <w:top w:val="nil"/>
              <w:left w:val="nil"/>
              <w:bottom w:val="nil"/>
              <w:right w:val="nil"/>
            </w:tcBorders>
          </w:tcPr>
          <w:p w14:paraId="2CB5E65B" w14:textId="77777777" w:rsidR="00021354" w:rsidRDefault="00021354" w:rsidP="003F3EB9">
            <w:pPr>
              <w:jc w:val="center"/>
            </w:pPr>
            <w:r>
              <w:t>12.6</w:t>
            </w:r>
          </w:p>
        </w:tc>
        <w:tc>
          <w:tcPr>
            <w:tcW w:w="1254" w:type="dxa"/>
            <w:gridSpan w:val="2"/>
            <w:tcBorders>
              <w:top w:val="nil"/>
              <w:left w:val="nil"/>
              <w:bottom w:val="nil"/>
              <w:right w:val="nil"/>
            </w:tcBorders>
          </w:tcPr>
          <w:p w14:paraId="59530640" w14:textId="2C67C3E2" w:rsidR="00021354" w:rsidRDefault="002A5071" w:rsidP="003F3EB9">
            <w:pPr>
              <w:jc w:val="center"/>
            </w:pPr>
            <w:r>
              <w:t xml:space="preserve">   </w:t>
            </w:r>
            <w:r w:rsidR="00021354">
              <w:t>5.4</w:t>
            </w:r>
          </w:p>
        </w:tc>
        <w:tc>
          <w:tcPr>
            <w:tcW w:w="1253" w:type="dxa"/>
            <w:gridSpan w:val="2"/>
            <w:tcBorders>
              <w:top w:val="nil"/>
              <w:left w:val="nil"/>
              <w:bottom w:val="nil"/>
              <w:right w:val="nil"/>
            </w:tcBorders>
          </w:tcPr>
          <w:p w14:paraId="6123B33E" w14:textId="77777777" w:rsidR="00021354" w:rsidRDefault="00021354" w:rsidP="003F3EB9">
            <w:pPr>
              <w:jc w:val="center"/>
            </w:pPr>
            <w:r>
              <w:t>2.7</w:t>
            </w:r>
          </w:p>
        </w:tc>
        <w:tc>
          <w:tcPr>
            <w:tcW w:w="1254" w:type="dxa"/>
            <w:gridSpan w:val="2"/>
            <w:tcBorders>
              <w:top w:val="nil"/>
              <w:left w:val="nil"/>
              <w:bottom w:val="nil"/>
              <w:right w:val="nil"/>
            </w:tcBorders>
          </w:tcPr>
          <w:p w14:paraId="31A0443D" w14:textId="77777777" w:rsidR="00021354" w:rsidRDefault="00021354" w:rsidP="003F3EB9">
            <w:pPr>
              <w:jc w:val="center"/>
            </w:pPr>
            <w:r>
              <w:t>2.3</w:t>
            </w:r>
          </w:p>
        </w:tc>
        <w:tc>
          <w:tcPr>
            <w:tcW w:w="1253" w:type="dxa"/>
            <w:gridSpan w:val="2"/>
            <w:tcBorders>
              <w:top w:val="nil"/>
              <w:left w:val="nil"/>
              <w:bottom w:val="nil"/>
              <w:right w:val="nil"/>
            </w:tcBorders>
          </w:tcPr>
          <w:p w14:paraId="6C66B585" w14:textId="77777777" w:rsidR="00021354" w:rsidRDefault="00021354" w:rsidP="003F3EB9">
            <w:pPr>
              <w:jc w:val="center"/>
            </w:pPr>
            <w:r>
              <w:t>0.5</w:t>
            </w:r>
          </w:p>
        </w:tc>
        <w:tc>
          <w:tcPr>
            <w:tcW w:w="1254" w:type="dxa"/>
            <w:tcBorders>
              <w:top w:val="nil"/>
              <w:left w:val="nil"/>
              <w:bottom w:val="nil"/>
              <w:right w:val="nil"/>
            </w:tcBorders>
          </w:tcPr>
          <w:p w14:paraId="3B4E9598" w14:textId="77777777" w:rsidR="00021354" w:rsidRDefault="00021354" w:rsidP="003F3EB9">
            <w:pPr>
              <w:jc w:val="center"/>
            </w:pPr>
            <w:r>
              <w:t>23.4</w:t>
            </w:r>
          </w:p>
        </w:tc>
      </w:tr>
      <w:tr w:rsidR="001B7DCF" w14:paraId="72518795" w14:textId="77777777" w:rsidTr="003F3EB9">
        <w:trPr>
          <w:trHeight w:val="666"/>
        </w:trPr>
        <w:tc>
          <w:tcPr>
            <w:tcW w:w="2934" w:type="dxa"/>
            <w:tcBorders>
              <w:top w:val="nil"/>
              <w:left w:val="nil"/>
              <w:bottom w:val="nil"/>
              <w:right w:val="nil"/>
            </w:tcBorders>
          </w:tcPr>
          <w:p w14:paraId="0D9BE77E" w14:textId="77777777" w:rsidR="001B7DCF" w:rsidRDefault="001B7DCF" w:rsidP="003F3EB9">
            <w:pPr>
              <w:jc w:val="center"/>
            </w:pPr>
          </w:p>
        </w:tc>
        <w:tc>
          <w:tcPr>
            <w:tcW w:w="1464" w:type="dxa"/>
            <w:gridSpan w:val="2"/>
            <w:tcBorders>
              <w:top w:val="nil"/>
              <w:left w:val="nil"/>
              <w:bottom w:val="nil"/>
              <w:right w:val="nil"/>
            </w:tcBorders>
            <w:vAlign w:val="center"/>
          </w:tcPr>
          <w:p w14:paraId="310C94C8" w14:textId="0DFCBB8E" w:rsidR="008C2997" w:rsidRDefault="008F0171" w:rsidP="003F3EB9">
            <w:pPr>
              <w:jc w:val="center"/>
            </w:pPr>
            <w:r>
              <w:t>Same</w:t>
            </w:r>
          </w:p>
        </w:tc>
        <w:tc>
          <w:tcPr>
            <w:tcW w:w="1464" w:type="dxa"/>
            <w:gridSpan w:val="2"/>
            <w:tcBorders>
              <w:top w:val="nil"/>
              <w:left w:val="nil"/>
              <w:bottom w:val="nil"/>
              <w:right w:val="nil"/>
            </w:tcBorders>
            <w:vAlign w:val="center"/>
          </w:tcPr>
          <w:p w14:paraId="62758F9F" w14:textId="77777777" w:rsidR="002C475D" w:rsidRDefault="00B2142D" w:rsidP="003F3EB9">
            <w:pPr>
              <w:jc w:val="center"/>
            </w:pPr>
            <w:r>
              <w:t>A little</w:t>
            </w:r>
          </w:p>
          <w:p w14:paraId="4AB4857C" w14:textId="38E25596" w:rsidR="00B2142D" w:rsidRDefault="00B2142D" w:rsidP="003F3EB9">
            <w:pPr>
              <w:jc w:val="center"/>
            </w:pPr>
            <w:r>
              <w:t>different</w:t>
            </w:r>
          </w:p>
        </w:tc>
        <w:tc>
          <w:tcPr>
            <w:tcW w:w="1465" w:type="dxa"/>
            <w:gridSpan w:val="2"/>
            <w:tcBorders>
              <w:top w:val="nil"/>
              <w:left w:val="nil"/>
              <w:bottom w:val="nil"/>
              <w:right w:val="nil"/>
            </w:tcBorders>
            <w:vAlign w:val="center"/>
          </w:tcPr>
          <w:p w14:paraId="3654578D" w14:textId="77777777" w:rsidR="001B7DCF" w:rsidRDefault="008C2997" w:rsidP="003F3EB9">
            <w:pPr>
              <w:jc w:val="center"/>
            </w:pPr>
            <w:r>
              <w:t>In a</w:t>
            </w:r>
          </w:p>
          <w:p w14:paraId="0A71D52B" w14:textId="3B9CE738" w:rsidR="008C2997" w:rsidRDefault="008C2997" w:rsidP="003F3EB9">
            <w:pPr>
              <w:jc w:val="center"/>
            </w:pPr>
            <w:r>
              <w:t>few ways</w:t>
            </w:r>
          </w:p>
        </w:tc>
        <w:tc>
          <w:tcPr>
            <w:tcW w:w="1464" w:type="dxa"/>
            <w:gridSpan w:val="2"/>
            <w:tcBorders>
              <w:top w:val="nil"/>
              <w:left w:val="nil"/>
              <w:bottom w:val="nil"/>
              <w:right w:val="nil"/>
            </w:tcBorders>
            <w:vAlign w:val="center"/>
          </w:tcPr>
          <w:p w14:paraId="4CA772C5" w14:textId="77777777" w:rsidR="00FB04A3" w:rsidRDefault="00FB04A3" w:rsidP="003F3EB9">
            <w:pPr>
              <w:jc w:val="center"/>
            </w:pPr>
            <w:r>
              <w:t xml:space="preserve">In a </w:t>
            </w:r>
            <w:r w:rsidR="001232DF">
              <w:t>lot</w:t>
            </w:r>
          </w:p>
          <w:p w14:paraId="4C0B9468" w14:textId="623207D3" w:rsidR="001B7DCF" w:rsidRDefault="001232DF" w:rsidP="003F3EB9">
            <w:pPr>
              <w:jc w:val="center"/>
            </w:pPr>
            <w:r>
              <w:t>of ways</w:t>
            </w:r>
          </w:p>
        </w:tc>
        <w:tc>
          <w:tcPr>
            <w:tcW w:w="1464" w:type="dxa"/>
            <w:gridSpan w:val="2"/>
            <w:tcBorders>
              <w:top w:val="nil"/>
              <w:left w:val="nil"/>
              <w:bottom w:val="nil"/>
              <w:right w:val="nil"/>
            </w:tcBorders>
            <w:vAlign w:val="center"/>
          </w:tcPr>
          <w:p w14:paraId="38317D7C" w14:textId="34631939" w:rsidR="001B7DCF" w:rsidRDefault="000B7FA5" w:rsidP="003F3EB9">
            <w:pPr>
              <w:jc w:val="center"/>
            </w:pPr>
            <w:r>
              <w:t>In most</w:t>
            </w:r>
          </w:p>
          <w:p w14:paraId="7349460D" w14:textId="69D0CD45" w:rsidR="000B7FA5" w:rsidRDefault="000B7FA5" w:rsidP="003F3EB9">
            <w:pPr>
              <w:jc w:val="center"/>
            </w:pPr>
            <w:r>
              <w:t>ways</w:t>
            </w:r>
          </w:p>
        </w:tc>
        <w:tc>
          <w:tcPr>
            <w:tcW w:w="1465" w:type="dxa"/>
            <w:gridSpan w:val="3"/>
            <w:tcBorders>
              <w:top w:val="nil"/>
              <w:left w:val="nil"/>
              <w:bottom w:val="nil"/>
              <w:right w:val="nil"/>
            </w:tcBorders>
            <w:vAlign w:val="center"/>
          </w:tcPr>
          <w:p w14:paraId="7718E18C" w14:textId="5C47E02B" w:rsidR="006A795C" w:rsidRDefault="006A795C" w:rsidP="003F3EB9">
            <w:r>
              <w:t xml:space="preserve">   </w:t>
            </w:r>
            <w:r w:rsidR="001B7DCF">
              <w:t xml:space="preserve">Totally </w:t>
            </w:r>
          </w:p>
          <w:p w14:paraId="7BB538D0" w14:textId="77530E85" w:rsidR="001B7DCF" w:rsidRDefault="006A795C" w:rsidP="003F3EB9">
            <w:r>
              <w:t xml:space="preserve">  </w:t>
            </w:r>
            <w:r w:rsidR="001B7DCF">
              <w:t>Different</w:t>
            </w:r>
          </w:p>
        </w:tc>
      </w:tr>
      <w:tr w:rsidR="0053644C" w14:paraId="130F6BD7" w14:textId="77777777" w:rsidTr="003F3EB9">
        <w:trPr>
          <w:trHeight w:val="99"/>
        </w:trPr>
        <w:tc>
          <w:tcPr>
            <w:tcW w:w="2934" w:type="dxa"/>
            <w:tcBorders>
              <w:top w:val="nil"/>
              <w:left w:val="nil"/>
              <w:bottom w:val="single" w:sz="4" w:space="0" w:color="auto"/>
              <w:right w:val="nil"/>
            </w:tcBorders>
          </w:tcPr>
          <w:p w14:paraId="7131E4AE" w14:textId="3F180C4E" w:rsidR="0053644C" w:rsidRDefault="0053644C" w:rsidP="003F3EB9">
            <w:r>
              <w:t>18. How different would life be without past-year discrimination?</w:t>
            </w:r>
          </w:p>
        </w:tc>
        <w:tc>
          <w:tcPr>
            <w:tcW w:w="1464" w:type="dxa"/>
            <w:gridSpan w:val="2"/>
            <w:tcBorders>
              <w:top w:val="nil"/>
              <w:left w:val="nil"/>
              <w:bottom w:val="single" w:sz="4" w:space="0" w:color="auto"/>
              <w:right w:val="nil"/>
            </w:tcBorders>
          </w:tcPr>
          <w:p w14:paraId="221EDD60" w14:textId="5D3E92D7" w:rsidR="0053644C" w:rsidRDefault="002A5071" w:rsidP="003F3EB9">
            <w:pPr>
              <w:jc w:val="center"/>
            </w:pPr>
            <w:r>
              <w:t>38.3</w:t>
            </w:r>
          </w:p>
        </w:tc>
        <w:tc>
          <w:tcPr>
            <w:tcW w:w="1464" w:type="dxa"/>
            <w:gridSpan w:val="2"/>
            <w:tcBorders>
              <w:top w:val="nil"/>
              <w:left w:val="nil"/>
              <w:bottom w:val="single" w:sz="4" w:space="0" w:color="auto"/>
              <w:right w:val="nil"/>
            </w:tcBorders>
          </w:tcPr>
          <w:p w14:paraId="151F7096" w14:textId="23E6830F" w:rsidR="0053644C" w:rsidRDefault="002A5071" w:rsidP="003F3EB9">
            <w:pPr>
              <w:jc w:val="center"/>
            </w:pPr>
            <w:r>
              <w:t>10.3</w:t>
            </w:r>
          </w:p>
        </w:tc>
        <w:tc>
          <w:tcPr>
            <w:tcW w:w="1465" w:type="dxa"/>
            <w:gridSpan w:val="2"/>
            <w:tcBorders>
              <w:top w:val="nil"/>
              <w:left w:val="nil"/>
              <w:bottom w:val="single" w:sz="4" w:space="0" w:color="auto"/>
              <w:right w:val="nil"/>
            </w:tcBorders>
          </w:tcPr>
          <w:p w14:paraId="722EF39F" w14:textId="3F15017A" w:rsidR="0053644C" w:rsidRDefault="002A5071" w:rsidP="003F3EB9">
            <w:pPr>
              <w:jc w:val="center"/>
            </w:pPr>
            <w:r>
              <w:t>17.1</w:t>
            </w:r>
          </w:p>
        </w:tc>
        <w:tc>
          <w:tcPr>
            <w:tcW w:w="1464" w:type="dxa"/>
            <w:gridSpan w:val="2"/>
            <w:tcBorders>
              <w:top w:val="nil"/>
              <w:left w:val="nil"/>
              <w:bottom w:val="single" w:sz="4" w:space="0" w:color="auto"/>
              <w:right w:val="nil"/>
            </w:tcBorders>
          </w:tcPr>
          <w:p w14:paraId="0E44FF65" w14:textId="192A95E6" w:rsidR="0053644C" w:rsidRDefault="002A5071" w:rsidP="003F3EB9">
            <w:pPr>
              <w:jc w:val="center"/>
            </w:pPr>
            <w:r>
              <w:t>12.6</w:t>
            </w:r>
          </w:p>
        </w:tc>
        <w:tc>
          <w:tcPr>
            <w:tcW w:w="1464" w:type="dxa"/>
            <w:gridSpan w:val="2"/>
            <w:tcBorders>
              <w:top w:val="nil"/>
              <w:left w:val="nil"/>
              <w:bottom w:val="single" w:sz="4" w:space="0" w:color="auto"/>
              <w:right w:val="nil"/>
            </w:tcBorders>
          </w:tcPr>
          <w:p w14:paraId="08067713" w14:textId="31379A34" w:rsidR="0053644C" w:rsidRDefault="002A5071" w:rsidP="003F3EB9">
            <w:pPr>
              <w:jc w:val="center"/>
            </w:pPr>
            <w:r>
              <w:t>4.5</w:t>
            </w:r>
          </w:p>
        </w:tc>
        <w:tc>
          <w:tcPr>
            <w:tcW w:w="1465" w:type="dxa"/>
            <w:gridSpan w:val="3"/>
            <w:tcBorders>
              <w:top w:val="nil"/>
              <w:left w:val="nil"/>
              <w:bottom w:val="single" w:sz="4" w:space="0" w:color="auto"/>
              <w:right w:val="nil"/>
            </w:tcBorders>
          </w:tcPr>
          <w:p w14:paraId="18BFD9B3" w14:textId="08594090" w:rsidR="0053644C" w:rsidRDefault="006A795C" w:rsidP="003F3EB9">
            <w:r>
              <w:t xml:space="preserve">      </w:t>
            </w:r>
            <w:r w:rsidR="002A5071">
              <w:t>7.7</w:t>
            </w:r>
          </w:p>
        </w:tc>
      </w:tr>
    </w:tbl>
    <w:p w14:paraId="6A998975" w14:textId="77777777" w:rsidR="007366C6" w:rsidRDefault="007366C6" w:rsidP="00FA53C2">
      <w:pPr>
        <w:spacing w:line="480" w:lineRule="auto"/>
        <w:rPr>
          <w:b/>
          <w:bCs/>
          <w:color w:val="000000" w:themeColor="text1"/>
        </w:rPr>
      </w:pPr>
    </w:p>
    <w:p w14:paraId="12E0F22C" w14:textId="0B41DBD9" w:rsidR="00AB6C80" w:rsidRDefault="00AB6C80" w:rsidP="00FA53C2">
      <w:pPr>
        <w:spacing w:line="480" w:lineRule="auto"/>
        <w:rPr>
          <w:b/>
          <w:bCs/>
          <w:color w:val="000000" w:themeColor="text1"/>
        </w:rPr>
      </w:pPr>
    </w:p>
    <w:p w14:paraId="31705721" w14:textId="77777777" w:rsidR="003F3EB9" w:rsidRDefault="003F3EB9" w:rsidP="00F2128A">
      <w:pPr>
        <w:spacing w:line="480" w:lineRule="auto"/>
        <w:ind w:left="-1170"/>
        <w:rPr>
          <w:b/>
          <w:bCs/>
          <w:color w:val="000000" w:themeColor="text1"/>
        </w:rPr>
        <w:sectPr w:rsidR="003F3EB9" w:rsidSect="003F3EB9">
          <w:pgSz w:w="15840" w:h="12240" w:orient="landscape"/>
          <w:pgMar w:top="1440" w:right="1440" w:bottom="1440" w:left="1440" w:header="720" w:footer="720" w:gutter="0"/>
          <w:pgNumType w:start="37"/>
          <w:cols w:space="720"/>
          <w:docGrid w:linePitch="360"/>
        </w:sectPr>
      </w:pPr>
    </w:p>
    <w:p w14:paraId="2F7CC4F9" w14:textId="6DF37F87" w:rsidR="00F2128A" w:rsidRDefault="00F2128A" w:rsidP="00F2128A">
      <w:pPr>
        <w:spacing w:line="480" w:lineRule="auto"/>
        <w:ind w:left="-1170"/>
        <w:rPr>
          <w:b/>
          <w:bCs/>
          <w:color w:val="000000" w:themeColor="text1"/>
        </w:rPr>
      </w:pPr>
    </w:p>
    <w:p w14:paraId="0ED8AB10" w14:textId="77777777" w:rsidR="00F2128A" w:rsidRDefault="00F2128A" w:rsidP="00F2128A">
      <w:pPr>
        <w:spacing w:line="480" w:lineRule="auto"/>
        <w:ind w:left="-1170"/>
        <w:rPr>
          <w:b/>
          <w:bCs/>
          <w:color w:val="000000" w:themeColor="text1"/>
        </w:rPr>
      </w:pPr>
    </w:p>
    <w:p w14:paraId="03D88A83" w14:textId="609D5527" w:rsidR="00FA53C2" w:rsidRDefault="00FA53C2" w:rsidP="003F3EB9">
      <w:pPr>
        <w:spacing w:line="480" w:lineRule="auto"/>
        <w:rPr>
          <w:b/>
          <w:bCs/>
          <w:color w:val="000000" w:themeColor="text1"/>
        </w:rPr>
      </w:pPr>
      <w:r>
        <w:rPr>
          <w:b/>
          <w:bCs/>
          <w:color w:val="000000" w:themeColor="text1"/>
        </w:rPr>
        <w:t>Table 3</w:t>
      </w:r>
    </w:p>
    <w:p w14:paraId="25467772" w14:textId="1960C528" w:rsidR="00FA53C2" w:rsidRDefault="00F2128A" w:rsidP="003F3EB9">
      <w:pPr>
        <w:rPr>
          <w:i/>
          <w:iCs/>
          <w:color w:val="000000" w:themeColor="text1"/>
        </w:rPr>
      </w:pPr>
      <w:r w:rsidRPr="00F2128A">
        <w:rPr>
          <w:i/>
          <w:iCs/>
          <w:color w:val="000000" w:themeColor="text1"/>
        </w:rPr>
        <w:t>Percentage</w:t>
      </w:r>
      <w:r w:rsidR="00FA53C2" w:rsidRPr="00F2128A">
        <w:rPr>
          <w:i/>
          <w:iCs/>
          <w:color w:val="000000" w:themeColor="text1"/>
        </w:rPr>
        <w:t xml:space="preserve"> of</w:t>
      </w:r>
      <w:r w:rsidR="003E0A38" w:rsidRPr="00F2128A">
        <w:rPr>
          <w:i/>
          <w:iCs/>
          <w:color w:val="000000" w:themeColor="text1"/>
        </w:rPr>
        <w:t xml:space="preserve"> </w:t>
      </w:r>
      <w:r w:rsidRPr="00F2128A">
        <w:rPr>
          <w:i/>
          <w:iCs/>
          <w:color w:val="000000" w:themeColor="text1"/>
        </w:rPr>
        <w:t xml:space="preserve">Sample </w:t>
      </w:r>
      <w:r w:rsidR="003E0A38" w:rsidRPr="00F2128A">
        <w:rPr>
          <w:i/>
          <w:iCs/>
          <w:color w:val="000000" w:themeColor="text1"/>
        </w:rPr>
        <w:t>R</w:t>
      </w:r>
      <w:r w:rsidR="00FA53C2" w:rsidRPr="00F2128A">
        <w:rPr>
          <w:i/>
          <w:iCs/>
          <w:color w:val="000000" w:themeColor="text1"/>
        </w:rPr>
        <w:t>eporting</w:t>
      </w:r>
      <w:r w:rsidR="003E0A38" w:rsidRPr="00F2128A">
        <w:rPr>
          <w:i/>
          <w:iCs/>
          <w:color w:val="000000" w:themeColor="text1"/>
        </w:rPr>
        <w:t xml:space="preserve"> </w:t>
      </w:r>
      <w:r w:rsidRPr="00F2128A">
        <w:rPr>
          <w:i/>
          <w:iCs/>
          <w:color w:val="000000" w:themeColor="text1"/>
        </w:rPr>
        <w:t>Specific Discriminatory Events</w:t>
      </w:r>
      <w:r w:rsidR="00FA53C2" w:rsidRPr="00F2128A">
        <w:rPr>
          <w:i/>
          <w:iCs/>
          <w:color w:val="000000" w:themeColor="text1"/>
        </w:rPr>
        <w:t xml:space="preserve"> (</w:t>
      </w:r>
      <w:r w:rsidRPr="00F2128A">
        <w:rPr>
          <w:i/>
          <w:iCs/>
          <w:color w:val="000000" w:themeColor="text1"/>
        </w:rPr>
        <w:t>Lifetime</w:t>
      </w:r>
      <w:r w:rsidR="00FA53C2" w:rsidRPr="00F2128A">
        <w:rPr>
          <w:i/>
          <w:iCs/>
          <w:color w:val="000000" w:themeColor="text1"/>
        </w:rPr>
        <w:t>)</w:t>
      </w:r>
    </w:p>
    <w:tbl>
      <w:tblPr>
        <w:tblStyle w:val="TableGrid"/>
        <w:tblW w:w="11880" w:type="dxa"/>
        <w:tblInd w:w="-90" w:type="dxa"/>
        <w:tblLook w:val="04A0" w:firstRow="1" w:lastRow="0" w:firstColumn="1" w:lastColumn="0" w:noHBand="0" w:noVBand="1"/>
      </w:tblPr>
      <w:tblGrid>
        <w:gridCol w:w="2843"/>
        <w:gridCol w:w="1182"/>
        <w:gridCol w:w="109"/>
        <w:gridCol w:w="1074"/>
        <w:gridCol w:w="217"/>
        <w:gridCol w:w="966"/>
        <w:gridCol w:w="325"/>
        <w:gridCol w:w="857"/>
        <w:gridCol w:w="434"/>
        <w:gridCol w:w="749"/>
        <w:gridCol w:w="542"/>
        <w:gridCol w:w="641"/>
        <w:gridCol w:w="650"/>
        <w:gridCol w:w="1291"/>
      </w:tblGrid>
      <w:tr w:rsidR="002A5071" w:rsidRPr="002A15EB" w14:paraId="0E6D7A31" w14:textId="77777777" w:rsidTr="003F3EB9">
        <w:tc>
          <w:tcPr>
            <w:tcW w:w="2843" w:type="dxa"/>
            <w:tcBorders>
              <w:left w:val="nil"/>
              <w:bottom w:val="single" w:sz="4" w:space="0" w:color="auto"/>
              <w:right w:val="nil"/>
            </w:tcBorders>
            <w:vAlign w:val="center"/>
          </w:tcPr>
          <w:p w14:paraId="1B610F32" w14:textId="77777777" w:rsidR="002A5071" w:rsidRPr="003E0A38" w:rsidRDefault="002A5071" w:rsidP="000409D6">
            <w:pPr>
              <w:jc w:val="center"/>
            </w:pPr>
            <w:r w:rsidRPr="003E0A38">
              <w:t>Item</w:t>
            </w:r>
          </w:p>
        </w:tc>
        <w:tc>
          <w:tcPr>
            <w:tcW w:w="1291" w:type="dxa"/>
            <w:gridSpan w:val="2"/>
            <w:tcBorders>
              <w:left w:val="nil"/>
              <w:bottom w:val="single" w:sz="4" w:space="0" w:color="auto"/>
              <w:right w:val="nil"/>
            </w:tcBorders>
            <w:vAlign w:val="center"/>
          </w:tcPr>
          <w:p w14:paraId="7590C3FF" w14:textId="0B87CAB6" w:rsidR="002A5071" w:rsidRPr="003E0A38" w:rsidRDefault="002A5071" w:rsidP="000409D6">
            <w:pPr>
              <w:jc w:val="center"/>
            </w:pPr>
            <w:r w:rsidRPr="003E0A38">
              <w:t>N</w:t>
            </w:r>
            <w:r>
              <w:t>o</w:t>
            </w:r>
          </w:p>
        </w:tc>
        <w:tc>
          <w:tcPr>
            <w:tcW w:w="1291" w:type="dxa"/>
            <w:gridSpan w:val="2"/>
            <w:tcBorders>
              <w:left w:val="nil"/>
              <w:bottom w:val="single" w:sz="4" w:space="0" w:color="auto"/>
              <w:right w:val="nil"/>
            </w:tcBorders>
          </w:tcPr>
          <w:p w14:paraId="7EC288CB" w14:textId="77777777" w:rsidR="00F2128A" w:rsidRDefault="00F2128A" w:rsidP="00F2128A">
            <w:pPr>
              <w:jc w:val="center"/>
            </w:pPr>
            <w:r>
              <w:t>&lt;</w:t>
            </w:r>
            <w:r w:rsidRPr="003E0A38">
              <w:t>10%</w:t>
            </w:r>
            <w:r>
              <w:t xml:space="preserve"> </w:t>
            </w:r>
          </w:p>
          <w:p w14:paraId="4DBBF320" w14:textId="0806C39F" w:rsidR="002A5071" w:rsidRPr="003E0A38" w:rsidRDefault="00F2128A" w:rsidP="00F2128A">
            <w:pPr>
              <w:jc w:val="center"/>
            </w:pPr>
            <w:r w:rsidRPr="003E0A38">
              <w:t>of the time</w:t>
            </w:r>
          </w:p>
        </w:tc>
        <w:tc>
          <w:tcPr>
            <w:tcW w:w="1291" w:type="dxa"/>
            <w:gridSpan w:val="2"/>
            <w:tcBorders>
              <w:left w:val="nil"/>
              <w:bottom w:val="single" w:sz="4" w:space="0" w:color="auto"/>
              <w:right w:val="nil"/>
            </w:tcBorders>
          </w:tcPr>
          <w:p w14:paraId="69AC0594" w14:textId="77777777" w:rsidR="00F2128A" w:rsidRPr="003E0A38" w:rsidRDefault="00F2128A" w:rsidP="00F2128A">
            <w:pPr>
              <w:jc w:val="center"/>
            </w:pPr>
            <w:r w:rsidRPr="003E0A38">
              <w:t>10–25%</w:t>
            </w:r>
          </w:p>
          <w:p w14:paraId="3E6B00FF" w14:textId="075EFA40" w:rsidR="002A5071" w:rsidRPr="003E0A38" w:rsidRDefault="00F2128A" w:rsidP="00F2128A">
            <w:pPr>
              <w:jc w:val="center"/>
            </w:pPr>
            <w:r w:rsidRPr="003E0A38">
              <w:t>of the time</w:t>
            </w:r>
          </w:p>
        </w:tc>
        <w:tc>
          <w:tcPr>
            <w:tcW w:w="1291" w:type="dxa"/>
            <w:gridSpan w:val="2"/>
            <w:tcBorders>
              <w:left w:val="nil"/>
              <w:bottom w:val="single" w:sz="4" w:space="0" w:color="auto"/>
              <w:right w:val="nil"/>
            </w:tcBorders>
          </w:tcPr>
          <w:p w14:paraId="66F1A97E" w14:textId="77777777" w:rsidR="00F2128A" w:rsidRPr="003E0A38" w:rsidRDefault="00F2128A" w:rsidP="00F2128A">
            <w:pPr>
              <w:jc w:val="center"/>
            </w:pPr>
            <w:r w:rsidRPr="003E0A38">
              <w:t>26–49%</w:t>
            </w:r>
          </w:p>
          <w:p w14:paraId="2A11FF78" w14:textId="600024BB" w:rsidR="002A5071" w:rsidRPr="003E0A38" w:rsidRDefault="00F2128A" w:rsidP="00F2128A">
            <w:pPr>
              <w:jc w:val="center"/>
            </w:pPr>
            <w:r w:rsidRPr="003E0A38">
              <w:t>of the time</w:t>
            </w:r>
          </w:p>
        </w:tc>
        <w:tc>
          <w:tcPr>
            <w:tcW w:w="1291" w:type="dxa"/>
            <w:gridSpan w:val="2"/>
            <w:tcBorders>
              <w:left w:val="nil"/>
              <w:bottom w:val="single" w:sz="4" w:space="0" w:color="auto"/>
              <w:right w:val="nil"/>
            </w:tcBorders>
          </w:tcPr>
          <w:p w14:paraId="6CD39E6B" w14:textId="77777777" w:rsidR="00F2128A" w:rsidRPr="003E0A38" w:rsidRDefault="00F2128A" w:rsidP="00F2128A">
            <w:pPr>
              <w:jc w:val="center"/>
            </w:pPr>
            <w:r w:rsidRPr="003E0A38">
              <w:t>50–70%</w:t>
            </w:r>
          </w:p>
          <w:p w14:paraId="0F82675A" w14:textId="0D715959" w:rsidR="002A5071" w:rsidRPr="003E0A38" w:rsidRDefault="00F2128A" w:rsidP="00F2128A">
            <w:pPr>
              <w:jc w:val="center"/>
            </w:pPr>
            <w:r w:rsidRPr="003E0A38">
              <w:t>of the time</w:t>
            </w:r>
          </w:p>
        </w:tc>
        <w:tc>
          <w:tcPr>
            <w:tcW w:w="1291" w:type="dxa"/>
            <w:gridSpan w:val="2"/>
            <w:tcBorders>
              <w:left w:val="nil"/>
              <w:bottom w:val="single" w:sz="4" w:space="0" w:color="auto"/>
              <w:right w:val="nil"/>
            </w:tcBorders>
          </w:tcPr>
          <w:p w14:paraId="71A7A9F7" w14:textId="77777777" w:rsidR="00F2128A" w:rsidRPr="003E0A38" w:rsidRDefault="00F2128A" w:rsidP="00F2128A">
            <w:pPr>
              <w:jc w:val="center"/>
            </w:pPr>
            <w:r w:rsidRPr="003E0A38">
              <w:t>&gt;70%</w:t>
            </w:r>
          </w:p>
          <w:p w14:paraId="18C3A97C" w14:textId="48305141" w:rsidR="002A5071" w:rsidRPr="003E0A38" w:rsidRDefault="00F2128A" w:rsidP="00F2128A">
            <w:pPr>
              <w:jc w:val="center"/>
            </w:pPr>
            <w:r w:rsidRPr="003E0A38">
              <w:t>of the time</w:t>
            </w:r>
          </w:p>
        </w:tc>
        <w:tc>
          <w:tcPr>
            <w:tcW w:w="1291" w:type="dxa"/>
            <w:tcBorders>
              <w:left w:val="nil"/>
              <w:bottom w:val="single" w:sz="4" w:space="0" w:color="auto"/>
              <w:right w:val="nil"/>
            </w:tcBorders>
            <w:vAlign w:val="center"/>
          </w:tcPr>
          <w:p w14:paraId="2549BFF5" w14:textId="5BD807F7" w:rsidR="002A5071" w:rsidRPr="003E0A38" w:rsidRDefault="002A5071" w:rsidP="000409D6">
            <w:pPr>
              <w:jc w:val="center"/>
            </w:pPr>
            <w:r>
              <w:t>Yes</w:t>
            </w:r>
          </w:p>
        </w:tc>
      </w:tr>
      <w:tr w:rsidR="002A5071" w14:paraId="7F24311D" w14:textId="77777777" w:rsidTr="003F3EB9">
        <w:tc>
          <w:tcPr>
            <w:tcW w:w="2843" w:type="dxa"/>
            <w:tcBorders>
              <w:top w:val="single" w:sz="4" w:space="0" w:color="auto"/>
              <w:left w:val="nil"/>
              <w:bottom w:val="nil"/>
              <w:right w:val="nil"/>
            </w:tcBorders>
          </w:tcPr>
          <w:p w14:paraId="18F5611A" w14:textId="3174817F" w:rsidR="002A5071" w:rsidRDefault="002A5071" w:rsidP="00F35929">
            <w:r>
              <w:t xml:space="preserve">  1. Teachers/professors</w:t>
            </w:r>
          </w:p>
        </w:tc>
        <w:tc>
          <w:tcPr>
            <w:tcW w:w="1291" w:type="dxa"/>
            <w:gridSpan w:val="2"/>
            <w:tcBorders>
              <w:top w:val="single" w:sz="4" w:space="0" w:color="auto"/>
              <w:left w:val="nil"/>
              <w:bottom w:val="nil"/>
              <w:right w:val="nil"/>
            </w:tcBorders>
          </w:tcPr>
          <w:p w14:paraId="189AD7DF" w14:textId="77777777" w:rsidR="002A5071" w:rsidRDefault="002A5071" w:rsidP="000409D6">
            <w:pPr>
              <w:jc w:val="center"/>
            </w:pPr>
            <w:r>
              <w:t>17.6</w:t>
            </w:r>
          </w:p>
        </w:tc>
        <w:tc>
          <w:tcPr>
            <w:tcW w:w="1291" w:type="dxa"/>
            <w:gridSpan w:val="2"/>
            <w:tcBorders>
              <w:top w:val="single" w:sz="4" w:space="0" w:color="auto"/>
              <w:left w:val="nil"/>
              <w:bottom w:val="nil"/>
              <w:right w:val="nil"/>
            </w:tcBorders>
          </w:tcPr>
          <w:p w14:paraId="07584D0C" w14:textId="77777777" w:rsidR="002A5071" w:rsidRDefault="002A5071" w:rsidP="000409D6">
            <w:pPr>
              <w:jc w:val="center"/>
            </w:pPr>
            <w:r>
              <w:t>26.6</w:t>
            </w:r>
          </w:p>
        </w:tc>
        <w:tc>
          <w:tcPr>
            <w:tcW w:w="1291" w:type="dxa"/>
            <w:gridSpan w:val="2"/>
            <w:tcBorders>
              <w:top w:val="single" w:sz="4" w:space="0" w:color="auto"/>
              <w:left w:val="nil"/>
              <w:bottom w:val="nil"/>
              <w:right w:val="nil"/>
            </w:tcBorders>
          </w:tcPr>
          <w:p w14:paraId="61908054" w14:textId="77777777" w:rsidR="002A5071" w:rsidRDefault="002A5071" w:rsidP="000409D6">
            <w:pPr>
              <w:jc w:val="center"/>
            </w:pPr>
            <w:r>
              <w:t>35.1</w:t>
            </w:r>
          </w:p>
        </w:tc>
        <w:tc>
          <w:tcPr>
            <w:tcW w:w="1291" w:type="dxa"/>
            <w:gridSpan w:val="2"/>
            <w:tcBorders>
              <w:top w:val="single" w:sz="4" w:space="0" w:color="auto"/>
              <w:left w:val="nil"/>
              <w:bottom w:val="nil"/>
              <w:right w:val="nil"/>
            </w:tcBorders>
          </w:tcPr>
          <w:p w14:paraId="7F97EE7A" w14:textId="77777777" w:rsidR="002A5071" w:rsidRDefault="002A5071" w:rsidP="000409D6">
            <w:pPr>
              <w:jc w:val="center"/>
            </w:pPr>
            <w:r>
              <w:t>14.4</w:t>
            </w:r>
          </w:p>
        </w:tc>
        <w:tc>
          <w:tcPr>
            <w:tcW w:w="1291" w:type="dxa"/>
            <w:gridSpan w:val="2"/>
            <w:tcBorders>
              <w:top w:val="single" w:sz="4" w:space="0" w:color="auto"/>
              <w:left w:val="nil"/>
              <w:bottom w:val="nil"/>
              <w:right w:val="nil"/>
            </w:tcBorders>
          </w:tcPr>
          <w:p w14:paraId="02A4C7F8" w14:textId="77777777" w:rsidR="002A5071" w:rsidRDefault="002A5071" w:rsidP="000409D6">
            <w:pPr>
              <w:jc w:val="center"/>
            </w:pPr>
            <w:r>
              <w:t>3.6</w:t>
            </w:r>
          </w:p>
        </w:tc>
        <w:tc>
          <w:tcPr>
            <w:tcW w:w="1291" w:type="dxa"/>
            <w:gridSpan w:val="2"/>
            <w:tcBorders>
              <w:top w:val="single" w:sz="4" w:space="0" w:color="auto"/>
              <w:left w:val="nil"/>
              <w:bottom w:val="nil"/>
              <w:right w:val="nil"/>
            </w:tcBorders>
          </w:tcPr>
          <w:p w14:paraId="06981C23" w14:textId="77777777" w:rsidR="002A5071" w:rsidRDefault="002A5071" w:rsidP="000409D6">
            <w:pPr>
              <w:jc w:val="center"/>
            </w:pPr>
            <w:r>
              <w:t>2.7</w:t>
            </w:r>
          </w:p>
        </w:tc>
        <w:tc>
          <w:tcPr>
            <w:tcW w:w="1291" w:type="dxa"/>
            <w:tcBorders>
              <w:top w:val="single" w:sz="4" w:space="0" w:color="auto"/>
              <w:left w:val="nil"/>
              <w:bottom w:val="nil"/>
              <w:right w:val="nil"/>
            </w:tcBorders>
          </w:tcPr>
          <w:p w14:paraId="147C102F" w14:textId="77777777" w:rsidR="002A5071" w:rsidRDefault="002A5071" w:rsidP="000409D6">
            <w:pPr>
              <w:jc w:val="center"/>
            </w:pPr>
            <w:r>
              <w:t>82.4</w:t>
            </w:r>
          </w:p>
        </w:tc>
      </w:tr>
      <w:tr w:rsidR="002A5071" w14:paraId="7274F537" w14:textId="77777777" w:rsidTr="003F3EB9">
        <w:tc>
          <w:tcPr>
            <w:tcW w:w="2843" w:type="dxa"/>
            <w:tcBorders>
              <w:top w:val="nil"/>
              <w:left w:val="nil"/>
              <w:bottom w:val="nil"/>
              <w:right w:val="nil"/>
            </w:tcBorders>
          </w:tcPr>
          <w:p w14:paraId="2A7D0FDC" w14:textId="5D98B54F" w:rsidR="002A5071" w:rsidRDefault="002A5071" w:rsidP="00F35929">
            <w:r>
              <w:t xml:space="preserve">  2. Employer/boss</w:t>
            </w:r>
          </w:p>
        </w:tc>
        <w:tc>
          <w:tcPr>
            <w:tcW w:w="1291" w:type="dxa"/>
            <w:gridSpan w:val="2"/>
            <w:tcBorders>
              <w:top w:val="nil"/>
              <w:left w:val="nil"/>
              <w:bottom w:val="nil"/>
              <w:right w:val="nil"/>
            </w:tcBorders>
          </w:tcPr>
          <w:p w14:paraId="1AD63B2C" w14:textId="77777777" w:rsidR="002A5071" w:rsidRDefault="002A5071" w:rsidP="000409D6">
            <w:pPr>
              <w:jc w:val="center"/>
            </w:pPr>
            <w:r>
              <w:t>27.0</w:t>
            </w:r>
          </w:p>
        </w:tc>
        <w:tc>
          <w:tcPr>
            <w:tcW w:w="1291" w:type="dxa"/>
            <w:gridSpan w:val="2"/>
            <w:tcBorders>
              <w:top w:val="nil"/>
              <w:left w:val="nil"/>
              <w:bottom w:val="nil"/>
              <w:right w:val="nil"/>
            </w:tcBorders>
          </w:tcPr>
          <w:p w14:paraId="27A8CF11" w14:textId="77777777" w:rsidR="002A5071" w:rsidRDefault="002A5071" w:rsidP="000409D6">
            <w:pPr>
              <w:jc w:val="center"/>
            </w:pPr>
            <w:r>
              <w:t>24.3</w:t>
            </w:r>
          </w:p>
        </w:tc>
        <w:tc>
          <w:tcPr>
            <w:tcW w:w="1291" w:type="dxa"/>
            <w:gridSpan w:val="2"/>
            <w:tcBorders>
              <w:top w:val="nil"/>
              <w:left w:val="nil"/>
              <w:bottom w:val="nil"/>
              <w:right w:val="nil"/>
            </w:tcBorders>
          </w:tcPr>
          <w:p w14:paraId="121C8EFA" w14:textId="77777777" w:rsidR="002A5071" w:rsidRDefault="002A5071" w:rsidP="000409D6">
            <w:pPr>
              <w:jc w:val="center"/>
            </w:pPr>
            <w:r>
              <w:t>25.7</w:t>
            </w:r>
          </w:p>
        </w:tc>
        <w:tc>
          <w:tcPr>
            <w:tcW w:w="1291" w:type="dxa"/>
            <w:gridSpan w:val="2"/>
            <w:tcBorders>
              <w:top w:val="nil"/>
              <w:left w:val="nil"/>
              <w:bottom w:val="nil"/>
              <w:right w:val="nil"/>
            </w:tcBorders>
          </w:tcPr>
          <w:p w14:paraId="6CA5D174" w14:textId="77777777" w:rsidR="002A5071" w:rsidRDefault="002A5071" w:rsidP="000409D6">
            <w:pPr>
              <w:jc w:val="center"/>
            </w:pPr>
            <w:r>
              <w:t>15.8</w:t>
            </w:r>
          </w:p>
        </w:tc>
        <w:tc>
          <w:tcPr>
            <w:tcW w:w="1291" w:type="dxa"/>
            <w:gridSpan w:val="2"/>
            <w:tcBorders>
              <w:top w:val="nil"/>
              <w:left w:val="nil"/>
              <w:bottom w:val="nil"/>
              <w:right w:val="nil"/>
            </w:tcBorders>
          </w:tcPr>
          <w:p w14:paraId="306137AB" w14:textId="77777777" w:rsidR="002A5071" w:rsidRDefault="002A5071" w:rsidP="000409D6">
            <w:pPr>
              <w:jc w:val="center"/>
            </w:pPr>
            <w:r>
              <w:t>5.0</w:t>
            </w:r>
          </w:p>
        </w:tc>
        <w:tc>
          <w:tcPr>
            <w:tcW w:w="1291" w:type="dxa"/>
            <w:gridSpan w:val="2"/>
            <w:tcBorders>
              <w:top w:val="nil"/>
              <w:left w:val="nil"/>
              <w:bottom w:val="nil"/>
              <w:right w:val="nil"/>
            </w:tcBorders>
          </w:tcPr>
          <w:p w14:paraId="1CA15D96" w14:textId="77777777" w:rsidR="002A5071" w:rsidRDefault="002A5071" w:rsidP="000409D6">
            <w:pPr>
              <w:jc w:val="center"/>
            </w:pPr>
            <w:r>
              <w:t>2.3</w:t>
            </w:r>
          </w:p>
        </w:tc>
        <w:tc>
          <w:tcPr>
            <w:tcW w:w="1291" w:type="dxa"/>
            <w:tcBorders>
              <w:top w:val="nil"/>
              <w:left w:val="nil"/>
              <w:bottom w:val="nil"/>
              <w:right w:val="nil"/>
            </w:tcBorders>
          </w:tcPr>
          <w:p w14:paraId="758FFB63" w14:textId="77777777" w:rsidR="002A5071" w:rsidRDefault="002A5071" w:rsidP="000409D6">
            <w:pPr>
              <w:jc w:val="center"/>
            </w:pPr>
            <w:r>
              <w:t>73.0</w:t>
            </w:r>
          </w:p>
        </w:tc>
      </w:tr>
      <w:tr w:rsidR="002A5071" w14:paraId="73B15842" w14:textId="77777777" w:rsidTr="003F3EB9">
        <w:tc>
          <w:tcPr>
            <w:tcW w:w="2843" w:type="dxa"/>
            <w:tcBorders>
              <w:top w:val="nil"/>
              <w:left w:val="nil"/>
              <w:bottom w:val="nil"/>
              <w:right w:val="nil"/>
            </w:tcBorders>
          </w:tcPr>
          <w:p w14:paraId="0BF02A48" w14:textId="525A9D1B" w:rsidR="002A5071" w:rsidRDefault="002A5071" w:rsidP="00F35929">
            <w:r>
              <w:t xml:space="preserve">  3. Colleagues</w:t>
            </w:r>
          </w:p>
        </w:tc>
        <w:tc>
          <w:tcPr>
            <w:tcW w:w="1291" w:type="dxa"/>
            <w:gridSpan w:val="2"/>
            <w:tcBorders>
              <w:top w:val="nil"/>
              <w:left w:val="nil"/>
              <w:bottom w:val="nil"/>
              <w:right w:val="nil"/>
            </w:tcBorders>
          </w:tcPr>
          <w:p w14:paraId="1792C3D5" w14:textId="77777777" w:rsidR="002A5071" w:rsidRDefault="002A5071" w:rsidP="000409D6">
            <w:pPr>
              <w:jc w:val="center"/>
            </w:pPr>
            <w:r>
              <w:t>14.4</w:t>
            </w:r>
          </w:p>
        </w:tc>
        <w:tc>
          <w:tcPr>
            <w:tcW w:w="1291" w:type="dxa"/>
            <w:gridSpan w:val="2"/>
            <w:tcBorders>
              <w:top w:val="nil"/>
              <w:left w:val="nil"/>
              <w:bottom w:val="nil"/>
              <w:right w:val="nil"/>
            </w:tcBorders>
          </w:tcPr>
          <w:p w14:paraId="746F7447" w14:textId="77777777" w:rsidR="002A5071" w:rsidRDefault="002A5071" w:rsidP="000409D6">
            <w:pPr>
              <w:jc w:val="center"/>
            </w:pPr>
            <w:r>
              <w:t>26.6</w:t>
            </w:r>
          </w:p>
        </w:tc>
        <w:tc>
          <w:tcPr>
            <w:tcW w:w="1291" w:type="dxa"/>
            <w:gridSpan w:val="2"/>
            <w:tcBorders>
              <w:top w:val="nil"/>
              <w:left w:val="nil"/>
              <w:bottom w:val="nil"/>
              <w:right w:val="nil"/>
            </w:tcBorders>
          </w:tcPr>
          <w:p w14:paraId="72CCC6F2" w14:textId="77777777" w:rsidR="002A5071" w:rsidRDefault="002A5071" w:rsidP="000409D6">
            <w:pPr>
              <w:jc w:val="center"/>
            </w:pPr>
            <w:r>
              <w:t>32.4</w:t>
            </w:r>
          </w:p>
        </w:tc>
        <w:tc>
          <w:tcPr>
            <w:tcW w:w="1291" w:type="dxa"/>
            <w:gridSpan w:val="2"/>
            <w:tcBorders>
              <w:top w:val="nil"/>
              <w:left w:val="nil"/>
              <w:bottom w:val="nil"/>
              <w:right w:val="nil"/>
            </w:tcBorders>
          </w:tcPr>
          <w:p w14:paraId="34F91532" w14:textId="77777777" w:rsidR="002A5071" w:rsidRDefault="002A5071" w:rsidP="000409D6">
            <w:pPr>
              <w:jc w:val="center"/>
            </w:pPr>
            <w:r>
              <w:t>22.5</w:t>
            </w:r>
          </w:p>
        </w:tc>
        <w:tc>
          <w:tcPr>
            <w:tcW w:w="1291" w:type="dxa"/>
            <w:gridSpan w:val="2"/>
            <w:tcBorders>
              <w:top w:val="nil"/>
              <w:left w:val="nil"/>
              <w:bottom w:val="nil"/>
              <w:right w:val="nil"/>
            </w:tcBorders>
          </w:tcPr>
          <w:p w14:paraId="52AEEC90" w14:textId="77777777" w:rsidR="002A5071" w:rsidRDefault="002A5071" w:rsidP="000409D6">
            <w:pPr>
              <w:jc w:val="center"/>
            </w:pPr>
            <w:r>
              <w:t>2.7</w:t>
            </w:r>
          </w:p>
        </w:tc>
        <w:tc>
          <w:tcPr>
            <w:tcW w:w="1291" w:type="dxa"/>
            <w:gridSpan w:val="2"/>
            <w:tcBorders>
              <w:top w:val="nil"/>
              <w:left w:val="nil"/>
              <w:bottom w:val="nil"/>
              <w:right w:val="nil"/>
            </w:tcBorders>
          </w:tcPr>
          <w:p w14:paraId="1BB64281" w14:textId="77777777" w:rsidR="002A5071" w:rsidRDefault="002A5071" w:rsidP="000409D6">
            <w:pPr>
              <w:jc w:val="center"/>
            </w:pPr>
            <w:r>
              <w:t>1.4</w:t>
            </w:r>
          </w:p>
        </w:tc>
        <w:tc>
          <w:tcPr>
            <w:tcW w:w="1291" w:type="dxa"/>
            <w:tcBorders>
              <w:top w:val="nil"/>
              <w:left w:val="nil"/>
              <w:bottom w:val="nil"/>
              <w:right w:val="nil"/>
            </w:tcBorders>
          </w:tcPr>
          <w:p w14:paraId="3A2221CF" w14:textId="77777777" w:rsidR="002A5071" w:rsidRDefault="002A5071" w:rsidP="000409D6">
            <w:pPr>
              <w:jc w:val="center"/>
            </w:pPr>
            <w:r>
              <w:t>85.6</w:t>
            </w:r>
          </w:p>
        </w:tc>
      </w:tr>
      <w:tr w:rsidR="002A5071" w14:paraId="1CC76677" w14:textId="77777777" w:rsidTr="003F3EB9">
        <w:tc>
          <w:tcPr>
            <w:tcW w:w="2843" w:type="dxa"/>
            <w:tcBorders>
              <w:top w:val="nil"/>
              <w:left w:val="nil"/>
              <w:bottom w:val="nil"/>
              <w:right w:val="nil"/>
            </w:tcBorders>
          </w:tcPr>
          <w:p w14:paraId="7593D475" w14:textId="5865BEEE" w:rsidR="002A5071" w:rsidRDefault="002A5071" w:rsidP="00F35929">
            <w:r>
              <w:t xml:space="preserve">  4. Service jobs</w:t>
            </w:r>
          </w:p>
        </w:tc>
        <w:tc>
          <w:tcPr>
            <w:tcW w:w="1291" w:type="dxa"/>
            <w:gridSpan w:val="2"/>
            <w:tcBorders>
              <w:top w:val="nil"/>
              <w:left w:val="nil"/>
              <w:bottom w:val="nil"/>
              <w:right w:val="nil"/>
            </w:tcBorders>
          </w:tcPr>
          <w:p w14:paraId="434A8FB4" w14:textId="77777777" w:rsidR="002A5071" w:rsidRDefault="002A5071" w:rsidP="000409D6">
            <w:pPr>
              <w:jc w:val="center"/>
            </w:pPr>
            <w:r>
              <w:t>18.9</w:t>
            </w:r>
          </w:p>
        </w:tc>
        <w:tc>
          <w:tcPr>
            <w:tcW w:w="1291" w:type="dxa"/>
            <w:gridSpan w:val="2"/>
            <w:tcBorders>
              <w:top w:val="nil"/>
              <w:left w:val="nil"/>
              <w:bottom w:val="nil"/>
              <w:right w:val="nil"/>
            </w:tcBorders>
          </w:tcPr>
          <w:p w14:paraId="1E77C854" w14:textId="77777777" w:rsidR="002A5071" w:rsidRDefault="002A5071" w:rsidP="000409D6">
            <w:pPr>
              <w:jc w:val="center"/>
            </w:pPr>
            <w:r>
              <w:t>28.8</w:t>
            </w:r>
          </w:p>
        </w:tc>
        <w:tc>
          <w:tcPr>
            <w:tcW w:w="1291" w:type="dxa"/>
            <w:gridSpan w:val="2"/>
            <w:tcBorders>
              <w:top w:val="nil"/>
              <w:left w:val="nil"/>
              <w:bottom w:val="nil"/>
              <w:right w:val="nil"/>
            </w:tcBorders>
          </w:tcPr>
          <w:p w14:paraId="744D137B" w14:textId="77777777" w:rsidR="002A5071" w:rsidRDefault="002A5071" w:rsidP="000409D6">
            <w:pPr>
              <w:jc w:val="center"/>
            </w:pPr>
            <w:r>
              <w:t>24.8</w:t>
            </w:r>
          </w:p>
        </w:tc>
        <w:tc>
          <w:tcPr>
            <w:tcW w:w="1291" w:type="dxa"/>
            <w:gridSpan w:val="2"/>
            <w:tcBorders>
              <w:top w:val="nil"/>
              <w:left w:val="nil"/>
              <w:bottom w:val="nil"/>
              <w:right w:val="nil"/>
            </w:tcBorders>
          </w:tcPr>
          <w:p w14:paraId="4BF15523" w14:textId="77777777" w:rsidR="002A5071" w:rsidRDefault="002A5071" w:rsidP="000409D6">
            <w:pPr>
              <w:jc w:val="center"/>
            </w:pPr>
            <w:r>
              <w:t>20.3</w:t>
            </w:r>
          </w:p>
        </w:tc>
        <w:tc>
          <w:tcPr>
            <w:tcW w:w="1291" w:type="dxa"/>
            <w:gridSpan w:val="2"/>
            <w:tcBorders>
              <w:top w:val="nil"/>
              <w:left w:val="nil"/>
              <w:bottom w:val="nil"/>
              <w:right w:val="nil"/>
            </w:tcBorders>
          </w:tcPr>
          <w:p w14:paraId="045BF882" w14:textId="77777777" w:rsidR="002A5071" w:rsidRDefault="002A5071" w:rsidP="000409D6">
            <w:pPr>
              <w:jc w:val="center"/>
            </w:pPr>
            <w:r>
              <w:t>4.5</w:t>
            </w:r>
          </w:p>
        </w:tc>
        <w:tc>
          <w:tcPr>
            <w:tcW w:w="1291" w:type="dxa"/>
            <w:gridSpan w:val="2"/>
            <w:tcBorders>
              <w:top w:val="nil"/>
              <w:left w:val="nil"/>
              <w:bottom w:val="nil"/>
              <w:right w:val="nil"/>
            </w:tcBorders>
          </w:tcPr>
          <w:p w14:paraId="57595011" w14:textId="77777777" w:rsidR="002A5071" w:rsidRDefault="002A5071" w:rsidP="000409D6">
            <w:pPr>
              <w:jc w:val="center"/>
            </w:pPr>
            <w:r>
              <w:t>2.7</w:t>
            </w:r>
          </w:p>
        </w:tc>
        <w:tc>
          <w:tcPr>
            <w:tcW w:w="1291" w:type="dxa"/>
            <w:tcBorders>
              <w:top w:val="nil"/>
              <w:left w:val="nil"/>
              <w:bottom w:val="nil"/>
              <w:right w:val="nil"/>
            </w:tcBorders>
          </w:tcPr>
          <w:p w14:paraId="186188E6" w14:textId="77777777" w:rsidR="002A5071" w:rsidRDefault="002A5071" w:rsidP="000409D6">
            <w:pPr>
              <w:jc w:val="center"/>
            </w:pPr>
            <w:r>
              <w:t>81.1</w:t>
            </w:r>
          </w:p>
        </w:tc>
      </w:tr>
      <w:tr w:rsidR="002A5071" w14:paraId="79210841" w14:textId="77777777" w:rsidTr="003F3EB9">
        <w:tc>
          <w:tcPr>
            <w:tcW w:w="2843" w:type="dxa"/>
            <w:tcBorders>
              <w:top w:val="nil"/>
              <w:left w:val="nil"/>
              <w:bottom w:val="nil"/>
              <w:right w:val="nil"/>
            </w:tcBorders>
          </w:tcPr>
          <w:p w14:paraId="28B29CDA" w14:textId="3509EA14" w:rsidR="002A5071" w:rsidRDefault="002A5071" w:rsidP="00F35929">
            <w:r>
              <w:t xml:space="preserve">  5. Strangers</w:t>
            </w:r>
          </w:p>
        </w:tc>
        <w:tc>
          <w:tcPr>
            <w:tcW w:w="1291" w:type="dxa"/>
            <w:gridSpan w:val="2"/>
            <w:tcBorders>
              <w:top w:val="nil"/>
              <w:left w:val="nil"/>
              <w:bottom w:val="nil"/>
              <w:right w:val="nil"/>
            </w:tcBorders>
          </w:tcPr>
          <w:p w14:paraId="673824D2" w14:textId="77777777" w:rsidR="002A5071" w:rsidRDefault="002A5071" w:rsidP="000409D6">
            <w:pPr>
              <w:jc w:val="center"/>
            </w:pPr>
            <w:r>
              <w:t>10.4</w:t>
            </w:r>
          </w:p>
        </w:tc>
        <w:tc>
          <w:tcPr>
            <w:tcW w:w="1291" w:type="dxa"/>
            <w:gridSpan w:val="2"/>
            <w:tcBorders>
              <w:top w:val="nil"/>
              <w:left w:val="nil"/>
              <w:bottom w:val="nil"/>
              <w:right w:val="nil"/>
            </w:tcBorders>
          </w:tcPr>
          <w:p w14:paraId="6FE96D05" w14:textId="77777777" w:rsidR="002A5071" w:rsidRDefault="002A5071" w:rsidP="000409D6">
            <w:pPr>
              <w:jc w:val="center"/>
            </w:pPr>
            <w:r>
              <w:t>26.6</w:t>
            </w:r>
          </w:p>
        </w:tc>
        <w:tc>
          <w:tcPr>
            <w:tcW w:w="1291" w:type="dxa"/>
            <w:gridSpan w:val="2"/>
            <w:tcBorders>
              <w:top w:val="nil"/>
              <w:left w:val="nil"/>
              <w:bottom w:val="nil"/>
              <w:right w:val="nil"/>
            </w:tcBorders>
          </w:tcPr>
          <w:p w14:paraId="690845C3" w14:textId="77777777" w:rsidR="002A5071" w:rsidRDefault="002A5071" w:rsidP="000409D6">
            <w:pPr>
              <w:jc w:val="center"/>
            </w:pPr>
            <w:r>
              <w:t>34.2</w:t>
            </w:r>
          </w:p>
        </w:tc>
        <w:tc>
          <w:tcPr>
            <w:tcW w:w="1291" w:type="dxa"/>
            <w:gridSpan w:val="2"/>
            <w:tcBorders>
              <w:top w:val="nil"/>
              <w:left w:val="nil"/>
              <w:bottom w:val="nil"/>
              <w:right w:val="nil"/>
            </w:tcBorders>
          </w:tcPr>
          <w:p w14:paraId="7D6927DF" w14:textId="77777777" w:rsidR="002A5071" w:rsidRDefault="002A5071" w:rsidP="000409D6">
            <w:pPr>
              <w:jc w:val="center"/>
            </w:pPr>
            <w:r>
              <w:t>23.0</w:t>
            </w:r>
          </w:p>
        </w:tc>
        <w:tc>
          <w:tcPr>
            <w:tcW w:w="1291" w:type="dxa"/>
            <w:gridSpan w:val="2"/>
            <w:tcBorders>
              <w:top w:val="nil"/>
              <w:left w:val="nil"/>
              <w:bottom w:val="nil"/>
              <w:right w:val="nil"/>
            </w:tcBorders>
          </w:tcPr>
          <w:p w14:paraId="462B94A4" w14:textId="77777777" w:rsidR="002A5071" w:rsidRDefault="002A5071" w:rsidP="000409D6">
            <w:pPr>
              <w:jc w:val="center"/>
            </w:pPr>
            <w:r>
              <w:t>4.1</w:t>
            </w:r>
          </w:p>
        </w:tc>
        <w:tc>
          <w:tcPr>
            <w:tcW w:w="1291" w:type="dxa"/>
            <w:gridSpan w:val="2"/>
            <w:tcBorders>
              <w:top w:val="nil"/>
              <w:left w:val="nil"/>
              <w:bottom w:val="nil"/>
              <w:right w:val="nil"/>
            </w:tcBorders>
          </w:tcPr>
          <w:p w14:paraId="10F23085" w14:textId="77777777" w:rsidR="002A5071" w:rsidRDefault="002A5071" w:rsidP="000409D6">
            <w:pPr>
              <w:jc w:val="center"/>
            </w:pPr>
            <w:r>
              <w:t>1.8</w:t>
            </w:r>
          </w:p>
        </w:tc>
        <w:tc>
          <w:tcPr>
            <w:tcW w:w="1291" w:type="dxa"/>
            <w:tcBorders>
              <w:top w:val="nil"/>
              <w:left w:val="nil"/>
              <w:bottom w:val="nil"/>
              <w:right w:val="nil"/>
            </w:tcBorders>
          </w:tcPr>
          <w:p w14:paraId="363C2919" w14:textId="77777777" w:rsidR="002A5071" w:rsidRDefault="002A5071" w:rsidP="000409D6">
            <w:pPr>
              <w:jc w:val="center"/>
            </w:pPr>
            <w:r>
              <w:t>89.6</w:t>
            </w:r>
          </w:p>
        </w:tc>
      </w:tr>
      <w:tr w:rsidR="002A5071" w14:paraId="6BE5786E" w14:textId="77777777" w:rsidTr="003F3EB9">
        <w:tc>
          <w:tcPr>
            <w:tcW w:w="2843" w:type="dxa"/>
            <w:tcBorders>
              <w:top w:val="nil"/>
              <w:left w:val="nil"/>
              <w:bottom w:val="nil"/>
              <w:right w:val="nil"/>
            </w:tcBorders>
          </w:tcPr>
          <w:p w14:paraId="03469BA1" w14:textId="3613EA22" w:rsidR="002A5071" w:rsidRDefault="002A5071" w:rsidP="00F35929">
            <w:r>
              <w:t xml:space="preserve">  6. Helping jobs</w:t>
            </w:r>
          </w:p>
        </w:tc>
        <w:tc>
          <w:tcPr>
            <w:tcW w:w="1291" w:type="dxa"/>
            <w:gridSpan w:val="2"/>
            <w:tcBorders>
              <w:top w:val="nil"/>
              <w:left w:val="nil"/>
              <w:bottom w:val="nil"/>
              <w:right w:val="nil"/>
            </w:tcBorders>
          </w:tcPr>
          <w:p w14:paraId="46CD2643" w14:textId="77777777" w:rsidR="002A5071" w:rsidRDefault="002A5071" w:rsidP="000409D6">
            <w:pPr>
              <w:jc w:val="center"/>
            </w:pPr>
            <w:r>
              <w:t>39.2</w:t>
            </w:r>
          </w:p>
        </w:tc>
        <w:tc>
          <w:tcPr>
            <w:tcW w:w="1291" w:type="dxa"/>
            <w:gridSpan w:val="2"/>
            <w:tcBorders>
              <w:top w:val="nil"/>
              <w:left w:val="nil"/>
              <w:bottom w:val="nil"/>
              <w:right w:val="nil"/>
            </w:tcBorders>
          </w:tcPr>
          <w:p w14:paraId="4741A9B7" w14:textId="77777777" w:rsidR="002A5071" w:rsidRDefault="002A5071" w:rsidP="000409D6">
            <w:pPr>
              <w:jc w:val="center"/>
            </w:pPr>
            <w:r>
              <w:t>31.5</w:t>
            </w:r>
          </w:p>
        </w:tc>
        <w:tc>
          <w:tcPr>
            <w:tcW w:w="1291" w:type="dxa"/>
            <w:gridSpan w:val="2"/>
            <w:tcBorders>
              <w:top w:val="nil"/>
              <w:left w:val="nil"/>
              <w:bottom w:val="nil"/>
              <w:right w:val="nil"/>
            </w:tcBorders>
          </w:tcPr>
          <w:p w14:paraId="3D18A600" w14:textId="77777777" w:rsidR="002A5071" w:rsidRDefault="002A5071" w:rsidP="000409D6">
            <w:pPr>
              <w:jc w:val="center"/>
            </w:pPr>
            <w:r>
              <w:t>18.0</w:t>
            </w:r>
          </w:p>
        </w:tc>
        <w:tc>
          <w:tcPr>
            <w:tcW w:w="1291" w:type="dxa"/>
            <w:gridSpan w:val="2"/>
            <w:tcBorders>
              <w:top w:val="nil"/>
              <w:left w:val="nil"/>
              <w:bottom w:val="nil"/>
              <w:right w:val="nil"/>
            </w:tcBorders>
          </w:tcPr>
          <w:p w14:paraId="75A523A4" w14:textId="77777777" w:rsidR="002A5071" w:rsidRDefault="002A5071" w:rsidP="000409D6">
            <w:pPr>
              <w:jc w:val="center"/>
            </w:pPr>
            <w:r>
              <w:t>5.4</w:t>
            </w:r>
          </w:p>
        </w:tc>
        <w:tc>
          <w:tcPr>
            <w:tcW w:w="1291" w:type="dxa"/>
            <w:gridSpan w:val="2"/>
            <w:tcBorders>
              <w:top w:val="nil"/>
              <w:left w:val="nil"/>
              <w:bottom w:val="nil"/>
              <w:right w:val="nil"/>
            </w:tcBorders>
          </w:tcPr>
          <w:p w14:paraId="5B553C05" w14:textId="77777777" w:rsidR="002A5071" w:rsidRDefault="002A5071" w:rsidP="000409D6">
            <w:pPr>
              <w:jc w:val="center"/>
            </w:pPr>
            <w:r>
              <w:t>3.6</w:t>
            </w:r>
          </w:p>
        </w:tc>
        <w:tc>
          <w:tcPr>
            <w:tcW w:w="1291" w:type="dxa"/>
            <w:gridSpan w:val="2"/>
            <w:tcBorders>
              <w:top w:val="nil"/>
              <w:left w:val="nil"/>
              <w:bottom w:val="nil"/>
              <w:right w:val="nil"/>
            </w:tcBorders>
          </w:tcPr>
          <w:p w14:paraId="6FEC65F4" w14:textId="77777777" w:rsidR="002A5071" w:rsidRDefault="002A5071" w:rsidP="000409D6">
            <w:pPr>
              <w:jc w:val="center"/>
            </w:pPr>
            <w:r>
              <w:t>2.3</w:t>
            </w:r>
          </w:p>
        </w:tc>
        <w:tc>
          <w:tcPr>
            <w:tcW w:w="1291" w:type="dxa"/>
            <w:tcBorders>
              <w:top w:val="nil"/>
              <w:left w:val="nil"/>
              <w:bottom w:val="nil"/>
              <w:right w:val="nil"/>
            </w:tcBorders>
          </w:tcPr>
          <w:p w14:paraId="5B102F2F" w14:textId="77777777" w:rsidR="002A5071" w:rsidRDefault="002A5071" w:rsidP="000409D6">
            <w:pPr>
              <w:jc w:val="center"/>
            </w:pPr>
            <w:r>
              <w:t>60.8</w:t>
            </w:r>
          </w:p>
        </w:tc>
      </w:tr>
      <w:tr w:rsidR="002A5071" w14:paraId="4B40C757" w14:textId="77777777" w:rsidTr="003F3EB9">
        <w:tc>
          <w:tcPr>
            <w:tcW w:w="2843" w:type="dxa"/>
            <w:tcBorders>
              <w:top w:val="nil"/>
              <w:left w:val="nil"/>
              <w:bottom w:val="nil"/>
              <w:right w:val="nil"/>
            </w:tcBorders>
          </w:tcPr>
          <w:p w14:paraId="5D4A161C" w14:textId="077BDE83" w:rsidR="002A5071" w:rsidRDefault="002A5071" w:rsidP="00F35929">
            <w:r>
              <w:t xml:space="preserve">  7. Neighbors</w:t>
            </w:r>
          </w:p>
        </w:tc>
        <w:tc>
          <w:tcPr>
            <w:tcW w:w="1291" w:type="dxa"/>
            <w:gridSpan w:val="2"/>
            <w:tcBorders>
              <w:top w:val="nil"/>
              <w:left w:val="nil"/>
              <w:bottom w:val="nil"/>
              <w:right w:val="nil"/>
            </w:tcBorders>
          </w:tcPr>
          <w:p w14:paraId="7E3F1DA3" w14:textId="77777777" w:rsidR="002A5071" w:rsidRDefault="002A5071" w:rsidP="000409D6">
            <w:pPr>
              <w:jc w:val="center"/>
            </w:pPr>
            <w:r>
              <w:t>43.2</w:t>
            </w:r>
          </w:p>
        </w:tc>
        <w:tc>
          <w:tcPr>
            <w:tcW w:w="1291" w:type="dxa"/>
            <w:gridSpan w:val="2"/>
            <w:tcBorders>
              <w:top w:val="nil"/>
              <w:left w:val="nil"/>
              <w:bottom w:val="nil"/>
              <w:right w:val="nil"/>
            </w:tcBorders>
          </w:tcPr>
          <w:p w14:paraId="566104E1" w14:textId="77777777" w:rsidR="002A5071" w:rsidRDefault="002A5071" w:rsidP="000409D6">
            <w:pPr>
              <w:jc w:val="center"/>
            </w:pPr>
            <w:r>
              <w:t>24.3</w:t>
            </w:r>
          </w:p>
        </w:tc>
        <w:tc>
          <w:tcPr>
            <w:tcW w:w="1291" w:type="dxa"/>
            <w:gridSpan w:val="2"/>
            <w:tcBorders>
              <w:top w:val="nil"/>
              <w:left w:val="nil"/>
              <w:bottom w:val="nil"/>
              <w:right w:val="nil"/>
            </w:tcBorders>
          </w:tcPr>
          <w:p w14:paraId="6304FF95" w14:textId="77777777" w:rsidR="002A5071" w:rsidRDefault="002A5071" w:rsidP="000409D6">
            <w:pPr>
              <w:jc w:val="center"/>
            </w:pPr>
            <w:r>
              <w:t>22.1</w:t>
            </w:r>
          </w:p>
        </w:tc>
        <w:tc>
          <w:tcPr>
            <w:tcW w:w="1291" w:type="dxa"/>
            <w:gridSpan w:val="2"/>
            <w:tcBorders>
              <w:top w:val="nil"/>
              <w:left w:val="nil"/>
              <w:bottom w:val="nil"/>
              <w:right w:val="nil"/>
            </w:tcBorders>
          </w:tcPr>
          <w:p w14:paraId="51CDDAC8" w14:textId="77777777" w:rsidR="002A5071" w:rsidRDefault="002A5071" w:rsidP="000409D6">
            <w:pPr>
              <w:jc w:val="center"/>
            </w:pPr>
            <w:r>
              <w:t>6.8</w:t>
            </w:r>
          </w:p>
        </w:tc>
        <w:tc>
          <w:tcPr>
            <w:tcW w:w="1291" w:type="dxa"/>
            <w:gridSpan w:val="2"/>
            <w:tcBorders>
              <w:top w:val="nil"/>
              <w:left w:val="nil"/>
              <w:bottom w:val="nil"/>
              <w:right w:val="nil"/>
            </w:tcBorders>
          </w:tcPr>
          <w:p w14:paraId="614F1AD2" w14:textId="77777777" w:rsidR="002A5071" w:rsidRDefault="002A5071" w:rsidP="000409D6">
            <w:pPr>
              <w:jc w:val="center"/>
            </w:pPr>
            <w:r>
              <w:t>2.3</w:t>
            </w:r>
          </w:p>
        </w:tc>
        <w:tc>
          <w:tcPr>
            <w:tcW w:w="1291" w:type="dxa"/>
            <w:gridSpan w:val="2"/>
            <w:tcBorders>
              <w:top w:val="nil"/>
              <w:left w:val="nil"/>
              <w:bottom w:val="nil"/>
              <w:right w:val="nil"/>
            </w:tcBorders>
          </w:tcPr>
          <w:p w14:paraId="32C4E745" w14:textId="77777777" w:rsidR="002A5071" w:rsidRDefault="002A5071" w:rsidP="000409D6">
            <w:pPr>
              <w:jc w:val="center"/>
            </w:pPr>
            <w:r>
              <w:t>1.4</w:t>
            </w:r>
          </w:p>
        </w:tc>
        <w:tc>
          <w:tcPr>
            <w:tcW w:w="1291" w:type="dxa"/>
            <w:tcBorders>
              <w:top w:val="nil"/>
              <w:left w:val="nil"/>
              <w:bottom w:val="nil"/>
              <w:right w:val="nil"/>
            </w:tcBorders>
          </w:tcPr>
          <w:p w14:paraId="46E91B02" w14:textId="77777777" w:rsidR="002A5071" w:rsidRDefault="002A5071" w:rsidP="000409D6">
            <w:pPr>
              <w:jc w:val="center"/>
            </w:pPr>
            <w:r>
              <w:t>56.8</w:t>
            </w:r>
          </w:p>
        </w:tc>
      </w:tr>
      <w:tr w:rsidR="002A5071" w14:paraId="4686B803" w14:textId="77777777" w:rsidTr="003F3EB9">
        <w:tc>
          <w:tcPr>
            <w:tcW w:w="2843" w:type="dxa"/>
            <w:tcBorders>
              <w:top w:val="nil"/>
              <w:left w:val="nil"/>
              <w:bottom w:val="nil"/>
              <w:right w:val="nil"/>
            </w:tcBorders>
          </w:tcPr>
          <w:p w14:paraId="0F2C44C7" w14:textId="1666F96F" w:rsidR="002A5071" w:rsidRDefault="002A5071" w:rsidP="00F35929">
            <w:r>
              <w:t xml:space="preserve">  8. Institutions </w:t>
            </w:r>
          </w:p>
        </w:tc>
        <w:tc>
          <w:tcPr>
            <w:tcW w:w="1291" w:type="dxa"/>
            <w:gridSpan w:val="2"/>
            <w:tcBorders>
              <w:top w:val="nil"/>
              <w:left w:val="nil"/>
              <w:bottom w:val="nil"/>
              <w:right w:val="nil"/>
            </w:tcBorders>
          </w:tcPr>
          <w:p w14:paraId="3057368C" w14:textId="77777777" w:rsidR="002A5071" w:rsidRDefault="002A5071" w:rsidP="000409D6">
            <w:pPr>
              <w:jc w:val="center"/>
            </w:pPr>
            <w:r>
              <w:t>28.4</w:t>
            </w:r>
          </w:p>
        </w:tc>
        <w:tc>
          <w:tcPr>
            <w:tcW w:w="1291" w:type="dxa"/>
            <w:gridSpan w:val="2"/>
            <w:tcBorders>
              <w:top w:val="nil"/>
              <w:left w:val="nil"/>
              <w:bottom w:val="nil"/>
              <w:right w:val="nil"/>
            </w:tcBorders>
          </w:tcPr>
          <w:p w14:paraId="1CD471CD" w14:textId="77777777" w:rsidR="002A5071" w:rsidRDefault="002A5071" w:rsidP="000409D6">
            <w:pPr>
              <w:jc w:val="center"/>
            </w:pPr>
            <w:r>
              <w:t>30.6</w:t>
            </w:r>
          </w:p>
        </w:tc>
        <w:tc>
          <w:tcPr>
            <w:tcW w:w="1291" w:type="dxa"/>
            <w:gridSpan w:val="2"/>
            <w:tcBorders>
              <w:top w:val="nil"/>
              <w:left w:val="nil"/>
              <w:bottom w:val="nil"/>
              <w:right w:val="nil"/>
            </w:tcBorders>
          </w:tcPr>
          <w:p w14:paraId="1D1E9041" w14:textId="77777777" w:rsidR="002A5071" w:rsidRDefault="002A5071" w:rsidP="000409D6">
            <w:pPr>
              <w:jc w:val="center"/>
            </w:pPr>
            <w:r>
              <w:t>20.3</w:t>
            </w:r>
          </w:p>
        </w:tc>
        <w:tc>
          <w:tcPr>
            <w:tcW w:w="1291" w:type="dxa"/>
            <w:gridSpan w:val="2"/>
            <w:tcBorders>
              <w:top w:val="nil"/>
              <w:left w:val="nil"/>
              <w:bottom w:val="nil"/>
              <w:right w:val="nil"/>
            </w:tcBorders>
          </w:tcPr>
          <w:p w14:paraId="3890CBBB" w14:textId="77777777" w:rsidR="002A5071" w:rsidRDefault="002A5071" w:rsidP="000409D6">
            <w:pPr>
              <w:jc w:val="center"/>
            </w:pPr>
            <w:r>
              <w:t>14.4</w:t>
            </w:r>
          </w:p>
        </w:tc>
        <w:tc>
          <w:tcPr>
            <w:tcW w:w="1291" w:type="dxa"/>
            <w:gridSpan w:val="2"/>
            <w:tcBorders>
              <w:top w:val="nil"/>
              <w:left w:val="nil"/>
              <w:bottom w:val="nil"/>
              <w:right w:val="nil"/>
            </w:tcBorders>
          </w:tcPr>
          <w:p w14:paraId="25E48EAA" w14:textId="77777777" w:rsidR="002A5071" w:rsidRDefault="002A5071" w:rsidP="000409D6">
            <w:pPr>
              <w:jc w:val="center"/>
            </w:pPr>
            <w:r>
              <w:t>4.1</w:t>
            </w:r>
          </w:p>
        </w:tc>
        <w:tc>
          <w:tcPr>
            <w:tcW w:w="1291" w:type="dxa"/>
            <w:gridSpan w:val="2"/>
            <w:tcBorders>
              <w:top w:val="nil"/>
              <w:left w:val="nil"/>
              <w:bottom w:val="nil"/>
              <w:right w:val="nil"/>
            </w:tcBorders>
          </w:tcPr>
          <w:p w14:paraId="4C41DF68" w14:textId="77777777" w:rsidR="002A5071" w:rsidRDefault="002A5071" w:rsidP="000409D6">
            <w:pPr>
              <w:jc w:val="center"/>
            </w:pPr>
            <w:r>
              <w:t>2.3</w:t>
            </w:r>
          </w:p>
        </w:tc>
        <w:tc>
          <w:tcPr>
            <w:tcW w:w="1291" w:type="dxa"/>
            <w:tcBorders>
              <w:top w:val="nil"/>
              <w:left w:val="nil"/>
              <w:bottom w:val="nil"/>
              <w:right w:val="nil"/>
            </w:tcBorders>
          </w:tcPr>
          <w:p w14:paraId="162475D8" w14:textId="77777777" w:rsidR="002A5071" w:rsidRDefault="002A5071" w:rsidP="000409D6">
            <w:pPr>
              <w:jc w:val="center"/>
            </w:pPr>
            <w:r>
              <w:t>71.6</w:t>
            </w:r>
          </w:p>
        </w:tc>
      </w:tr>
      <w:tr w:rsidR="002A5071" w14:paraId="3D719969" w14:textId="77777777" w:rsidTr="003F3EB9">
        <w:tc>
          <w:tcPr>
            <w:tcW w:w="2843" w:type="dxa"/>
            <w:tcBorders>
              <w:top w:val="nil"/>
              <w:left w:val="nil"/>
              <w:bottom w:val="nil"/>
              <w:right w:val="nil"/>
            </w:tcBorders>
          </w:tcPr>
          <w:p w14:paraId="394E296D" w14:textId="2C2EB1C7" w:rsidR="002A5071" w:rsidRDefault="002A5071" w:rsidP="00F35929">
            <w:r>
              <w:t xml:space="preserve">  9. Friends</w:t>
            </w:r>
          </w:p>
        </w:tc>
        <w:tc>
          <w:tcPr>
            <w:tcW w:w="1291" w:type="dxa"/>
            <w:gridSpan w:val="2"/>
            <w:tcBorders>
              <w:top w:val="nil"/>
              <w:left w:val="nil"/>
              <w:bottom w:val="nil"/>
              <w:right w:val="nil"/>
            </w:tcBorders>
          </w:tcPr>
          <w:p w14:paraId="06980861" w14:textId="77777777" w:rsidR="002A5071" w:rsidRDefault="002A5071" w:rsidP="000409D6">
            <w:pPr>
              <w:jc w:val="center"/>
            </w:pPr>
            <w:r>
              <w:t>34.2</w:t>
            </w:r>
          </w:p>
        </w:tc>
        <w:tc>
          <w:tcPr>
            <w:tcW w:w="1291" w:type="dxa"/>
            <w:gridSpan w:val="2"/>
            <w:tcBorders>
              <w:top w:val="nil"/>
              <w:left w:val="nil"/>
              <w:bottom w:val="nil"/>
              <w:right w:val="nil"/>
            </w:tcBorders>
          </w:tcPr>
          <w:p w14:paraId="1186132F" w14:textId="77777777" w:rsidR="002A5071" w:rsidRDefault="002A5071" w:rsidP="000409D6">
            <w:pPr>
              <w:jc w:val="center"/>
            </w:pPr>
            <w:r>
              <w:t>31.1</w:t>
            </w:r>
          </w:p>
        </w:tc>
        <w:tc>
          <w:tcPr>
            <w:tcW w:w="1291" w:type="dxa"/>
            <w:gridSpan w:val="2"/>
            <w:tcBorders>
              <w:top w:val="nil"/>
              <w:left w:val="nil"/>
              <w:bottom w:val="nil"/>
              <w:right w:val="nil"/>
            </w:tcBorders>
          </w:tcPr>
          <w:p w14:paraId="5F9AB06A" w14:textId="77777777" w:rsidR="002A5071" w:rsidRDefault="002A5071" w:rsidP="000409D6">
            <w:pPr>
              <w:jc w:val="center"/>
            </w:pPr>
            <w:r>
              <w:t>20.3</w:t>
            </w:r>
          </w:p>
        </w:tc>
        <w:tc>
          <w:tcPr>
            <w:tcW w:w="1291" w:type="dxa"/>
            <w:gridSpan w:val="2"/>
            <w:tcBorders>
              <w:top w:val="nil"/>
              <w:left w:val="nil"/>
              <w:bottom w:val="nil"/>
              <w:right w:val="nil"/>
            </w:tcBorders>
          </w:tcPr>
          <w:p w14:paraId="4C6EB124" w14:textId="77777777" w:rsidR="002A5071" w:rsidRDefault="002A5071" w:rsidP="000409D6">
            <w:pPr>
              <w:jc w:val="center"/>
            </w:pPr>
            <w:r>
              <w:t>12.2</w:t>
            </w:r>
          </w:p>
        </w:tc>
        <w:tc>
          <w:tcPr>
            <w:tcW w:w="1291" w:type="dxa"/>
            <w:gridSpan w:val="2"/>
            <w:tcBorders>
              <w:top w:val="nil"/>
              <w:left w:val="nil"/>
              <w:bottom w:val="nil"/>
              <w:right w:val="nil"/>
            </w:tcBorders>
          </w:tcPr>
          <w:p w14:paraId="4D8E9BBA" w14:textId="77777777" w:rsidR="002A5071" w:rsidRDefault="002A5071" w:rsidP="000409D6">
            <w:pPr>
              <w:jc w:val="center"/>
            </w:pPr>
            <w:r>
              <w:t>1.4</w:t>
            </w:r>
          </w:p>
        </w:tc>
        <w:tc>
          <w:tcPr>
            <w:tcW w:w="1291" w:type="dxa"/>
            <w:gridSpan w:val="2"/>
            <w:tcBorders>
              <w:top w:val="nil"/>
              <w:left w:val="nil"/>
              <w:bottom w:val="nil"/>
              <w:right w:val="nil"/>
            </w:tcBorders>
          </w:tcPr>
          <w:p w14:paraId="72F90CC1" w14:textId="77777777" w:rsidR="002A5071" w:rsidRDefault="002A5071" w:rsidP="000409D6">
            <w:pPr>
              <w:jc w:val="center"/>
            </w:pPr>
            <w:r>
              <w:t>0.9</w:t>
            </w:r>
          </w:p>
        </w:tc>
        <w:tc>
          <w:tcPr>
            <w:tcW w:w="1291" w:type="dxa"/>
            <w:tcBorders>
              <w:top w:val="nil"/>
              <w:left w:val="nil"/>
              <w:bottom w:val="nil"/>
              <w:right w:val="nil"/>
            </w:tcBorders>
          </w:tcPr>
          <w:p w14:paraId="576B2E50" w14:textId="77777777" w:rsidR="002A5071" w:rsidRDefault="002A5071" w:rsidP="000409D6">
            <w:pPr>
              <w:jc w:val="center"/>
            </w:pPr>
            <w:r>
              <w:t>65.8</w:t>
            </w:r>
          </w:p>
        </w:tc>
      </w:tr>
      <w:tr w:rsidR="002A5071" w14:paraId="6B84E4FD" w14:textId="77777777" w:rsidTr="003F3EB9">
        <w:tc>
          <w:tcPr>
            <w:tcW w:w="2843" w:type="dxa"/>
            <w:tcBorders>
              <w:top w:val="nil"/>
              <w:left w:val="nil"/>
              <w:bottom w:val="nil"/>
              <w:right w:val="nil"/>
            </w:tcBorders>
          </w:tcPr>
          <w:p w14:paraId="4A1736D2" w14:textId="46708D90" w:rsidR="002A5071" w:rsidRDefault="002A5071" w:rsidP="00F35929">
            <w:r>
              <w:t>10. Accused/suspected</w:t>
            </w:r>
          </w:p>
        </w:tc>
        <w:tc>
          <w:tcPr>
            <w:tcW w:w="1291" w:type="dxa"/>
            <w:gridSpan w:val="2"/>
            <w:tcBorders>
              <w:top w:val="nil"/>
              <w:left w:val="nil"/>
              <w:bottom w:val="nil"/>
              <w:right w:val="nil"/>
            </w:tcBorders>
          </w:tcPr>
          <w:p w14:paraId="779F02C8" w14:textId="77777777" w:rsidR="002A5071" w:rsidRDefault="002A5071" w:rsidP="000409D6">
            <w:pPr>
              <w:jc w:val="center"/>
            </w:pPr>
            <w:r>
              <w:t>41.4</w:t>
            </w:r>
          </w:p>
        </w:tc>
        <w:tc>
          <w:tcPr>
            <w:tcW w:w="1291" w:type="dxa"/>
            <w:gridSpan w:val="2"/>
            <w:tcBorders>
              <w:top w:val="nil"/>
              <w:left w:val="nil"/>
              <w:bottom w:val="nil"/>
              <w:right w:val="nil"/>
            </w:tcBorders>
          </w:tcPr>
          <w:p w14:paraId="2A3AB376" w14:textId="77777777" w:rsidR="002A5071" w:rsidRDefault="002A5071" w:rsidP="000409D6">
            <w:pPr>
              <w:jc w:val="center"/>
            </w:pPr>
            <w:r>
              <w:t>27.9</w:t>
            </w:r>
          </w:p>
        </w:tc>
        <w:tc>
          <w:tcPr>
            <w:tcW w:w="1291" w:type="dxa"/>
            <w:gridSpan w:val="2"/>
            <w:tcBorders>
              <w:top w:val="nil"/>
              <w:left w:val="nil"/>
              <w:bottom w:val="nil"/>
              <w:right w:val="nil"/>
            </w:tcBorders>
          </w:tcPr>
          <w:p w14:paraId="290372A3" w14:textId="77777777" w:rsidR="002A5071" w:rsidRDefault="002A5071" w:rsidP="000409D6">
            <w:pPr>
              <w:jc w:val="center"/>
            </w:pPr>
            <w:r>
              <w:t>16.7</w:t>
            </w:r>
          </w:p>
        </w:tc>
        <w:tc>
          <w:tcPr>
            <w:tcW w:w="1291" w:type="dxa"/>
            <w:gridSpan w:val="2"/>
            <w:tcBorders>
              <w:top w:val="nil"/>
              <w:left w:val="nil"/>
              <w:bottom w:val="nil"/>
              <w:right w:val="nil"/>
            </w:tcBorders>
          </w:tcPr>
          <w:p w14:paraId="0451969C" w14:textId="77777777" w:rsidR="002A5071" w:rsidRDefault="002A5071" w:rsidP="000409D6">
            <w:pPr>
              <w:jc w:val="center"/>
            </w:pPr>
            <w:r>
              <w:t>9.0</w:t>
            </w:r>
          </w:p>
        </w:tc>
        <w:tc>
          <w:tcPr>
            <w:tcW w:w="1291" w:type="dxa"/>
            <w:gridSpan w:val="2"/>
            <w:tcBorders>
              <w:top w:val="nil"/>
              <w:left w:val="nil"/>
              <w:bottom w:val="nil"/>
              <w:right w:val="nil"/>
            </w:tcBorders>
          </w:tcPr>
          <w:p w14:paraId="490B8569" w14:textId="77777777" w:rsidR="002A5071" w:rsidRDefault="002A5071" w:rsidP="000409D6">
            <w:pPr>
              <w:jc w:val="center"/>
            </w:pPr>
            <w:r>
              <w:t>3.6</w:t>
            </w:r>
          </w:p>
        </w:tc>
        <w:tc>
          <w:tcPr>
            <w:tcW w:w="1291" w:type="dxa"/>
            <w:gridSpan w:val="2"/>
            <w:tcBorders>
              <w:top w:val="nil"/>
              <w:left w:val="nil"/>
              <w:bottom w:val="nil"/>
              <w:right w:val="nil"/>
            </w:tcBorders>
          </w:tcPr>
          <w:p w14:paraId="5A09E376" w14:textId="77777777" w:rsidR="002A5071" w:rsidRDefault="002A5071" w:rsidP="000409D6">
            <w:pPr>
              <w:jc w:val="center"/>
            </w:pPr>
            <w:r>
              <w:t>1.4</w:t>
            </w:r>
          </w:p>
        </w:tc>
        <w:tc>
          <w:tcPr>
            <w:tcW w:w="1291" w:type="dxa"/>
            <w:tcBorders>
              <w:top w:val="nil"/>
              <w:left w:val="nil"/>
              <w:bottom w:val="nil"/>
              <w:right w:val="nil"/>
            </w:tcBorders>
          </w:tcPr>
          <w:p w14:paraId="4868094C" w14:textId="77777777" w:rsidR="002A5071" w:rsidRDefault="002A5071" w:rsidP="000409D6">
            <w:pPr>
              <w:jc w:val="center"/>
            </w:pPr>
            <w:r>
              <w:t>58.6</w:t>
            </w:r>
          </w:p>
        </w:tc>
      </w:tr>
      <w:tr w:rsidR="002A5071" w14:paraId="20B9D001" w14:textId="77777777" w:rsidTr="003F3EB9">
        <w:tc>
          <w:tcPr>
            <w:tcW w:w="2843" w:type="dxa"/>
            <w:tcBorders>
              <w:top w:val="nil"/>
              <w:left w:val="nil"/>
              <w:bottom w:val="nil"/>
              <w:right w:val="nil"/>
            </w:tcBorders>
          </w:tcPr>
          <w:p w14:paraId="6451BC16" w14:textId="77777777" w:rsidR="002A5071" w:rsidRDefault="002A5071" w:rsidP="00F35929">
            <w:r>
              <w:t>11. Intentions</w:t>
            </w:r>
          </w:p>
        </w:tc>
        <w:tc>
          <w:tcPr>
            <w:tcW w:w="1291" w:type="dxa"/>
            <w:gridSpan w:val="2"/>
            <w:tcBorders>
              <w:top w:val="nil"/>
              <w:left w:val="nil"/>
              <w:bottom w:val="nil"/>
              <w:right w:val="nil"/>
            </w:tcBorders>
          </w:tcPr>
          <w:p w14:paraId="2EA993B3" w14:textId="77777777" w:rsidR="002A5071" w:rsidRDefault="002A5071" w:rsidP="000409D6">
            <w:pPr>
              <w:jc w:val="center"/>
            </w:pPr>
            <w:r>
              <w:t>21.2</w:t>
            </w:r>
          </w:p>
        </w:tc>
        <w:tc>
          <w:tcPr>
            <w:tcW w:w="1291" w:type="dxa"/>
            <w:gridSpan w:val="2"/>
            <w:tcBorders>
              <w:top w:val="nil"/>
              <w:left w:val="nil"/>
              <w:bottom w:val="nil"/>
              <w:right w:val="nil"/>
            </w:tcBorders>
          </w:tcPr>
          <w:p w14:paraId="3A940F99" w14:textId="77777777" w:rsidR="002A5071" w:rsidRDefault="002A5071" w:rsidP="000409D6">
            <w:pPr>
              <w:jc w:val="center"/>
            </w:pPr>
            <w:r>
              <w:t>32.0</w:t>
            </w:r>
          </w:p>
        </w:tc>
        <w:tc>
          <w:tcPr>
            <w:tcW w:w="1291" w:type="dxa"/>
            <w:gridSpan w:val="2"/>
            <w:tcBorders>
              <w:top w:val="nil"/>
              <w:left w:val="nil"/>
              <w:bottom w:val="nil"/>
              <w:right w:val="nil"/>
            </w:tcBorders>
          </w:tcPr>
          <w:p w14:paraId="5D2724B1" w14:textId="77777777" w:rsidR="002A5071" w:rsidRDefault="002A5071" w:rsidP="000409D6">
            <w:pPr>
              <w:jc w:val="center"/>
            </w:pPr>
            <w:r>
              <w:t>18.9</w:t>
            </w:r>
          </w:p>
        </w:tc>
        <w:tc>
          <w:tcPr>
            <w:tcW w:w="1291" w:type="dxa"/>
            <w:gridSpan w:val="2"/>
            <w:tcBorders>
              <w:top w:val="nil"/>
              <w:left w:val="nil"/>
              <w:bottom w:val="nil"/>
              <w:right w:val="nil"/>
            </w:tcBorders>
          </w:tcPr>
          <w:p w14:paraId="41B77869" w14:textId="77777777" w:rsidR="002A5071" w:rsidRDefault="002A5071" w:rsidP="000409D6">
            <w:pPr>
              <w:jc w:val="center"/>
            </w:pPr>
            <w:r>
              <w:t>18.9</w:t>
            </w:r>
          </w:p>
        </w:tc>
        <w:tc>
          <w:tcPr>
            <w:tcW w:w="1291" w:type="dxa"/>
            <w:gridSpan w:val="2"/>
            <w:tcBorders>
              <w:top w:val="nil"/>
              <w:left w:val="nil"/>
              <w:bottom w:val="nil"/>
              <w:right w:val="nil"/>
            </w:tcBorders>
          </w:tcPr>
          <w:p w14:paraId="36933361" w14:textId="77777777" w:rsidR="002A5071" w:rsidRDefault="002A5071" w:rsidP="000409D6">
            <w:pPr>
              <w:jc w:val="center"/>
            </w:pPr>
            <w:r>
              <w:t>4.5</w:t>
            </w:r>
          </w:p>
        </w:tc>
        <w:tc>
          <w:tcPr>
            <w:tcW w:w="1291" w:type="dxa"/>
            <w:gridSpan w:val="2"/>
            <w:tcBorders>
              <w:top w:val="nil"/>
              <w:left w:val="nil"/>
              <w:bottom w:val="nil"/>
              <w:right w:val="nil"/>
            </w:tcBorders>
          </w:tcPr>
          <w:p w14:paraId="4826E4E8" w14:textId="77777777" w:rsidR="002A5071" w:rsidRDefault="002A5071" w:rsidP="000409D6">
            <w:pPr>
              <w:jc w:val="center"/>
            </w:pPr>
            <w:r>
              <w:t>4.5</w:t>
            </w:r>
          </w:p>
        </w:tc>
        <w:tc>
          <w:tcPr>
            <w:tcW w:w="1291" w:type="dxa"/>
            <w:tcBorders>
              <w:top w:val="nil"/>
              <w:left w:val="nil"/>
              <w:bottom w:val="nil"/>
              <w:right w:val="nil"/>
            </w:tcBorders>
          </w:tcPr>
          <w:p w14:paraId="17287BDD" w14:textId="77777777" w:rsidR="002A5071" w:rsidRDefault="002A5071" w:rsidP="000409D6">
            <w:pPr>
              <w:jc w:val="center"/>
            </w:pPr>
            <w:r>
              <w:t>78.8</w:t>
            </w:r>
          </w:p>
        </w:tc>
      </w:tr>
      <w:tr w:rsidR="002A5071" w14:paraId="0C471694" w14:textId="77777777" w:rsidTr="003F3EB9">
        <w:tc>
          <w:tcPr>
            <w:tcW w:w="2843" w:type="dxa"/>
            <w:tcBorders>
              <w:top w:val="nil"/>
              <w:left w:val="nil"/>
              <w:bottom w:val="nil"/>
              <w:right w:val="nil"/>
            </w:tcBorders>
          </w:tcPr>
          <w:p w14:paraId="136D6891" w14:textId="77777777" w:rsidR="002A5071" w:rsidRDefault="002A5071" w:rsidP="00F35929">
            <w:r>
              <w:t xml:space="preserve">12. Wanted to tell off </w:t>
            </w:r>
          </w:p>
        </w:tc>
        <w:tc>
          <w:tcPr>
            <w:tcW w:w="1291" w:type="dxa"/>
            <w:gridSpan w:val="2"/>
            <w:tcBorders>
              <w:top w:val="nil"/>
              <w:left w:val="nil"/>
              <w:bottom w:val="nil"/>
              <w:right w:val="nil"/>
            </w:tcBorders>
          </w:tcPr>
          <w:p w14:paraId="675150F9" w14:textId="6F0B4A5F" w:rsidR="002A5071" w:rsidRDefault="002A5071" w:rsidP="000409D6">
            <w:pPr>
              <w:jc w:val="center"/>
            </w:pPr>
            <w:r>
              <w:t>8.1</w:t>
            </w:r>
          </w:p>
        </w:tc>
        <w:tc>
          <w:tcPr>
            <w:tcW w:w="1291" w:type="dxa"/>
            <w:gridSpan w:val="2"/>
            <w:tcBorders>
              <w:top w:val="nil"/>
              <w:left w:val="nil"/>
              <w:bottom w:val="nil"/>
              <w:right w:val="nil"/>
            </w:tcBorders>
          </w:tcPr>
          <w:p w14:paraId="359C598B" w14:textId="77777777" w:rsidR="002A5071" w:rsidRDefault="002A5071" w:rsidP="000409D6">
            <w:pPr>
              <w:jc w:val="center"/>
            </w:pPr>
            <w:r>
              <w:t>19.8</w:t>
            </w:r>
          </w:p>
        </w:tc>
        <w:tc>
          <w:tcPr>
            <w:tcW w:w="1291" w:type="dxa"/>
            <w:gridSpan w:val="2"/>
            <w:tcBorders>
              <w:top w:val="nil"/>
              <w:left w:val="nil"/>
              <w:bottom w:val="nil"/>
              <w:right w:val="nil"/>
            </w:tcBorders>
          </w:tcPr>
          <w:p w14:paraId="4A23F15A" w14:textId="77777777" w:rsidR="002A5071" w:rsidRDefault="002A5071" w:rsidP="000409D6">
            <w:pPr>
              <w:jc w:val="center"/>
            </w:pPr>
            <w:r>
              <w:t>18.5</w:t>
            </w:r>
          </w:p>
        </w:tc>
        <w:tc>
          <w:tcPr>
            <w:tcW w:w="1291" w:type="dxa"/>
            <w:gridSpan w:val="2"/>
            <w:tcBorders>
              <w:top w:val="nil"/>
              <w:left w:val="nil"/>
              <w:bottom w:val="nil"/>
              <w:right w:val="nil"/>
            </w:tcBorders>
          </w:tcPr>
          <w:p w14:paraId="5FEEEAF3" w14:textId="77777777" w:rsidR="002A5071" w:rsidRDefault="002A5071" w:rsidP="000409D6">
            <w:pPr>
              <w:jc w:val="center"/>
            </w:pPr>
            <w:r>
              <w:t>27.9</w:t>
            </w:r>
          </w:p>
        </w:tc>
        <w:tc>
          <w:tcPr>
            <w:tcW w:w="1291" w:type="dxa"/>
            <w:gridSpan w:val="2"/>
            <w:tcBorders>
              <w:top w:val="nil"/>
              <w:left w:val="nil"/>
              <w:bottom w:val="nil"/>
              <w:right w:val="nil"/>
            </w:tcBorders>
          </w:tcPr>
          <w:p w14:paraId="6BB863A3" w14:textId="77777777" w:rsidR="002A5071" w:rsidRDefault="002A5071" w:rsidP="000409D6">
            <w:pPr>
              <w:jc w:val="center"/>
            </w:pPr>
            <w:r>
              <w:t>11.7</w:t>
            </w:r>
          </w:p>
        </w:tc>
        <w:tc>
          <w:tcPr>
            <w:tcW w:w="1291" w:type="dxa"/>
            <w:gridSpan w:val="2"/>
            <w:tcBorders>
              <w:top w:val="nil"/>
              <w:left w:val="nil"/>
              <w:bottom w:val="nil"/>
              <w:right w:val="nil"/>
            </w:tcBorders>
          </w:tcPr>
          <w:p w14:paraId="1BD34B9E" w14:textId="77777777" w:rsidR="002A5071" w:rsidRDefault="002A5071" w:rsidP="000409D6">
            <w:pPr>
              <w:jc w:val="center"/>
            </w:pPr>
            <w:r>
              <w:t>14.0</w:t>
            </w:r>
          </w:p>
        </w:tc>
        <w:tc>
          <w:tcPr>
            <w:tcW w:w="1291" w:type="dxa"/>
            <w:tcBorders>
              <w:top w:val="nil"/>
              <w:left w:val="nil"/>
              <w:bottom w:val="nil"/>
              <w:right w:val="nil"/>
            </w:tcBorders>
          </w:tcPr>
          <w:p w14:paraId="1408B95A" w14:textId="77777777" w:rsidR="002A5071" w:rsidRDefault="002A5071" w:rsidP="000409D6">
            <w:pPr>
              <w:jc w:val="center"/>
            </w:pPr>
            <w:r>
              <w:t>91.9</w:t>
            </w:r>
          </w:p>
        </w:tc>
      </w:tr>
      <w:tr w:rsidR="002A5071" w14:paraId="2C379923" w14:textId="77777777" w:rsidTr="003F3EB9">
        <w:tc>
          <w:tcPr>
            <w:tcW w:w="2843" w:type="dxa"/>
            <w:tcBorders>
              <w:top w:val="nil"/>
              <w:left w:val="nil"/>
              <w:bottom w:val="nil"/>
              <w:right w:val="nil"/>
            </w:tcBorders>
          </w:tcPr>
          <w:p w14:paraId="1E39DFEB" w14:textId="77777777" w:rsidR="002A5071" w:rsidRDefault="002A5071" w:rsidP="00F35929">
            <w:r>
              <w:t>13. Felt really angry</w:t>
            </w:r>
          </w:p>
        </w:tc>
        <w:tc>
          <w:tcPr>
            <w:tcW w:w="1291" w:type="dxa"/>
            <w:gridSpan w:val="2"/>
            <w:tcBorders>
              <w:top w:val="nil"/>
              <w:left w:val="nil"/>
              <w:bottom w:val="nil"/>
              <w:right w:val="nil"/>
            </w:tcBorders>
          </w:tcPr>
          <w:p w14:paraId="2D4FFE08" w14:textId="4C22FA1A" w:rsidR="002A5071" w:rsidRDefault="002A5071" w:rsidP="000409D6">
            <w:pPr>
              <w:jc w:val="center"/>
            </w:pPr>
            <w:r>
              <w:t>14.0</w:t>
            </w:r>
          </w:p>
        </w:tc>
        <w:tc>
          <w:tcPr>
            <w:tcW w:w="1291" w:type="dxa"/>
            <w:gridSpan w:val="2"/>
            <w:tcBorders>
              <w:top w:val="nil"/>
              <w:left w:val="nil"/>
              <w:bottom w:val="nil"/>
              <w:right w:val="nil"/>
            </w:tcBorders>
          </w:tcPr>
          <w:p w14:paraId="70D15391" w14:textId="77777777" w:rsidR="002A5071" w:rsidRDefault="002A5071" w:rsidP="000409D6">
            <w:pPr>
              <w:jc w:val="center"/>
            </w:pPr>
            <w:r>
              <w:t>29.3</w:t>
            </w:r>
          </w:p>
        </w:tc>
        <w:tc>
          <w:tcPr>
            <w:tcW w:w="1291" w:type="dxa"/>
            <w:gridSpan w:val="2"/>
            <w:tcBorders>
              <w:top w:val="nil"/>
              <w:left w:val="nil"/>
              <w:bottom w:val="nil"/>
              <w:right w:val="nil"/>
            </w:tcBorders>
          </w:tcPr>
          <w:p w14:paraId="297FD9A3" w14:textId="77777777" w:rsidR="002A5071" w:rsidRDefault="002A5071" w:rsidP="000409D6">
            <w:pPr>
              <w:jc w:val="center"/>
            </w:pPr>
            <w:r>
              <w:t>22.5</w:t>
            </w:r>
          </w:p>
        </w:tc>
        <w:tc>
          <w:tcPr>
            <w:tcW w:w="1291" w:type="dxa"/>
            <w:gridSpan w:val="2"/>
            <w:tcBorders>
              <w:top w:val="nil"/>
              <w:left w:val="nil"/>
              <w:bottom w:val="nil"/>
              <w:right w:val="nil"/>
            </w:tcBorders>
          </w:tcPr>
          <w:p w14:paraId="28CD14B6" w14:textId="77777777" w:rsidR="002A5071" w:rsidRDefault="002A5071" w:rsidP="000409D6">
            <w:pPr>
              <w:jc w:val="center"/>
            </w:pPr>
            <w:r>
              <w:t>16.7</w:t>
            </w:r>
          </w:p>
        </w:tc>
        <w:tc>
          <w:tcPr>
            <w:tcW w:w="1291" w:type="dxa"/>
            <w:gridSpan w:val="2"/>
            <w:tcBorders>
              <w:top w:val="nil"/>
              <w:left w:val="nil"/>
              <w:bottom w:val="nil"/>
              <w:right w:val="nil"/>
            </w:tcBorders>
          </w:tcPr>
          <w:p w14:paraId="5EA0636E" w14:textId="77777777" w:rsidR="002A5071" w:rsidRDefault="002A5071" w:rsidP="000409D6">
            <w:pPr>
              <w:jc w:val="center"/>
            </w:pPr>
            <w:r>
              <w:t>7.7</w:t>
            </w:r>
          </w:p>
        </w:tc>
        <w:tc>
          <w:tcPr>
            <w:tcW w:w="1291" w:type="dxa"/>
            <w:gridSpan w:val="2"/>
            <w:tcBorders>
              <w:top w:val="nil"/>
              <w:left w:val="nil"/>
              <w:bottom w:val="nil"/>
              <w:right w:val="nil"/>
            </w:tcBorders>
          </w:tcPr>
          <w:p w14:paraId="4A136095" w14:textId="77777777" w:rsidR="002A5071" w:rsidRDefault="002A5071" w:rsidP="000409D6">
            <w:pPr>
              <w:jc w:val="center"/>
            </w:pPr>
            <w:r>
              <w:t>9.9</w:t>
            </w:r>
          </w:p>
        </w:tc>
        <w:tc>
          <w:tcPr>
            <w:tcW w:w="1291" w:type="dxa"/>
            <w:tcBorders>
              <w:top w:val="nil"/>
              <w:left w:val="nil"/>
              <w:bottom w:val="nil"/>
              <w:right w:val="nil"/>
            </w:tcBorders>
          </w:tcPr>
          <w:p w14:paraId="646D0400" w14:textId="77777777" w:rsidR="002A5071" w:rsidRDefault="002A5071" w:rsidP="000409D6">
            <w:pPr>
              <w:jc w:val="center"/>
            </w:pPr>
            <w:r>
              <w:t>86.0</w:t>
            </w:r>
          </w:p>
        </w:tc>
      </w:tr>
      <w:tr w:rsidR="002A5071" w14:paraId="6DD8BA6E" w14:textId="77777777" w:rsidTr="003F3EB9">
        <w:tc>
          <w:tcPr>
            <w:tcW w:w="2843" w:type="dxa"/>
            <w:tcBorders>
              <w:top w:val="nil"/>
              <w:left w:val="nil"/>
              <w:bottom w:val="nil"/>
              <w:right w:val="nil"/>
            </w:tcBorders>
          </w:tcPr>
          <w:p w14:paraId="6BFA9679" w14:textId="77777777" w:rsidR="002A5071" w:rsidRDefault="002A5071" w:rsidP="00F35929">
            <w:r>
              <w:t>14. Took drastic steps</w:t>
            </w:r>
          </w:p>
        </w:tc>
        <w:tc>
          <w:tcPr>
            <w:tcW w:w="1291" w:type="dxa"/>
            <w:gridSpan w:val="2"/>
            <w:tcBorders>
              <w:top w:val="nil"/>
              <w:left w:val="nil"/>
              <w:bottom w:val="nil"/>
              <w:right w:val="nil"/>
            </w:tcBorders>
          </w:tcPr>
          <w:p w14:paraId="076B9A18" w14:textId="77777777" w:rsidR="002A5071" w:rsidRDefault="002A5071" w:rsidP="000409D6">
            <w:pPr>
              <w:jc w:val="center"/>
            </w:pPr>
            <w:r>
              <w:t>70.3</w:t>
            </w:r>
          </w:p>
        </w:tc>
        <w:tc>
          <w:tcPr>
            <w:tcW w:w="1291" w:type="dxa"/>
            <w:gridSpan w:val="2"/>
            <w:tcBorders>
              <w:top w:val="nil"/>
              <w:left w:val="nil"/>
              <w:bottom w:val="nil"/>
              <w:right w:val="nil"/>
            </w:tcBorders>
          </w:tcPr>
          <w:p w14:paraId="46034131" w14:textId="77777777" w:rsidR="002A5071" w:rsidRDefault="002A5071" w:rsidP="000409D6">
            <w:pPr>
              <w:jc w:val="center"/>
            </w:pPr>
            <w:r>
              <w:t>18.0</w:t>
            </w:r>
          </w:p>
        </w:tc>
        <w:tc>
          <w:tcPr>
            <w:tcW w:w="1291" w:type="dxa"/>
            <w:gridSpan w:val="2"/>
            <w:tcBorders>
              <w:top w:val="nil"/>
              <w:left w:val="nil"/>
              <w:bottom w:val="nil"/>
              <w:right w:val="nil"/>
            </w:tcBorders>
          </w:tcPr>
          <w:p w14:paraId="05E8D0AB" w14:textId="77777777" w:rsidR="002A5071" w:rsidRDefault="002A5071" w:rsidP="000409D6">
            <w:pPr>
              <w:jc w:val="center"/>
            </w:pPr>
            <w:r>
              <w:t>6.8</w:t>
            </w:r>
          </w:p>
        </w:tc>
        <w:tc>
          <w:tcPr>
            <w:tcW w:w="1291" w:type="dxa"/>
            <w:gridSpan w:val="2"/>
            <w:tcBorders>
              <w:top w:val="nil"/>
              <w:left w:val="nil"/>
              <w:bottom w:val="nil"/>
              <w:right w:val="nil"/>
            </w:tcBorders>
          </w:tcPr>
          <w:p w14:paraId="4F99D7C2" w14:textId="77777777" w:rsidR="002A5071" w:rsidRDefault="002A5071" w:rsidP="000409D6">
            <w:pPr>
              <w:jc w:val="center"/>
            </w:pPr>
            <w:r>
              <w:t>3.6</w:t>
            </w:r>
          </w:p>
        </w:tc>
        <w:tc>
          <w:tcPr>
            <w:tcW w:w="1291" w:type="dxa"/>
            <w:gridSpan w:val="2"/>
            <w:tcBorders>
              <w:top w:val="nil"/>
              <w:left w:val="nil"/>
              <w:bottom w:val="nil"/>
              <w:right w:val="nil"/>
            </w:tcBorders>
          </w:tcPr>
          <w:p w14:paraId="5BF70AB0" w14:textId="77777777" w:rsidR="002A5071" w:rsidRDefault="002A5071" w:rsidP="000409D6">
            <w:pPr>
              <w:jc w:val="center"/>
            </w:pPr>
            <w:r>
              <w:t>0.9</w:t>
            </w:r>
          </w:p>
        </w:tc>
        <w:tc>
          <w:tcPr>
            <w:tcW w:w="1291" w:type="dxa"/>
            <w:gridSpan w:val="2"/>
            <w:tcBorders>
              <w:top w:val="nil"/>
              <w:left w:val="nil"/>
              <w:bottom w:val="nil"/>
              <w:right w:val="nil"/>
            </w:tcBorders>
          </w:tcPr>
          <w:p w14:paraId="2F61DA47" w14:textId="77777777" w:rsidR="002A5071" w:rsidRDefault="002A5071" w:rsidP="000409D6">
            <w:pPr>
              <w:jc w:val="center"/>
            </w:pPr>
            <w:r>
              <w:t>0.5</w:t>
            </w:r>
          </w:p>
        </w:tc>
        <w:tc>
          <w:tcPr>
            <w:tcW w:w="1291" w:type="dxa"/>
            <w:tcBorders>
              <w:top w:val="nil"/>
              <w:left w:val="nil"/>
              <w:bottom w:val="nil"/>
              <w:right w:val="nil"/>
            </w:tcBorders>
          </w:tcPr>
          <w:p w14:paraId="57FFB58D" w14:textId="77777777" w:rsidR="002A5071" w:rsidRDefault="002A5071" w:rsidP="000409D6">
            <w:pPr>
              <w:jc w:val="center"/>
            </w:pPr>
            <w:r>
              <w:t>29.7</w:t>
            </w:r>
          </w:p>
        </w:tc>
      </w:tr>
      <w:tr w:rsidR="002A5071" w14:paraId="3A371694" w14:textId="77777777" w:rsidTr="003F3EB9">
        <w:tc>
          <w:tcPr>
            <w:tcW w:w="2843" w:type="dxa"/>
            <w:tcBorders>
              <w:top w:val="nil"/>
              <w:left w:val="nil"/>
              <w:bottom w:val="nil"/>
              <w:right w:val="nil"/>
            </w:tcBorders>
          </w:tcPr>
          <w:p w14:paraId="2E74F9C9" w14:textId="77777777" w:rsidR="002A5071" w:rsidRDefault="002A5071" w:rsidP="00F35929">
            <w:r>
              <w:t>15. Called racist names</w:t>
            </w:r>
          </w:p>
        </w:tc>
        <w:tc>
          <w:tcPr>
            <w:tcW w:w="1291" w:type="dxa"/>
            <w:gridSpan w:val="2"/>
            <w:tcBorders>
              <w:top w:val="nil"/>
              <w:left w:val="nil"/>
              <w:bottom w:val="nil"/>
              <w:right w:val="nil"/>
            </w:tcBorders>
          </w:tcPr>
          <w:p w14:paraId="589F562E" w14:textId="77777777" w:rsidR="002A5071" w:rsidRDefault="002A5071" w:rsidP="000409D6">
            <w:pPr>
              <w:jc w:val="center"/>
            </w:pPr>
            <w:r>
              <w:t>21.2</w:t>
            </w:r>
          </w:p>
        </w:tc>
        <w:tc>
          <w:tcPr>
            <w:tcW w:w="1291" w:type="dxa"/>
            <w:gridSpan w:val="2"/>
            <w:tcBorders>
              <w:top w:val="nil"/>
              <w:left w:val="nil"/>
              <w:bottom w:val="nil"/>
              <w:right w:val="nil"/>
            </w:tcBorders>
          </w:tcPr>
          <w:p w14:paraId="73BA0B75" w14:textId="77777777" w:rsidR="002A5071" w:rsidRDefault="002A5071" w:rsidP="000409D6">
            <w:pPr>
              <w:jc w:val="center"/>
            </w:pPr>
            <w:r>
              <w:t>35.1</w:t>
            </w:r>
          </w:p>
        </w:tc>
        <w:tc>
          <w:tcPr>
            <w:tcW w:w="1291" w:type="dxa"/>
            <w:gridSpan w:val="2"/>
            <w:tcBorders>
              <w:top w:val="nil"/>
              <w:left w:val="nil"/>
              <w:bottom w:val="nil"/>
              <w:right w:val="nil"/>
            </w:tcBorders>
          </w:tcPr>
          <w:p w14:paraId="43568529" w14:textId="77777777" w:rsidR="002A5071" w:rsidRDefault="002A5071" w:rsidP="000409D6">
            <w:pPr>
              <w:jc w:val="center"/>
            </w:pPr>
            <w:r>
              <w:t>27.9</w:t>
            </w:r>
          </w:p>
        </w:tc>
        <w:tc>
          <w:tcPr>
            <w:tcW w:w="1291" w:type="dxa"/>
            <w:gridSpan w:val="2"/>
            <w:tcBorders>
              <w:top w:val="nil"/>
              <w:left w:val="nil"/>
              <w:bottom w:val="nil"/>
              <w:right w:val="nil"/>
            </w:tcBorders>
          </w:tcPr>
          <w:p w14:paraId="693F40E5" w14:textId="77777777" w:rsidR="002A5071" w:rsidRDefault="002A5071" w:rsidP="000409D6">
            <w:pPr>
              <w:jc w:val="center"/>
            </w:pPr>
            <w:r>
              <w:t>12.2</w:t>
            </w:r>
          </w:p>
        </w:tc>
        <w:tc>
          <w:tcPr>
            <w:tcW w:w="1291" w:type="dxa"/>
            <w:gridSpan w:val="2"/>
            <w:tcBorders>
              <w:top w:val="nil"/>
              <w:left w:val="nil"/>
              <w:bottom w:val="nil"/>
              <w:right w:val="nil"/>
            </w:tcBorders>
          </w:tcPr>
          <w:p w14:paraId="3AA98A93" w14:textId="77777777" w:rsidR="002A5071" w:rsidRDefault="002A5071" w:rsidP="000409D6">
            <w:pPr>
              <w:jc w:val="center"/>
            </w:pPr>
            <w:r>
              <w:t>2.3</w:t>
            </w:r>
          </w:p>
        </w:tc>
        <w:tc>
          <w:tcPr>
            <w:tcW w:w="1291" w:type="dxa"/>
            <w:gridSpan w:val="2"/>
            <w:tcBorders>
              <w:top w:val="nil"/>
              <w:left w:val="nil"/>
              <w:bottom w:val="nil"/>
              <w:right w:val="nil"/>
            </w:tcBorders>
          </w:tcPr>
          <w:p w14:paraId="15360D23" w14:textId="77777777" w:rsidR="002A5071" w:rsidRDefault="002A5071" w:rsidP="000409D6">
            <w:pPr>
              <w:jc w:val="center"/>
            </w:pPr>
            <w:r>
              <w:t>1.4</w:t>
            </w:r>
          </w:p>
        </w:tc>
        <w:tc>
          <w:tcPr>
            <w:tcW w:w="1291" w:type="dxa"/>
            <w:tcBorders>
              <w:top w:val="nil"/>
              <w:left w:val="nil"/>
              <w:bottom w:val="nil"/>
              <w:right w:val="nil"/>
            </w:tcBorders>
          </w:tcPr>
          <w:p w14:paraId="55A2A220" w14:textId="77777777" w:rsidR="002A5071" w:rsidRDefault="002A5071" w:rsidP="000409D6">
            <w:pPr>
              <w:jc w:val="center"/>
            </w:pPr>
            <w:r>
              <w:t>78.8</w:t>
            </w:r>
          </w:p>
        </w:tc>
      </w:tr>
      <w:tr w:rsidR="002A5071" w14:paraId="54661D75" w14:textId="77777777" w:rsidTr="003F3EB9">
        <w:tc>
          <w:tcPr>
            <w:tcW w:w="2843" w:type="dxa"/>
            <w:tcBorders>
              <w:top w:val="nil"/>
              <w:left w:val="nil"/>
              <w:bottom w:val="nil"/>
              <w:right w:val="nil"/>
            </w:tcBorders>
          </w:tcPr>
          <w:p w14:paraId="6E69F305" w14:textId="66F39C6F" w:rsidR="002A5071" w:rsidRDefault="002A5071" w:rsidP="00F35929">
            <w:r>
              <w:t>16. Argument/fight</w:t>
            </w:r>
          </w:p>
        </w:tc>
        <w:tc>
          <w:tcPr>
            <w:tcW w:w="1291" w:type="dxa"/>
            <w:gridSpan w:val="2"/>
            <w:tcBorders>
              <w:top w:val="nil"/>
              <w:left w:val="nil"/>
              <w:bottom w:val="nil"/>
              <w:right w:val="nil"/>
            </w:tcBorders>
          </w:tcPr>
          <w:p w14:paraId="719CFD0D" w14:textId="77777777" w:rsidR="002A5071" w:rsidRDefault="002A5071" w:rsidP="000409D6">
            <w:pPr>
              <w:jc w:val="center"/>
            </w:pPr>
            <w:r>
              <w:t>25.7</w:t>
            </w:r>
          </w:p>
        </w:tc>
        <w:tc>
          <w:tcPr>
            <w:tcW w:w="1291" w:type="dxa"/>
            <w:gridSpan w:val="2"/>
            <w:tcBorders>
              <w:top w:val="nil"/>
              <w:left w:val="nil"/>
              <w:bottom w:val="nil"/>
              <w:right w:val="nil"/>
            </w:tcBorders>
          </w:tcPr>
          <w:p w14:paraId="2EA4CDD7" w14:textId="77777777" w:rsidR="002A5071" w:rsidRDefault="002A5071" w:rsidP="000409D6">
            <w:pPr>
              <w:jc w:val="center"/>
            </w:pPr>
            <w:r>
              <w:t>25.7</w:t>
            </w:r>
          </w:p>
        </w:tc>
        <w:tc>
          <w:tcPr>
            <w:tcW w:w="1291" w:type="dxa"/>
            <w:gridSpan w:val="2"/>
            <w:tcBorders>
              <w:top w:val="nil"/>
              <w:left w:val="nil"/>
              <w:bottom w:val="nil"/>
              <w:right w:val="nil"/>
            </w:tcBorders>
          </w:tcPr>
          <w:p w14:paraId="03797D29" w14:textId="77777777" w:rsidR="002A5071" w:rsidRDefault="002A5071" w:rsidP="000409D6">
            <w:pPr>
              <w:jc w:val="center"/>
            </w:pPr>
            <w:r>
              <w:t>26.6</w:t>
            </w:r>
          </w:p>
        </w:tc>
        <w:tc>
          <w:tcPr>
            <w:tcW w:w="1291" w:type="dxa"/>
            <w:gridSpan w:val="2"/>
            <w:tcBorders>
              <w:top w:val="nil"/>
              <w:left w:val="nil"/>
              <w:bottom w:val="nil"/>
              <w:right w:val="nil"/>
            </w:tcBorders>
          </w:tcPr>
          <w:p w14:paraId="66C34F61" w14:textId="77777777" w:rsidR="002A5071" w:rsidRDefault="002A5071" w:rsidP="000409D6">
            <w:pPr>
              <w:jc w:val="center"/>
            </w:pPr>
            <w:r>
              <w:t>14.9</w:t>
            </w:r>
          </w:p>
        </w:tc>
        <w:tc>
          <w:tcPr>
            <w:tcW w:w="1291" w:type="dxa"/>
            <w:gridSpan w:val="2"/>
            <w:tcBorders>
              <w:top w:val="nil"/>
              <w:left w:val="nil"/>
              <w:bottom w:val="nil"/>
              <w:right w:val="nil"/>
            </w:tcBorders>
          </w:tcPr>
          <w:p w14:paraId="6DC932FF" w14:textId="77777777" w:rsidR="002A5071" w:rsidRDefault="002A5071" w:rsidP="000409D6">
            <w:pPr>
              <w:jc w:val="center"/>
            </w:pPr>
            <w:r>
              <w:t>5.4</w:t>
            </w:r>
          </w:p>
        </w:tc>
        <w:tc>
          <w:tcPr>
            <w:tcW w:w="1291" w:type="dxa"/>
            <w:gridSpan w:val="2"/>
            <w:tcBorders>
              <w:top w:val="nil"/>
              <w:left w:val="nil"/>
              <w:bottom w:val="nil"/>
              <w:right w:val="nil"/>
            </w:tcBorders>
          </w:tcPr>
          <w:p w14:paraId="5AB65D04" w14:textId="77777777" w:rsidR="002A5071" w:rsidRDefault="002A5071" w:rsidP="000409D6">
            <w:pPr>
              <w:jc w:val="center"/>
            </w:pPr>
            <w:r>
              <w:t>1.8</w:t>
            </w:r>
          </w:p>
        </w:tc>
        <w:tc>
          <w:tcPr>
            <w:tcW w:w="1291" w:type="dxa"/>
            <w:tcBorders>
              <w:top w:val="nil"/>
              <w:left w:val="nil"/>
              <w:bottom w:val="nil"/>
              <w:right w:val="nil"/>
            </w:tcBorders>
          </w:tcPr>
          <w:p w14:paraId="211B5060" w14:textId="77777777" w:rsidR="002A5071" w:rsidRDefault="002A5071" w:rsidP="000409D6">
            <w:pPr>
              <w:jc w:val="center"/>
            </w:pPr>
            <w:r>
              <w:t>74.3</w:t>
            </w:r>
          </w:p>
        </w:tc>
      </w:tr>
      <w:tr w:rsidR="002A5071" w14:paraId="2C759BA1" w14:textId="77777777" w:rsidTr="003F3EB9">
        <w:trPr>
          <w:trHeight w:val="99"/>
        </w:trPr>
        <w:tc>
          <w:tcPr>
            <w:tcW w:w="2843" w:type="dxa"/>
            <w:tcBorders>
              <w:top w:val="nil"/>
              <w:left w:val="nil"/>
              <w:bottom w:val="nil"/>
              <w:right w:val="nil"/>
            </w:tcBorders>
          </w:tcPr>
          <w:p w14:paraId="6C84F767" w14:textId="2AC54756" w:rsidR="002A5071" w:rsidRDefault="002A5071" w:rsidP="00F35929">
            <w:r>
              <w:t>17. Made fun of/harmed</w:t>
            </w:r>
          </w:p>
        </w:tc>
        <w:tc>
          <w:tcPr>
            <w:tcW w:w="1291" w:type="dxa"/>
            <w:gridSpan w:val="2"/>
            <w:tcBorders>
              <w:top w:val="nil"/>
              <w:left w:val="nil"/>
              <w:bottom w:val="nil"/>
              <w:right w:val="nil"/>
            </w:tcBorders>
          </w:tcPr>
          <w:p w14:paraId="44142BD2" w14:textId="77777777" w:rsidR="002A5071" w:rsidRDefault="002A5071" w:rsidP="000409D6">
            <w:pPr>
              <w:jc w:val="center"/>
            </w:pPr>
            <w:r>
              <w:t>46.4</w:t>
            </w:r>
          </w:p>
        </w:tc>
        <w:tc>
          <w:tcPr>
            <w:tcW w:w="1291" w:type="dxa"/>
            <w:gridSpan w:val="2"/>
            <w:tcBorders>
              <w:top w:val="nil"/>
              <w:left w:val="nil"/>
              <w:bottom w:val="nil"/>
              <w:right w:val="nil"/>
            </w:tcBorders>
          </w:tcPr>
          <w:p w14:paraId="54E1E570" w14:textId="77777777" w:rsidR="002A5071" w:rsidRDefault="002A5071" w:rsidP="000409D6">
            <w:pPr>
              <w:jc w:val="center"/>
            </w:pPr>
            <w:r>
              <w:t>27.0</w:t>
            </w:r>
          </w:p>
        </w:tc>
        <w:tc>
          <w:tcPr>
            <w:tcW w:w="1291" w:type="dxa"/>
            <w:gridSpan w:val="2"/>
            <w:tcBorders>
              <w:top w:val="nil"/>
              <w:left w:val="nil"/>
              <w:bottom w:val="nil"/>
              <w:right w:val="nil"/>
            </w:tcBorders>
          </w:tcPr>
          <w:p w14:paraId="792BE4D5" w14:textId="77777777" w:rsidR="002A5071" w:rsidRDefault="002A5071" w:rsidP="000409D6">
            <w:pPr>
              <w:jc w:val="center"/>
            </w:pPr>
            <w:r>
              <w:t>14.0</w:t>
            </w:r>
          </w:p>
        </w:tc>
        <w:tc>
          <w:tcPr>
            <w:tcW w:w="1291" w:type="dxa"/>
            <w:gridSpan w:val="2"/>
            <w:tcBorders>
              <w:top w:val="nil"/>
              <w:left w:val="nil"/>
              <w:bottom w:val="nil"/>
              <w:right w:val="nil"/>
            </w:tcBorders>
          </w:tcPr>
          <w:p w14:paraId="23F6B5D8" w14:textId="77777777" w:rsidR="002A5071" w:rsidRDefault="002A5071" w:rsidP="000409D6">
            <w:pPr>
              <w:jc w:val="center"/>
            </w:pPr>
            <w:r>
              <w:t>8.1</w:t>
            </w:r>
          </w:p>
        </w:tc>
        <w:tc>
          <w:tcPr>
            <w:tcW w:w="1291" w:type="dxa"/>
            <w:gridSpan w:val="2"/>
            <w:tcBorders>
              <w:top w:val="nil"/>
              <w:left w:val="nil"/>
              <w:bottom w:val="nil"/>
              <w:right w:val="nil"/>
            </w:tcBorders>
          </w:tcPr>
          <w:p w14:paraId="4AAAD9B0" w14:textId="77777777" w:rsidR="002A5071" w:rsidRDefault="002A5071" w:rsidP="000409D6">
            <w:pPr>
              <w:jc w:val="center"/>
            </w:pPr>
            <w:r>
              <w:t>2.3</w:t>
            </w:r>
          </w:p>
        </w:tc>
        <w:tc>
          <w:tcPr>
            <w:tcW w:w="1291" w:type="dxa"/>
            <w:gridSpan w:val="2"/>
            <w:tcBorders>
              <w:top w:val="nil"/>
              <w:left w:val="nil"/>
              <w:bottom w:val="nil"/>
              <w:right w:val="nil"/>
            </w:tcBorders>
          </w:tcPr>
          <w:p w14:paraId="176E13F3" w14:textId="77777777" w:rsidR="002A5071" w:rsidRDefault="002A5071" w:rsidP="000409D6">
            <w:pPr>
              <w:jc w:val="center"/>
            </w:pPr>
            <w:r>
              <w:t>2.3</w:t>
            </w:r>
          </w:p>
        </w:tc>
        <w:tc>
          <w:tcPr>
            <w:tcW w:w="1291" w:type="dxa"/>
            <w:tcBorders>
              <w:top w:val="nil"/>
              <w:left w:val="nil"/>
              <w:bottom w:val="nil"/>
              <w:right w:val="nil"/>
            </w:tcBorders>
          </w:tcPr>
          <w:p w14:paraId="7500110A" w14:textId="77777777" w:rsidR="002A5071" w:rsidRDefault="002A5071" w:rsidP="000409D6">
            <w:pPr>
              <w:jc w:val="center"/>
            </w:pPr>
            <w:r>
              <w:t>53.6</w:t>
            </w:r>
          </w:p>
        </w:tc>
      </w:tr>
      <w:tr w:rsidR="002A5071" w14:paraId="54C87294" w14:textId="77777777" w:rsidTr="003F3EB9">
        <w:trPr>
          <w:gridAfter w:val="2"/>
          <w:wAfter w:w="1941" w:type="dxa"/>
        </w:trPr>
        <w:tc>
          <w:tcPr>
            <w:tcW w:w="2843" w:type="dxa"/>
            <w:tcBorders>
              <w:top w:val="nil"/>
              <w:left w:val="nil"/>
              <w:bottom w:val="nil"/>
              <w:right w:val="nil"/>
            </w:tcBorders>
          </w:tcPr>
          <w:p w14:paraId="3DD2A0A4" w14:textId="77777777" w:rsidR="002A5071" w:rsidRDefault="002A5071" w:rsidP="002A5071"/>
        </w:tc>
        <w:tc>
          <w:tcPr>
            <w:tcW w:w="1182" w:type="dxa"/>
            <w:tcBorders>
              <w:top w:val="nil"/>
              <w:left w:val="nil"/>
              <w:bottom w:val="nil"/>
              <w:right w:val="nil"/>
            </w:tcBorders>
            <w:vAlign w:val="center"/>
          </w:tcPr>
          <w:p w14:paraId="54699296" w14:textId="25EB0F15" w:rsidR="002A5071" w:rsidRDefault="002A5071" w:rsidP="002A5071">
            <w:pPr>
              <w:jc w:val="center"/>
            </w:pPr>
            <w:r>
              <w:t>Same</w:t>
            </w:r>
          </w:p>
        </w:tc>
        <w:tc>
          <w:tcPr>
            <w:tcW w:w="1183" w:type="dxa"/>
            <w:gridSpan w:val="2"/>
            <w:tcBorders>
              <w:top w:val="nil"/>
              <w:left w:val="nil"/>
              <w:bottom w:val="nil"/>
              <w:right w:val="nil"/>
            </w:tcBorders>
            <w:vAlign w:val="center"/>
          </w:tcPr>
          <w:p w14:paraId="45AE626F" w14:textId="77777777" w:rsidR="002A5071" w:rsidRDefault="002A5071" w:rsidP="002A5071">
            <w:pPr>
              <w:jc w:val="center"/>
            </w:pPr>
            <w:r>
              <w:t>A little</w:t>
            </w:r>
          </w:p>
          <w:p w14:paraId="71296A9E" w14:textId="4E0312F1" w:rsidR="002A5071" w:rsidRDefault="002A5071" w:rsidP="002A5071">
            <w:pPr>
              <w:jc w:val="center"/>
            </w:pPr>
            <w:r>
              <w:t>different</w:t>
            </w:r>
          </w:p>
        </w:tc>
        <w:tc>
          <w:tcPr>
            <w:tcW w:w="1183" w:type="dxa"/>
            <w:gridSpan w:val="2"/>
            <w:tcBorders>
              <w:top w:val="nil"/>
              <w:left w:val="nil"/>
              <w:bottom w:val="nil"/>
              <w:right w:val="nil"/>
            </w:tcBorders>
            <w:vAlign w:val="center"/>
          </w:tcPr>
          <w:p w14:paraId="66FA807D" w14:textId="77777777" w:rsidR="002A5071" w:rsidRDefault="002A5071" w:rsidP="002A5071">
            <w:pPr>
              <w:jc w:val="center"/>
            </w:pPr>
            <w:r>
              <w:t>In a</w:t>
            </w:r>
          </w:p>
          <w:p w14:paraId="5CEC1F57" w14:textId="33202C8E" w:rsidR="002A5071" w:rsidRDefault="002A5071" w:rsidP="002A5071">
            <w:pPr>
              <w:jc w:val="center"/>
            </w:pPr>
            <w:r>
              <w:t>few ways</w:t>
            </w:r>
          </w:p>
        </w:tc>
        <w:tc>
          <w:tcPr>
            <w:tcW w:w="1182" w:type="dxa"/>
            <w:gridSpan w:val="2"/>
            <w:tcBorders>
              <w:top w:val="nil"/>
              <w:left w:val="nil"/>
              <w:bottom w:val="nil"/>
              <w:right w:val="nil"/>
            </w:tcBorders>
            <w:vAlign w:val="center"/>
          </w:tcPr>
          <w:p w14:paraId="745A01B3" w14:textId="77777777" w:rsidR="002A5071" w:rsidRDefault="002A5071" w:rsidP="002A5071">
            <w:pPr>
              <w:jc w:val="center"/>
            </w:pPr>
            <w:r>
              <w:t>In a lot</w:t>
            </w:r>
          </w:p>
          <w:p w14:paraId="697B34D4" w14:textId="3C00201F" w:rsidR="002A5071" w:rsidRDefault="002A5071" w:rsidP="002A5071">
            <w:pPr>
              <w:jc w:val="center"/>
            </w:pPr>
            <w:r>
              <w:t>of ways</w:t>
            </w:r>
          </w:p>
        </w:tc>
        <w:tc>
          <w:tcPr>
            <w:tcW w:w="1183" w:type="dxa"/>
            <w:gridSpan w:val="2"/>
            <w:tcBorders>
              <w:top w:val="nil"/>
              <w:left w:val="nil"/>
              <w:bottom w:val="nil"/>
              <w:right w:val="nil"/>
            </w:tcBorders>
            <w:vAlign w:val="center"/>
          </w:tcPr>
          <w:p w14:paraId="6BDD14E8" w14:textId="77777777" w:rsidR="002A5071" w:rsidRDefault="002A5071" w:rsidP="002A5071">
            <w:pPr>
              <w:jc w:val="center"/>
            </w:pPr>
            <w:r>
              <w:t>In most</w:t>
            </w:r>
          </w:p>
          <w:p w14:paraId="36A69C42" w14:textId="1B780BB5" w:rsidR="002A5071" w:rsidRDefault="002A5071" w:rsidP="002A5071">
            <w:pPr>
              <w:jc w:val="center"/>
            </w:pPr>
            <w:r>
              <w:t>ways</w:t>
            </w:r>
          </w:p>
        </w:tc>
        <w:tc>
          <w:tcPr>
            <w:tcW w:w="1183" w:type="dxa"/>
            <w:gridSpan w:val="2"/>
            <w:tcBorders>
              <w:top w:val="nil"/>
              <w:left w:val="nil"/>
              <w:bottom w:val="nil"/>
              <w:right w:val="nil"/>
            </w:tcBorders>
            <w:vAlign w:val="center"/>
          </w:tcPr>
          <w:p w14:paraId="30C55164" w14:textId="6765E94E" w:rsidR="002A5071" w:rsidRDefault="002A5071" w:rsidP="002A5071">
            <w:pPr>
              <w:jc w:val="center"/>
            </w:pPr>
            <w:r>
              <w:t>Totally Different</w:t>
            </w:r>
          </w:p>
        </w:tc>
      </w:tr>
      <w:tr w:rsidR="002A5071" w14:paraId="433ED498" w14:textId="77777777" w:rsidTr="003F3EB9">
        <w:trPr>
          <w:gridAfter w:val="2"/>
          <w:wAfter w:w="1941" w:type="dxa"/>
        </w:trPr>
        <w:tc>
          <w:tcPr>
            <w:tcW w:w="2843" w:type="dxa"/>
            <w:tcBorders>
              <w:top w:val="nil"/>
              <w:left w:val="nil"/>
              <w:bottom w:val="single" w:sz="4" w:space="0" w:color="auto"/>
              <w:right w:val="nil"/>
            </w:tcBorders>
          </w:tcPr>
          <w:p w14:paraId="36E03C5E" w14:textId="4F77E005" w:rsidR="002A5071" w:rsidRDefault="002A5071" w:rsidP="00F35929">
            <w:r>
              <w:t xml:space="preserve">18. How different would your life be without </w:t>
            </w:r>
            <w:r w:rsidR="00FD7C5F">
              <w:t>lifetime</w:t>
            </w:r>
            <w:r w:rsidR="00F00E5F">
              <w:t xml:space="preserve"> </w:t>
            </w:r>
            <w:r>
              <w:t>discrimination?</w:t>
            </w:r>
          </w:p>
        </w:tc>
        <w:tc>
          <w:tcPr>
            <w:tcW w:w="1182" w:type="dxa"/>
            <w:tcBorders>
              <w:top w:val="nil"/>
              <w:left w:val="nil"/>
              <w:bottom w:val="single" w:sz="4" w:space="0" w:color="auto"/>
              <w:right w:val="nil"/>
            </w:tcBorders>
          </w:tcPr>
          <w:p w14:paraId="5378A38F" w14:textId="77777777" w:rsidR="002A5071" w:rsidRDefault="002A5071" w:rsidP="002A5071">
            <w:pPr>
              <w:jc w:val="center"/>
            </w:pPr>
            <w:r>
              <w:t>22.5</w:t>
            </w:r>
          </w:p>
        </w:tc>
        <w:tc>
          <w:tcPr>
            <w:tcW w:w="1183" w:type="dxa"/>
            <w:gridSpan w:val="2"/>
            <w:tcBorders>
              <w:top w:val="nil"/>
              <w:left w:val="nil"/>
              <w:bottom w:val="single" w:sz="4" w:space="0" w:color="auto"/>
              <w:right w:val="nil"/>
            </w:tcBorders>
          </w:tcPr>
          <w:p w14:paraId="562794BE" w14:textId="77777777" w:rsidR="002A5071" w:rsidRDefault="002A5071" w:rsidP="002A5071">
            <w:pPr>
              <w:jc w:val="center"/>
            </w:pPr>
            <w:r>
              <w:t>20.7</w:t>
            </w:r>
          </w:p>
        </w:tc>
        <w:tc>
          <w:tcPr>
            <w:tcW w:w="1183" w:type="dxa"/>
            <w:gridSpan w:val="2"/>
            <w:tcBorders>
              <w:top w:val="nil"/>
              <w:left w:val="nil"/>
              <w:bottom w:val="single" w:sz="4" w:space="0" w:color="auto"/>
              <w:right w:val="nil"/>
            </w:tcBorders>
          </w:tcPr>
          <w:p w14:paraId="47821729" w14:textId="77777777" w:rsidR="002A5071" w:rsidRDefault="002A5071" w:rsidP="002A5071">
            <w:pPr>
              <w:jc w:val="center"/>
            </w:pPr>
            <w:r>
              <w:t>19.8</w:t>
            </w:r>
          </w:p>
        </w:tc>
        <w:tc>
          <w:tcPr>
            <w:tcW w:w="1182" w:type="dxa"/>
            <w:gridSpan w:val="2"/>
            <w:tcBorders>
              <w:top w:val="nil"/>
              <w:left w:val="nil"/>
              <w:bottom w:val="single" w:sz="4" w:space="0" w:color="auto"/>
              <w:right w:val="nil"/>
            </w:tcBorders>
          </w:tcPr>
          <w:p w14:paraId="64BF6D70" w14:textId="77777777" w:rsidR="002A5071" w:rsidRDefault="002A5071" w:rsidP="002A5071">
            <w:pPr>
              <w:jc w:val="center"/>
            </w:pPr>
            <w:r>
              <w:t>16.2</w:t>
            </w:r>
          </w:p>
        </w:tc>
        <w:tc>
          <w:tcPr>
            <w:tcW w:w="1183" w:type="dxa"/>
            <w:gridSpan w:val="2"/>
            <w:tcBorders>
              <w:top w:val="nil"/>
              <w:left w:val="nil"/>
              <w:bottom w:val="single" w:sz="4" w:space="0" w:color="auto"/>
              <w:right w:val="nil"/>
            </w:tcBorders>
          </w:tcPr>
          <w:p w14:paraId="1ED650F5" w14:textId="77777777" w:rsidR="002A5071" w:rsidRDefault="002A5071" w:rsidP="002A5071">
            <w:pPr>
              <w:jc w:val="center"/>
            </w:pPr>
            <w:r>
              <w:t>7.2</w:t>
            </w:r>
          </w:p>
        </w:tc>
        <w:tc>
          <w:tcPr>
            <w:tcW w:w="1183" w:type="dxa"/>
            <w:gridSpan w:val="2"/>
            <w:tcBorders>
              <w:top w:val="nil"/>
              <w:left w:val="nil"/>
              <w:bottom w:val="single" w:sz="4" w:space="0" w:color="auto"/>
              <w:right w:val="nil"/>
            </w:tcBorders>
          </w:tcPr>
          <w:p w14:paraId="1EEC96BB" w14:textId="77777777" w:rsidR="002A5071" w:rsidRDefault="002A5071" w:rsidP="002A5071">
            <w:pPr>
              <w:jc w:val="center"/>
            </w:pPr>
            <w:r>
              <w:t>13.5</w:t>
            </w:r>
          </w:p>
        </w:tc>
      </w:tr>
    </w:tbl>
    <w:p w14:paraId="3C82C3BA" w14:textId="77777777" w:rsidR="003F3EB9" w:rsidRDefault="003F3EB9" w:rsidP="00FA53C2">
      <w:pPr>
        <w:spacing w:line="480" w:lineRule="auto"/>
        <w:rPr>
          <w:b/>
          <w:bCs/>
          <w:color w:val="000000" w:themeColor="text1"/>
        </w:rPr>
        <w:sectPr w:rsidR="003F3EB9" w:rsidSect="003F3EB9">
          <w:pgSz w:w="15840" w:h="12240" w:orient="landscape"/>
          <w:pgMar w:top="1440" w:right="1440" w:bottom="1440" w:left="1440" w:header="720" w:footer="720" w:gutter="0"/>
          <w:pgNumType w:start="38"/>
          <w:cols w:space="720"/>
          <w:docGrid w:linePitch="360"/>
        </w:sectPr>
      </w:pPr>
    </w:p>
    <w:p w14:paraId="53F7768F" w14:textId="77777777" w:rsidR="00327996" w:rsidRDefault="00327996" w:rsidP="00312F34">
      <w:pPr>
        <w:spacing w:line="480" w:lineRule="auto"/>
        <w:ind w:left="-900"/>
        <w:rPr>
          <w:b/>
          <w:bCs/>
          <w:color w:val="000000" w:themeColor="text1"/>
        </w:rPr>
      </w:pPr>
    </w:p>
    <w:p w14:paraId="1DFB0863" w14:textId="49E43CA6" w:rsidR="00FA53C2" w:rsidRDefault="00FA53C2" w:rsidP="003F3EB9">
      <w:pPr>
        <w:spacing w:line="480" w:lineRule="auto"/>
        <w:rPr>
          <w:b/>
          <w:bCs/>
          <w:color w:val="000000" w:themeColor="text1"/>
        </w:rPr>
      </w:pPr>
      <w:r>
        <w:rPr>
          <w:b/>
          <w:bCs/>
          <w:color w:val="000000" w:themeColor="text1"/>
        </w:rPr>
        <w:t>Table 4</w:t>
      </w:r>
    </w:p>
    <w:p w14:paraId="427D88E5" w14:textId="733BEF61" w:rsidR="00FA53C2" w:rsidRDefault="00FA53C2" w:rsidP="003F3EB9">
      <w:pPr>
        <w:rPr>
          <w:color w:val="000000" w:themeColor="text1"/>
        </w:rPr>
      </w:pPr>
      <w:r>
        <w:rPr>
          <w:i/>
          <w:iCs/>
          <w:color w:val="000000" w:themeColor="text1"/>
        </w:rPr>
        <w:t xml:space="preserve">Appraisal of </w:t>
      </w:r>
      <w:r w:rsidR="007C355E">
        <w:rPr>
          <w:i/>
          <w:iCs/>
          <w:color w:val="000000" w:themeColor="text1"/>
        </w:rPr>
        <w:t>R</w:t>
      </w:r>
      <w:r>
        <w:rPr>
          <w:i/>
          <w:iCs/>
          <w:color w:val="000000" w:themeColor="text1"/>
        </w:rPr>
        <w:t xml:space="preserve">acist </w:t>
      </w:r>
      <w:r w:rsidR="007C355E">
        <w:rPr>
          <w:i/>
          <w:iCs/>
          <w:color w:val="000000" w:themeColor="text1"/>
        </w:rPr>
        <w:t>E</w:t>
      </w:r>
      <w:r>
        <w:rPr>
          <w:i/>
          <w:iCs/>
          <w:color w:val="000000" w:themeColor="text1"/>
        </w:rPr>
        <w:t xml:space="preserve">vents </w:t>
      </w:r>
      <w:r w:rsidR="007C355E">
        <w:rPr>
          <w:i/>
          <w:iCs/>
          <w:color w:val="000000" w:themeColor="text1"/>
        </w:rPr>
        <w:t>O</w:t>
      </w:r>
      <w:r>
        <w:rPr>
          <w:i/>
          <w:iCs/>
          <w:color w:val="000000" w:themeColor="text1"/>
        </w:rPr>
        <w:t xml:space="preserve">ver </w:t>
      </w:r>
      <w:r w:rsidR="007C355E">
        <w:rPr>
          <w:i/>
          <w:iCs/>
          <w:color w:val="000000" w:themeColor="text1"/>
        </w:rPr>
        <w:t>L</w:t>
      </w:r>
      <w:r>
        <w:rPr>
          <w:i/>
          <w:iCs/>
          <w:color w:val="000000" w:themeColor="text1"/>
        </w:rPr>
        <w:t xml:space="preserve">ifetime and </w:t>
      </w:r>
      <w:r w:rsidR="007C355E">
        <w:rPr>
          <w:i/>
          <w:iCs/>
          <w:color w:val="000000" w:themeColor="text1"/>
        </w:rPr>
        <w:t>P</w:t>
      </w:r>
      <w:r>
        <w:rPr>
          <w:i/>
          <w:iCs/>
          <w:color w:val="000000" w:themeColor="text1"/>
        </w:rPr>
        <w:t xml:space="preserve">revious </w:t>
      </w:r>
      <w:r w:rsidR="007C355E">
        <w:rPr>
          <w:i/>
          <w:iCs/>
          <w:color w:val="000000" w:themeColor="text1"/>
        </w:rPr>
        <w:t>Y</w:t>
      </w:r>
      <w:r>
        <w:rPr>
          <w:i/>
          <w:iCs/>
          <w:color w:val="000000" w:themeColor="text1"/>
        </w:rPr>
        <w:t>ear (</w:t>
      </w:r>
      <w:r w:rsidR="007C355E">
        <w:rPr>
          <w:i/>
          <w:iCs/>
          <w:color w:val="000000" w:themeColor="text1"/>
        </w:rPr>
        <w:t>I</w:t>
      </w:r>
      <w:r>
        <w:rPr>
          <w:i/>
          <w:iCs/>
          <w:color w:val="000000" w:themeColor="text1"/>
        </w:rPr>
        <w:t xml:space="preserve">n </w:t>
      </w:r>
      <w:r w:rsidR="007C355E">
        <w:rPr>
          <w:i/>
          <w:iCs/>
          <w:color w:val="000000" w:themeColor="text1"/>
        </w:rPr>
        <w:t>P</w:t>
      </w:r>
      <w:r>
        <w:rPr>
          <w:i/>
          <w:iCs/>
          <w:color w:val="000000" w:themeColor="text1"/>
        </w:rPr>
        <w:t>ercentages)</w:t>
      </w:r>
    </w:p>
    <w:tbl>
      <w:tblPr>
        <w:tblStyle w:val="TableGrid"/>
        <w:tblW w:w="12150" w:type="dxa"/>
        <w:tblLayout w:type="fixed"/>
        <w:tblLook w:val="04A0" w:firstRow="1" w:lastRow="0" w:firstColumn="1" w:lastColumn="0" w:noHBand="0" w:noVBand="1"/>
      </w:tblPr>
      <w:tblGrid>
        <w:gridCol w:w="2520"/>
        <w:gridCol w:w="1375"/>
        <w:gridCol w:w="1376"/>
        <w:gridCol w:w="1376"/>
        <w:gridCol w:w="1375"/>
        <w:gridCol w:w="1376"/>
        <w:gridCol w:w="1376"/>
        <w:gridCol w:w="1376"/>
      </w:tblGrid>
      <w:tr w:rsidR="00312F34" w:rsidRPr="002A15EB" w14:paraId="16A79FFE" w14:textId="77777777" w:rsidTr="003F3EB9">
        <w:trPr>
          <w:trHeight w:val="1232"/>
        </w:trPr>
        <w:tc>
          <w:tcPr>
            <w:tcW w:w="2520" w:type="dxa"/>
            <w:tcBorders>
              <w:left w:val="nil"/>
              <w:bottom w:val="single" w:sz="4" w:space="0" w:color="auto"/>
              <w:right w:val="nil"/>
            </w:tcBorders>
          </w:tcPr>
          <w:p w14:paraId="64F9853E" w14:textId="77777777" w:rsidR="00FA53C2" w:rsidRDefault="00FA53C2" w:rsidP="003E0A38">
            <w:pPr>
              <w:jc w:val="center"/>
              <w:rPr>
                <w:i/>
                <w:iCs/>
              </w:rPr>
            </w:pPr>
          </w:p>
          <w:p w14:paraId="53798360" w14:textId="77777777" w:rsidR="00FA53C2" w:rsidRDefault="00FA53C2" w:rsidP="003E0A38">
            <w:pPr>
              <w:jc w:val="center"/>
              <w:rPr>
                <w:i/>
                <w:iCs/>
              </w:rPr>
            </w:pPr>
          </w:p>
          <w:p w14:paraId="7AA9B572" w14:textId="77777777" w:rsidR="00FA53C2" w:rsidRDefault="00FA53C2" w:rsidP="00121C9C">
            <w:pPr>
              <w:rPr>
                <w:i/>
                <w:iCs/>
              </w:rPr>
            </w:pPr>
          </w:p>
          <w:p w14:paraId="5BA2C455" w14:textId="77777777" w:rsidR="00FA53C2" w:rsidRPr="003E0A38" w:rsidRDefault="00FA53C2" w:rsidP="003A4B01">
            <w:r w:rsidRPr="003E0A38">
              <w:t>Item</w:t>
            </w:r>
          </w:p>
        </w:tc>
        <w:tc>
          <w:tcPr>
            <w:tcW w:w="1375" w:type="dxa"/>
            <w:tcBorders>
              <w:left w:val="nil"/>
              <w:bottom w:val="single" w:sz="4" w:space="0" w:color="auto"/>
              <w:right w:val="nil"/>
            </w:tcBorders>
            <w:vAlign w:val="center"/>
          </w:tcPr>
          <w:p w14:paraId="0E52DCB4" w14:textId="77777777" w:rsidR="00FA53C2" w:rsidRPr="003E0A38" w:rsidRDefault="00FA53C2" w:rsidP="003E0A38">
            <w:pPr>
              <w:jc w:val="center"/>
            </w:pPr>
          </w:p>
          <w:p w14:paraId="1BE9A77B" w14:textId="586261AE" w:rsidR="00FA53C2" w:rsidRPr="003E0A38" w:rsidRDefault="00FA53C2" w:rsidP="00820489">
            <w:pPr>
              <w:jc w:val="center"/>
            </w:pPr>
            <w:r w:rsidRPr="003E0A38">
              <w:t>Not at</w:t>
            </w:r>
            <w:r w:rsidR="00BD697C">
              <w:t xml:space="preserve"> </w:t>
            </w:r>
            <w:r w:rsidRPr="003E0A38">
              <w:t>all stressful</w:t>
            </w:r>
          </w:p>
          <w:p w14:paraId="6DCAD519" w14:textId="77777777" w:rsidR="00FA53C2" w:rsidRPr="003E0A38" w:rsidRDefault="00FA53C2" w:rsidP="003E0A38">
            <w:pPr>
              <w:jc w:val="center"/>
            </w:pPr>
            <w:r w:rsidRPr="003E0A38">
              <w:t>1</w:t>
            </w:r>
          </w:p>
        </w:tc>
        <w:tc>
          <w:tcPr>
            <w:tcW w:w="1376" w:type="dxa"/>
            <w:tcBorders>
              <w:left w:val="nil"/>
              <w:bottom w:val="single" w:sz="4" w:space="0" w:color="auto"/>
              <w:right w:val="nil"/>
            </w:tcBorders>
            <w:vAlign w:val="center"/>
          </w:tcPr>
          <w:p w14:paraId="195E21DC" w14:textId="77777777" w:rsidR="00FA53C2" w:rsidRPr="003E0A38" w:rsidRDefault="00FA53C2" w:rsidP="003E0A38">
            <w:pPr>
              <w:jc w:val="center"/>
            </w:pPr>
          </w:p>
          <w:p w14:paraId="4B45BF7A" w14:textId="77777777" w:rsidR="00FA53C2" w:rsidRPr="003E0A38" w:rsidRDefault="00FA53C2" w:rsidP="003E0A38">
            <w:pPr>
              <w:jc w:val="center"/>
            </w:pPr>
          </w:p>
          <w:p w14:paraId="4DCF7AE5" w14:textId="77777777" w:rsidR="00FA53C2" w:rsidRPr="003E0A38" w:rsidRDefault="00FA53C2" w:rsidP="003E0A38">
            <w:pPr>
              <w:jc w:val="center"/>
            </w:pPr>
          </w:p>
          <w:p w14:paraId="49B3F906" w14:textId="77777777" w:rsidR="003E0A38" w:rsidRDefault="003E0A38" w:rsidP="003E0A38">
            <w:pPr>
              <w:jc w:val="center"/>
            </w:pPr>
          </w:p>
          <w:p w14:paraId="45FBB40B" w14:textId="27963D22" w:rsidR="00FA53C2" w:rsidRPr="003E0A38" w:rsidRDefault="00FA53C2" w:rsidP="003E0A38">
            <w:pPr>
              <w:jc w:val="center"/>
            </w:pPr>
            <w:r w:rsidRPr="003E0A38">
              <w:t>2</w:t>
            </w:r>
          </w:p>
        </w:tc>
        <w:tc>
          <w:tcPr>
            <w:tcW w:w="1376" w:type="dxa"/>
            <w:tcBorders>
              <w:left w:val="nil"/>
              <w:bottom w:val="single" w:sz="4" w:space="0" w:color="auto"/>
              <w:right w:val="nil"/>
            </w:tcBorders>
            <w:vAlign w:val="center"/>
          </w:tcPr>
          <w:p w14:paraId="6436F19F" w14:textId="77777777" w:rsidR="00FA53C2" w:rsidRPr="003E0A38" w:rsidRDefault="00FA53C2" w:rsidP="003E0A38">
            <w:pPr>
              <w:jc w:val="center"/>
            </w:pPr>
          </w:p>
          <w:p w14:paraId="2AE0429F" w14:textId="77777777" w:rsidR="00FA53C2" w:rsidRPr="003E0A38" w:rsidRDefault="00FA53C2" w:rsidP="003E0A38">
            <w:pPr>
              <w:jc w:val="center"/>
            </w:pPr>
          </w:p>
          <w:p w14:paraId="786889C7" w14:textId="77777777" w:rsidR="00FA53C2" w:rsidRPr="003E0A38" w:rsidRDefault="00FA53C2" w:rsidP="003E0A38">
            <w:pPr>
              <w:jc w:val="center"/>
            </w:pPr>
          </w:p>
          <w:p w14:paraId="7D737533" w14:textId="77777777" w:rsidR="003E0A38" w:rsidRDefault="003E0A38" w:rsidP="003E0A38">
            <w:pPr>
              <w:jc w:val="center"/>
            </w:pPr>
          </w:p>
          <w:p w14:paraId="402A364E" w14:textId="18653373" w:rsidR="00FA53C2" w:rsidRPr="003E0A38" w:rsidRDefault="00FA53C2" w:rsidP="003E0A38">
            <w:pPr>
              <w:jc w:val="center"/>
            </w:pPr>
            <w:r w:rsidRPr="003E0A38">
              <w:t>3</w:t>
            </w:r>
          </w:p>
        </w:tc>
        <w:tc>
          <w:tcPr>
            <w:tcW w:w="1375" w:type="dxa"/>
            <w:tcBorders>
              <w:left w:val="nil"/>
              <w:bottom w:val="single" w:sz="4" w:space="0" w:color="auto"/>
              <w:right w:val="nil"/>
            </w:tcBorders>
            <w:vAlign w:val="center"/>
          </w:tcPr>
          <w:p w14:paraId="2E7220E9" w14:textId="77777777" w:rsidR="00FA53C2" w:rsidRPr="003E0A38" w:rsidRDefault="00FA53C2" w:rsidP="003E0A38">
            <w:pPr>
              <w:jc w:val="center"/>
            </w:pPr>
          </w:p>
          <w:p w14:paraId="6B654490" w14:textId="77777777" w:rsidR="00FA53C2" w:rsidRPr="003E0A38" w:rsidRDefault="00FA53C2" w:rsidP="003E0A38">
            <w:pPr>
              <w:jc w:val="center"/>
            </w:pPr>
          </w:p>
          <w:p w14:paraId="270431D0" w14:textId="77777777" w:rsidR="00FA53C2" w:rsidRPr="003E0A38" w:rsidRDefault="00FA53C2" w:rsidP="003E0A38">
            <w:pPr>
              <w:jc w:val="center"/>
            </w:pPr>
          </w:p>
          <w:p w14:paraId="0B6F9871" w14:textId="77777777" w:rsidR="003E0A38" w:rsidRDefault="003E0A38" w:rsidP="003E0A38">
            <w:pPr>
              <w:jc w:val="center"/>
            </w:pPr>
          </w:p>
          <w:p w14:paraId="4ADF9BA5" w14:textId="51642F18" w:rsidR="00FA53C2" w:rsidRPr="003E0A38" w:rsidRDefault="00FA53C2" w:rsidP="003E0A38">
            <w:pPr>
              <w:jc w:val="center"/>
            </w:pPr>
            <w:r w:rsidRPr="003E0A38">
              <w:t>4</w:t>
            </w:r>
          </w:p>
        </w:tc>
        <w:tc>
          <w:tcPr>
            <w:tcW w:w="1376" w:type="dxa"/>
            <w:tcBorders>
              <w:left w:val="nil"/>
              <w:bottom w:val="single" w:sz="4" w:space="0" w:color="auto"/>
              <w:right w:val="nil"/>
            </w:tcBorders>
            <w:vAlign w:val="center"/>
          </w:tcPr>
          <w:p w14:paraId="7F62D8BD" w14:textId="77777777" w:rsidR="00FA53C2" w:rsidRPr="003E0A38" w:rsidRDefault="00FA53C2" w:rsidP="003E0A38">
            <w:pPr>
              <w:jc w:val="center"/>
            </w:pPr>
          </w:p>
          <w:p w14:paraId="0E21B5A9" w14:textId="77777777" w:rsidR="00FA53C2" w:rsidRPr="003E0A38" w:rsidRDefault="00FA53C2" w:rsidP="003E0A38">
            <w:pPr>
              <w:jc w:val="center"/>
            </w:pPr>
          </w:p>
          <w:p w14:paraId="3E42D68F" w14:textId="77777777" w:rsidR="00FA53C2" w:rsidRPr="003E0A38" w:rsidRDefault="00FA53C2" w:rsidP="003E0A38">
            <w:pPr>
              <w:jc w:val="center"/>
            </w:pPr>
          </w:p>
          <w:p w14:paraId="2400399A" w14:textId="77777777" w:rsidR="003E0A38" w:rsidRDefault="003E0A38" w:rsidP="003E0A38">
            <w:pPr>
              <w:jc w:val="center"/>
            </w:pPr>
          </w:p>
          <w:p w14:paraId="6E1D3088" w14:textId="5337F008" w:rsidR="00FA53C2" w:rsidRPr="003E0A38" w:rsidRDefault="00FA53C2" w:rsidP="003E0A38">
            <w:pPr>
              <w:jc w:val="center"/>
            </w:pPr>
            <w:r w:rsidRPr="003E0A38">
              <w:t>5</w:t>
            </w:r>
          </w:p>
        </w:tc>
        <w:tc>
          <w:tcPr>
            <w:tcW w:w="1376" w:type="dxa"/>
            <w:tcBorders>
              <w:left w:val="nil"/>
              <w:bottom w:val="single" w:sz="4" w:space="0" w:color="auto"/>
              <w:right w:val="nil"/>
            </w:tcBorders>
            <w:vAlign w:val="center"/>
          </w:tcPr>
          <w:p w14:paraId="70DBC2B2" w14:textId="77777777" w:rsidR="00FA53C2" w:rsidRPr="003E0A38" w:rsidRDefault="00FA53C2" w:rsidP="003E0A38">
            <w:pPr>
              <w:jc w:val="center"/>
            </w:pPr>
          </w:p>
          <w:p w14:paraId="72D3FC30" w14:textId="6748768F" w:rsidR="00FA53C2" w:rsidRPr="003E0A38" w:rsidRDefault="00FA53C2" w:rsidP="003E0A38">
            <w:pPr>
              <w:jc w:val="center"/>
            </w:pPr>
            <w:r w:rsidRPr="003E0A38">
              <w:t>Extreme</w:t>
            </w:r>
            <w:r w:rsidR="003E0A38">
              <w:t>l</w:t>
            </w:r>
            <w:r w:rsidRPr="003E0A38">
              <w:t>y Stressful</w:t>
            </w:r>
          </w:p>
          <w:p w14:paraId="497EBB2B" w14:textId="77777777" w:rsidR="00FA53C2" w:rsidRPr="003E0A38" w:rsidRDefault="00FA53C2" w:rsidP="003E0A38">
            <w:pPr>
              <w:jc w:val="center"/>
            </w:pPr>
            <w:r w:rsidRPr="003E0A38">
              <w:t>6</w:t>
            </w:r>
          </w:p>
        </w:tc>
        <w:tc>
          <w:tcPr>
            <w:tcW w:w="1376" w:type="dxa"/>
            <w:tcBorders>
              <w:left w:val="nil"/>
              <w:bottom w:val="single" w:sz="4" w:space="0" w:color="auto"/>
              <w:right w:val="nil"/>
            </w:tcBorders>
            <w:vAlign w:val="center"/>
          </w:tcPr>
          <w:p w14:paraId="1DDF32AC" w14:textId="77777777" w:rsidR="00FA53C2" w:rsidRPr="003E0A38" w:rsidRDefault="00FA53C2" w:rsidP="003E0A38">
            <w:pPr>
              <w:jc w:val="center"/>
            </w:pPr>
            <w:r w:rsidRPr="003E0A38">
              <w:t>Racism was a source of stress</w:t>
            </w:r>
          </w:p>
        </w:tc>
      </w:tr>
      <w:tr w:rsidR="00312F34" w14:paraId="24E41E99" w14:textId="77777777" w:rsidTr="003F3EB9">
        <w:tc>
          <w:tcPr>
            <w:tcW w:w="2520" w:type="dxa"/>
            <w:tcBorders>
              <w:top w:val="single" w:sz="4" w:space="0" w:color="auto"/>
              <w:left w:val="nil"/>
              <w:bottom w:val="nil"/>
              <w:right w:val="nil"/>
            </w:tcBorders>
          </w:tcPr>
          <w:p w14:paraId="37B18CE5" w14:textId="24AC4CDD" w:rsidR="00FA53C2" w:rsidRDefault="0054359D" w:rsidP="0054359D">
            <w:r>
              <w:t xml:space="preserve">  1. </w:t>
            </w:r>
            <w:r w:rsidR="00FA53C2">
              <w:t>Teachers/professors</w:t>
            </w:r>
          </w:p>
        </w:tc>
        <w:tc>
          <w:tcPr>
            <w:tcW w:w="1375" w:type="dxa"/>
            <w:tcBorders>
              <w:top w:val="single" w:sz="4" w:space="0" w:color="auto"/>
              <w:left w:val="nil"/>
              <w:bottom w:val="nil"/>
              <w:right w:val="nil"/>
            </w:tcBorders>
          </w:tcPr>
          <w:p w14:paraId="3176FAD1" w14:textId="77777777" w:rsidR="00FA53C2" w:rsidRDefault="00FA53C2" w:rsidP="003E0A38">
            <w:pPr>
              <w:jc w:val="center"/>
            </w:pPr>
            <w:r>
              <w:t>21.7</w:t>
            </w:r>
          </w:p>
        </w:tc>
        <w:tc>
          <w:tcPr>
            <w:tcW w:w="1376" w:type="dxa"/>
            <w:tcBorders>
              <w:top w:val="single" w:sz="4" w:space="0" w:color="auto"/>
              <w:left w:val="nil"/>
              <w:bottom w:val="nil"/>
              <w:right w:val="nil"/>
            </w:tcBorders>
          </w:tcPr>
          <w:p w14:paraId="3C8104A9" w14:textId="1653B286" w:rsidR="00FA53C2" w:rsidRDefault="007C355E" w:rsidP="003E0A38">
            <w:pPr>
              <w:jc w:val="center"/>
            </w:pPr>
            <w:r>
              <w:t xml:space="preserve">  </w:t>
            </w:r>
            <w:r w:rsidR="00FA53C2">
              <w:t>5.9</w:t>
            </w:r>
          </w:p>
        </w:tc>
        <w:tc>
          <w:tcPr>
            <w:tcW w:w="1376" w:type="dxa"/>
            <w:tcBorders>
              <w:top w:val="single" w:sz="4" w:space="0" w:color="auto"/>
              <w:left w:val="nil"/>
              <w:bottom w:val="nil"/>
              <w:right w:val="nil"/>
            </w:tcBorders>
          </w:tcPr>
          <w:p w14:paraId="3C9C8DFA" w14:textId="77777777" w:rsidR="00FA53C2" w:rsidRDefault="00FA53C2" w:rsidP="003E0A38">
            <w:pPr>
              <w:jc w:val="center"/>
            </w:pPr>
            <w:r>
              <w:t>12.7</w:t>
            </w:r>
          </w:p>
        </w:tc>
        <w:tc>
          <w:tcPr>
            <w:tcW w:w="1375" w:type="dxa"/>
            <w:tcBorders>
              <w:top w:val="single" w:sz="4" w:space="0" w:color="auto"/>
              <w:left w:val="nil"/>
              <w:bottom w:val="nil"/>
              <w:right w:val="nil"/>
            </w:tcBorders>
          </w:tcPr>
          <w:p w14:paraId="5CFF8DB4" w14:textId="77777777" w:rsidR="00FA53C2" w:rsidRDefault="00FA53C2" w:rsidP="003E0A38">
            <w:pPr>
              <w:jc w:val="center"/>
            </w:pPr>
            <w:r>
              <w:t>22.6</w:t>
            </w:r>
          </w:p>
        </w:tc>
        <w:tc>
          <w:tcPr>
            <w:tcW w:w="1376" w:type="dxa"/>
            <w:tcBorders>
              <w:top w:val="single" w:sz="4" w:space="0" w:color="auto"/>
              <w:left w:val="nil"/>
              <w:bottom w:val="nil"/>
              <w:right w:val="nil"/>
            </w:tcBorders>
          </w:tcPr>
          <w:p w14:paraId="52EC2315" w14:textId="77777777" w:rsidR="00FA53C2" w:rsidRDefault="00FA53C2" w:rsidP="003E0A38">
            <w:pPr>
              <w:jc w:val="center"/>
            </w:pPr>
            <w:r>
              <w:t>21.7</w:t>
            </w:r>
          </w:p>
        </w:tc>
        <w:tc>
          <w:tcPr>
            <w:tcW w:w="1376" w:type="dxa"/>
            <w:tcBorders>
              <w:top w:val="single" w:sz="4" w:space="0" w:color="auto"/>
              <w:left w:val="nil"/>
              <w:bottom w:val="nil"/>
              <w:right w:val="nil"/>
            </w:tcBorders>
          </w:tcPr>
          <w:p w14:paraId="480ABDA9" w14:textId="77777777" w:rsidR="00FA53C2" w:rsidRDefault="00FA53C2" w:rsidP="003E0A38">
            <w:pPr>
              <w:jc w:val="center"/>
            </w:pPr>
            <w:r>
              <w:t>15.4</w:t>
            </w:r>
          </w:p>
        </w:tc>
        <w:tc>
          <w:tcPr>
            <w:tcW w:w="1376" w:type="dxa"/>
            <w:tcBorders>
              <w:top w:val="single" w:sz="4" w:space="0" w:color="auto"/>
              <w:left w:val="nil"/>
              <w:bottom w:val="nil"/>
              <w:right w:val="nil"/>
            </w:tcBorders>
          </w:tcPr>
          <w:p w14:paraId="5F1ADED9" w14:textId="77777777" w:rsidR="00FA53C2" w:rsidRDefault="00FA53C2" w:rsidP="003E0A38">
            <w:pPr>
              <w:jc w:val="center"/>
            </w:pPr>
            <w:r>
              <w:t>78.3</w:t>
            </w:r>
          </w:p>
        </w:tc>
      </w:tr>
      <w:tr w:rsidR="00FA53C2" w14:paraId="0BB11928" w14:textId="77777777" w:rsidTr="003F3EB9">
        <w:tc>
          <w:tcPr>
            <w:tcW w:w="2520" w:type="dxa"/>
            <w:tcBorders>
              <w:top w:val="nil"/>
              <w:left w:val="nil"/>
              <w:bottom w:val="nil"/>
              <w:right w:val="nil"/>
            </w:tcBorders>
          </w:tcPr>
          <w:p w14:paraId="5E769F68" w14:textId="010D7B8D" w:rsidR="00FA53C2" w:rsidRDefault="0054359D" w:rsidP="00F35929">
            <w:r>
              <w:t xml:space="preserve">  </w:t>
            </w:r>
            <w:r w:rsidR="00FA53C2">
              <w:t>2. Employer/boss</w:t>
            </w:r>
          </w:p>
        </w:tc>
        <w:tc>
          <w:tcPr>
            <w:tcW w:w="1375" w:type="dxa"/>
            <w:tcBorders>
              <w:top w:val="nil"/>
              <w:left w:val="nil"/>
              <w:bottom w:val="nil"/>
              <w:right w:val="nil"/>
            </w:tcBorders>
          </w:tcPr>
          <w:p w14:paraId="07CE5218" w14:textId="77777777" w:rsidR="00FA53C2" w:rsidRDefault="00FA53C2" w:rsidP="003E0A38">
            <w:pPr>
              <w:jc w:val="center"/>
            </w:pPr>
            <w:r>
              <w:t>26.7</w:t>
            </w:r>
          </w:p>
        </w:tc>
        <w:tc>
          <w:tcPr>
            <w:tcW w:w="1376" w:type="dxa"/>
            <w:tcBorders>
              <w:top w:val="nil"/>
              <w:left w:val="nil"/>
              <w:bottom w:val="nil"/>
              <w:right w:val="nil"/>
            </w:tcBorders>
          </w:tcPr>
          <w:p w14:paraId="1130191F" w14:textId="0DDDEB4A" w:rsidR="00FA53C2" w:rsidRDefault="007C355E" w:rsidP="003E0A38">
            <w:pPr>
              <w:jc w:val="center"/>
            </w:pPr>
            <w:r>
              <w:t xml:space="preserve">  </w:t>
            </w:r>
            <w:r w:rsidR="00FA53C2">
              <w:t>6.3</w:t>
            </w:r>
          </w:p>
        </w:tc>
        <w:tc>
          <w:tcPr>
            <w:tcW w:w="1376" w:type="dxa"/>
            <w:tcBorders>
              <w:top w:val="nil"/>
              <w:left w:val="nil"/>
              <w:bottom w:val="nil"/>
              <w:right w:val="nil"/>
            </w:tcBorders>
          </w:tcPr>
          <w:p w14:paraId="7D4068CA" w14:textId="0E2F64CC" w:rsidR="00FA53C2" w:rsidRDefault="007C355E" w:rsidP="003E0A38">
            <w:pPr>
              <w:jc w:val="center"/>
            </w:pPr>
            <w:r>
              <w:t xml:space="preserve">  </w:t>
            </w:r>
            <w:r w:rsidR="00FA53C2">
              <w:t>8.6</w:t>
            </w:r>
          </w:p>
        </w:tc>
        <w:tc>
          <w:tcPr>
            <w:tcW w:w="1375" w:type="dxa"/>
            <w:tcBorders>
              <w:top w:val="nil"/>
              <w:left w:val="nil"/>
              <w:bottom w:val="nil"/>
              <w:right w:val="nil"/>
            </w:tcBorders>
          </w:tcPr>
          <w:p w14:paraId="2B0105DE" w14:textId="77777777" w:rsidR="00FA53C2" w:rsidRDefault="00FA53C2" w:rsidP="003E0A38">
            <w:pPr>
              <w:jc w:val="center"/>
            </w:pPr>
            <w:r>
              <w:t>12.7</w:t>
            </w:r>
          </w:p>
        </w:tc>
        <w:tc>
          <w:tcPr>
            <w:tcW w:w="1376" w:type="dxa"/>
            <w:tcBorders>
              <w:top w:val="nil"/>
              <w:left w:val="nil"/>
              <w:bottom w:val="nil"/>
              <w:right w:val="nil"/>
            </w:tcBorders>
          </w:tcPr>
          <w:p w14:paraId="614AF27C" w14:textId="77777777" w:rsidR="00FA53C2" w:rsidRDefault="00FA53C2" w:rsidP="003E0A38">
            <w:pPr>
              <w:jc w:val="center"/>
            </w:pPr>
            <w:r>
              <w:t>21.3</w:t>
            </w:r>
          </w:p>
        </w:tc>
        <w:tc>
          <w:tcPr>
            <w:tcW w:w="1376" w:type="dxa"/>
            <w:tcBorders>
              <w:top w:val="nil"/>
              <w:left w:val="nil"/>
              <w:bottom w:val="nil"/>
              <w:right w:val="nil"/>
            </w:tcBorders>
          </w:tcPr>
          <w:p w14:paraId="13455AE9" w14:textId="77777777" w:rsidR="00FA53C2" w:rsidRDefault="00FA53C2" w:rsidP="003E0A38">
            <w:pPr>
              <w:jc w:val="center"/>
            </w:pPr>
            <w:r>
              <w:t>24.4</w:t>
            </w:r>
          </w:p>
        </w:tc>
        <w:tc>
          <w:tcPr>
            <w:tcW w:w="1376" w:type="dxa"/>
            <w:tcBorders>
              <w:top w:val="nil"/>
              <w:left w:val="nil"/>
              <w:bottom w:val="nil"/>
              <w:right w:val="nil"/>
            </w:tcBorders>
          </w:tcPr>
          <w:p w14:paraId="66BD6AA5" w14:textId="77777777" w:rsidR="00FA53C2" w:rsidRDefault="00FA53C2" w:rsidP="003E0A38">
            <w:pPr>
              <w:jc w:val="center"/>
            </w:pPr>
            <w:r>
              <w:t>73.3</w:t>
            </w:r>
          </w:p>
        </w:tc>
      </w:tr>
      <w:tr w:rsidR="00FA53C2" w14:paraId="270BF8EE" w14:textId="77777777" w:rsidTr="003F3EB9">
        <w:tc>
          <w:tcPr>
            <w:tcW w:w="2520" w:type="dxa"/>
            <w:tcBorders>
              <w:top w:val="nil"/>
              <w:left w:val="nil"/>
              <w:bottom w:val="nil"/>
              <w:right w:val="nil"/>
            </w:tcBorders>
          </w:tcPr>
          <w:p w14:paraId="241EC583" w14:textId="142399C3" w:rsidR="00FA53C2" w:rsidRDefault="0054359D" w:rsidP="00F35929">
            <w:r>
              <w:t xml:space="preserve">  </w:t>
            </w:r>
            <w:r w:rsidR="00FA53C2">
              <w:t>3. Colleagues</w:t>
            </w:r>
          </w:p>
        </w:tc>
        <w:tc>
          <w:tcPr>
            <w:tcW w:w="1375" w:type="dxa"/>
            <w:tcBorders>
              <w:top w:val="nil"/>
              <w:left w:val="nil"/>
              <w:bottom w:val="nil"/>
              <w:right w:val="nil"/>
            </w:tcBorders>
          </w:tcPr>
          <w:p w14:paraId="4B8BEBFC" w14:textId="77777777" w:rsidR="00FA53C2" w:rsidRDefault="00FA53C2" w:rsidP="003E0A38">
            <w:pPr>
              <w:jc w:val="center"/>
            </w:pPr>
            <w:r>
              <w:t>19.0</w:t>
            </w:r>
          </w:p>
        </w:tc>
        <w:tc>
          <w:tcPr>
            <w:tcW w:w="1376" w:type="dxa"/>
            <w:tcBorders>
              <w:top w:val="nil"/>
              <w:left w:val="nil"/>
              <w:bottom w:val="nil"/>
              <w:right w:val="nil"/>
            </w:tcBorders>
          </w:tcPr>
          <w:p w14:paraId="51E901A1" w14:textId="51913F6C" w:rsidR="00FA53C2" w:rsidRDefault="007C355E" w:rsidP="003E0A38">
            <w:pPr>
              <w:jc w:val="center"/>
            </w:pPr>
            <w:r>
              <w:t xml:space="preserve">  </w:t>
            </w:r>
            <w:r w:rsidR="00FA53C2">
              <w:t>5.0</w:t>
            </w:r>
          </w:p>
        </w:tc>
        <w:tc>
          <w:tcPr>
            <w:tcW w:w="1376" w:type="dxa"/>
            <w:tcBorders>
              <w:top w:val="nil"/>
              <w:left w:val="nil"/>
              <w:bottom w:val="nil"/>
              <w:right w:val="nil"/>
            </w:tcBorders>
          </w:tcPr>
          <w:p w14:paraId="72F06A95" w14:textId="77777777" w:rsidR="00FA53C2" w:rsidRDefault="00FA53C2" w:rsidP="003E0A38">
            <w:pPr>
              <w:jc w:val="center"/>
            </w:pPr>
            <w:r>
              <w:t>15.8</w:t>
            </w:r>
          </w:p>
        </w:tc>
        <w:tc>
          <w:tcPr>
            <w:tcW w:w="1375" w:type="dxa"/>
            <w:tcBorders>
              <w:top w:val="nil"/>
              <w:left w:val="nil"/>
              <w:bottom w:val="nil"/>
              <w:right w:val="nil"/>
            </w:tcBorders>
          </w:tcPr>
          <w:p w14:paraId="0C35C1F4" w14:textId="77777777" w:rsidR="00FA53C2" w:rsidRDefault="00FA53C2" w:rsidP="003E0A38">
            <w:pPr>
              <w:jc w:val="center"/>
            </w:pPr>
            <w:r>
              <w:t>18.6</w:t>
            </w:r>
          </w:p>
        </w:tc>
        <w:tc>
          <w:tcPr>
            <w:tcW w:w="1376" w:type="dxa"/>
            <w:tcBorders>
              <w:top w:val="nil"/>
              <w:left w:val="nil"/>
              <w:bottom w:val="nil"/>
              <w:right w:val="nil"/>
            </w:tcBorders>
          </w:tcPr>
          <w:p w14:paraId="055E6FCE" w14:textId="77777777" w:rsidR="00FA53C2" w:rsidRDefault="00FA53C2" w:rsidP="003E0A38">
            <w:pPr>
              <w:jc w:val="center"/>
            </w:pPr>
            <w:r>
              <w:t>20.4</w:t>
            </w:r>
          </w:p>
        </w:tc>
        <w:tc>
          <w:tcPr>
            <w:tcW w:w="1376" w:type="dxa"/>
            <w:tcBorders>
              <w:top w:val="nil"/>
              <w:left w:val="nil"/>
              <w:bottom w:val="nil"/>
              <w:right w:val="nil"/>
            </w:tcBorders>
          </w:tcPr>
          <w:p w14:paraId="12F3F43A" w14:textId="77777777" w:rsidR="00FA53C2" w:rsidRDefault="00FA53C2" w:rsidP="003E0A38">
            <w:pPr>
              <w:jc w:val="center"/>
            </w:pPr>
            <w:r>
              <w:t>21.3</w:t>
            </w:r>
          </w:p>
        </w:tc>
        <w:tc>
          <w:tcPr>
            <w:tcW w:w="1376" w:type="dxa"/>
            <w:tcBorders>
              <w:top w:val="nil"/>
              <w:left w:val="nil"/>
              <w:bottom w:val="nil"/>
              <w:right w:val="nil"/>
            </w:tcBorders>
          </w:tcPr>
          <w:p w14:paraId="33ED0600" w14:textId="77777777" w:rsidR="00FA53C2" w:rsidRDefault="00FA53C2" w:rsidP="003E0A38">
            <w:pPr>
              <w:jc w:val="center"/>
            </w:pPr>
            <w:r>
              <w:t>81.0</w:t>
            </w:r>
          </w:p>
        </w:tc>
      </w:tr>
      <w:tr w:rsidR="00FA53C2" w14:paraId="76D691B3" w14:textId="77777777" w:rsidTr="003F3EB9">
        <w:tc>
          <w:tcPr>
            <w:tcW w:w="2520" w:type="dxa"/>
            <w:tcBorders>
              <w:top w:val="nil"/>
              <w:left w:val="nil"/>
              <w:bottom w:val="nil"/>
              <w:right w:val="nil"/>
            </w:tcBorders>
          </w:tcPr>
          <w:p w14:paraId="11598E84" w14:textId="6BD5D2EC" w:rsidR="00FA53C2" w:rsidRDefault="0054359D" w:rsidP="00F35929">
            <w:r>
              <w:t xml:space="preserve">  </w:t>
            </w:r>
            <w:r w:rsidR="00FA53C2">
              <w:t>4. Service jobs</w:t>
            </w:r>
          </w:p>
        </w:tc>
        <w:tc>
          <w:tcPr>
            <w:tcW w:w="1375" w:type="dxa"/>
            <w:tcBorders>
              <w:top w:val="nil"/>
              <w:left w:val="nil"/>
              <w:bottom w:val="nil"/>
              <w:right w:val="nil"/>
            </w:tcBorders>
          </w:tcPr>
          <w:p w14:paraId="33BD1F71" w14:textId="77777777" w:rsidR="00FA53C2" w:rsidRDefault="00FA53C2" w:rsidP="003E0A38">
            <w:pPr>
              <w:jc w:val="center"/>
            </w:pPr>
            <w:r>
              <w:t>16.3</w:t>
            </w:r>
          </w:p>
        </w:tc>
        <w:tc>
          <w:tcPr>
            <w:tcW w:w="1376" w:type="dxa"/>
            <w:tcBorders>
              <w:top w:val="nil"/>
              <w:left w:val="nil"/>
              <w:bottom w:val="nil"/>
              <w:right w:val="nil"/>
            </w:tcBorders>
          </w:tcPr>
          <w:p w14:paraId="796C0272" w14:textId="4555B336" w:rsidR="00FA53C2" w:rsidRDefault="007C355E" w:rsidP="003E0A38">
            <w:pPr>
              <w:jc w:val="center"/>
            </w:pPr>
            <w:r>
              <w:t xml:space="preserve">  </w:t>
            </w:r>
            <w:r w:rsidR="00FA53C2">
              <w:t>9.5</w:t>
            </w:r>
          </w:p>
        </w:tc>
        <w:tc>
          <w:tcPr>
            <w:tcW w:w="1376" w:type="dxa"/>
            <w:tcBorders>
              <w:top w:val="nil"/>
              <w:left w:val="nil"/>
              <w:bottom w:val="nil"/>
              <w:right w:val="nil"/>
            </w:tcBorders>
          </w:tcPr>
          <w:p w14:paraId="3FA6CBCC" w14:textId="77777777" w:rsidR="00FA53C2" w:rsidRDefault="00FA53C2" w:rsidP="003E0A38">
            <w:pPr>
              <w:jc w:val="center"/>
            </w:pPr>
            <w:r>
              <w:t>18.1</w:t>
            </w:r>
          </w:p>
        </w:tc>
        <w:tc>
          <w:tcPr>
            <w:tcW w:w="1375" w:type="dxa"/>
            <w:tcBorders>
              <w:top w:val="nil"/>
              <w:left w:val="nil"/>
              <w:bottom w:val="nil"/>
              <w:right w:val="nil"/>
            </w:tcBorders>
          </w:tcPr>
          <w:p w14:paraId="7CE518AA" w14:textId="77777777" w:rsidR="00FA53C2" w:rsidRDefault="00FA53C2" w:rsidP="003E0A38">
            <w:pPr>
              <w:jc w:val="center"/>
            </w:pPr>
            <w:r>
              <w:t>21.3</w:t>
            </w:r>
          </w:p>
        </w:tc>
        <w:tc>
          <w:tcPr>
            <w:tcW w:w="1376" w:type="dxa"/>
            <w:tcBorders>
              <w:top w:val="nil"/>
              <w:left w:val="nil"/>
              <w:bottom w:val="nil"/>
              <w:right w:val="nil"/>
            </w:tcBorders>
          </w:tcPr>
          <w:p w14:paraId="7BF01D80" w14:textId="77777777" w:rsidR="00FA53C2" w:rsidRDefault="00FA53C2" w:rsidP="003E0A38">
            <w:pPr>
              <w:jc w:val="center"/>
            </w:pPr>
            <w:r>
              <w:t>17.2</w:t>
            </w:r>
          </w:p>
        </w:tc>
        <w:tc>
          <w:tcPr>
            <w:tcW w:w="1376" w:type="dxa"/>
            <w:tcBorders>
              <w:top w:val="nil"/>
              <w:left w:val="nil"/>
              <w:bottom w:val="nil"/>
              <w:right w:val="nil"/>
            </w:tcBorders>
          </w:tcPr>
          <w:p w14:paraId="45A8BF7F" w14:textId="77777777" w:rsidR="00FA53C2" w:rsidRDefault="00FA53C2" w:rsidP="003E0A38">
            <w:pPr>
              <w:jc w:val="center"/>
            </w:pPr>
            <w:r>
              <w:t>17.6</w:t>
            </w:r>
          </w:p>
        </w:tc>
        <w:tc>
          <w:tcPr>
            <w:tcW w:w="1376" w:type="dxa"/>
            <w:tcBorders>
              <w:top w:val="nil"/>
              <w:left w:val="nil"/>
              <w:bottom w:val="nil"/>
              <w:right w:val="nil"/>
            </w:tcBorders>
          </w:tcPr>
          <w:p w14:paraId="75C738AF" w14:textId="77777777" w:rsidR="00FA53C2" w:rsidRDefault="00FA53C2" w:rsidP="003E0A38">
            <w:pPr>
              <w:jc w:val="center"/>
            </w:pPr>
            <w:r>
              <w:t>83.7</w:t>
            </w:r>
          </w:p>
        </w:tc>
      </w:tr>
      <w:tr w:rsidR="00FA53C2" w14:paraId="5B2C56E3" w14:textId="77777777" w:rsidTr="003F3EB9">
        <w:tc>
          <w:tcPr>
            <w:tcW w:w="2520" w:type="dxa"/>
            <w:tcBorders>
              <w:top w:val="nil"/>
              <w:left w:val="nil"/>
              <w:bottom w:val="nil"/>
              <w:right w:val="nil"/>
            </w:tcBorders>
          </w:tcPr>
          <w:p w14:paraId="20A0713F" w14:textId="4879E021" w:rsidR="00FA53C2" w:rsidRDefault="0054359D" w:rsidP="00F35929">
            <w:r>
              <w:t xml:space="preserve">  </w:t>
            </w:r>
            <w:r w:rsidR="00FA53C2">
              <w:t>5. Strangers</w:t>
            </w:r>
          </w:p>
        </w:tc>
        <w:tc>
          <w:tcPr>
            <w:tcW w:w="1375" w:type="dxa"/>
            <w:tcBorders>
              <w:top w:val="nil"/>
              <w:left w:val="nil"/>
              <w:bottom w:val="nil"/>
              <w:right w:val="nil"/>
            </w:tcBorders>
          </w:tcPr>
          <w:p w14:paraId="4625430C" w14:textId="77777777" w:rsidR="00FA53C2" w:rsidRDefault="00FA53C2" w:rsidP="003E0A38">
            <w:pPr>
              <w:jc w:val="center"/>
            </w:pPr>
            <w:r>
              <w:t>36.7</w:t>
            </w:r>
          </w:p>
        </w:tc>
        <w:tc>
          <w:tcPr>
            <w:tcW w:w="1376" w:type="dxa"/>
            <w:tcBorders>
              <w:top w:val="nil"/>
              <w:left w:val="nil"/>
              <w:bottom w:val="nil"/>
              <w:right w:val="nil"/>
            </w:tcBorders>
          </w:tcPr>
          <w:p w14:paraId="1E89EFF0" w14:textId="739E3C45" w:rsidR="00FA53C2" w:rsidRDefault="007C355E" w:rsidP="003E0A38">
            <w:pPr>
              <w:jc w:val="center"/>
            </w:pPr>
            <w:r>
              <w:t xml:space="preserve">  </w:t>
            </w:r>
            <w:r w:rsidR="00FA53C2">
              <w:t>5.4</w:t>
            </w:r>
          </w:p>
        </w:tc>
        <w:tc>
          <w:tcPr>
            <w:tcW w:w="1376" w:type="dxa"/>
            <w:tcBorders>
              <w:top w:val="nil"/>
              <w:left w:val="nil"/>
              <w:bottom w:val="nil"/>
              <w:right w:val="nil"/>
            </w:tcBorders>
          </w:tcPr>
          <w:p w14:paraId="2CC69617" w14:textId="23F76C16" w:rsidR="00FA53C2" w:rsidRDefault="007C355E" w:rsidP="003E0A38">
            <w:pPr>
              <w:jc w:val="center"/>
            </w:pPr>
            <w:r>
              <w:t xml:space="preserve">  </w:t>
            </w:r>
            <w:r w:rsidR="00FA53C2">
              <w:t>8.1</w:t>
            </w:r>
          </w:p>
        </w:tc>
        <w:tc>
          <w:tcPr>
            <w:tcW w:w="1375" w:type="dxa"/>
            <w:tcBorders>
              <w:top w:val="nil"/>
              <w:left w:val="nil"/>
              <w:bottom w:val="nil"/>
              <w:right w:val="nil"/>
            </w:tcBorders>
          </w:tcPr>
          <w:p w14:paraId="5978CA45" w14:textId="77777777" w:rsidR="00FA53C2" w:rsidRDefault="00FA53C2" w:rsidP="003E0A38">
            <w:pPr>
              <w:jc w:val="center"/>
            </w:pPr>
            <w:r>
              <w:t>17.2</w:t>
            </w:r>
          </w:p>
        </w:tc>
        <w:tc>
          <w:tcPr>
            <w:tcW w:w="1376" w:type="dxa"/>
            <w:tcBorders>
              <w:top w:val="nil"/>
              <w:left w:val="nil"/>
              <w:bottom w:val="nil"/>
              <w:right w:val="nil"/>
            </w:tcBorders>
          </w:tcPr>
          <w:p w14:paraId="09F491B6" w14:textId="77777777" w:rsidR="00FA53C2" w:rsidRDefault="00FA53C2" w:rsidP="003E0A38">
            <w:pPr>
              <w:jc w:val="center"/>
            </w:pPr>
            <w:r>
              <w:t>15.4</w:t>
            </w:r>
          </w:p>
        </w:tc>
        <w:tc>
          <w:tcPr>
            <w:tcW w:w="1376" w:type="dxa"/>
            <w:tcBorders>
              <w:top w:val="nil"/>
              <w:left w:val="nil"/>
              <w:bottom w:val="nil"/>
              <w:right w:val="nil"/>
            </w:tcBorders>
          </w:tcPr>
          <w:p w14:paraId="0686A207" w14:textId="77777777" w:rsidR="00FA53C2" w:rsidRDefault="00FA53C2" w:rsidP="003E0A38">
            <w:pPr>
              <w:jc w:val="center"/>
            </w:pPr>
            <w:r>
              <w:t>17.2</w:t>
            </w:r>
          </w:p>
        </w:tc>
        <w:tc>
          <w:tcPr>
            <w:tcW w:w="1376" w:type="dxa"/>
            <w:tcBorders>
              <w:top w:val="nil"/>
              <w:left w:val="nil"/>
              <w:bottom w:val="nil"/>
              <w:right w:val="nil"/>
            </w:tcBorders>
          </w:tcPr>
          <w:p w14:paraId="76028EC7" w14:textId="77777777" w:rsidR="00FA53C2" w:rsidRDefault="00FA53C2" w:rsidP="003E0A38">
            <w:pPr>
              <w:jc w:val="center"/>
            </w:pPr>
            <w:r>
              <w:t>63.3</w:t>
            </w:r>
          </w:p>
        </w:tc>
      </w:tr>
      <w:tr w:rsidR="00FA53C2" w14:paraId="122F51E0" w14:textId="77777777" w:rsidTr="003F3EB9">
        <w:tc>
          <w:tcPr>
            <w:tcW w:w="2520" w:type="dxa"/>
            <w:tcBorders>
              <w:top w:val="nil"/>
              <w:left w:val="nil"/>
              <w:bottom w:val="nil"/>
              <w:right w:val="nil"/>
            </w:tcBorders>
          </w:tcPr>
          <w:p w14:paraId="4F0E2033" w14:textId="104BBBBE" w:rsidR="00FA53C2" w:rsidRDefault="0054359D" w:rsidP="00F35929">
            <w:r>
              <w:t xml:space="preserve">  </w:t>
            </w:r>
            <w:r w:rsidR="00FA53C2">
              <w:t>6. Helping jobs</w:t>
            </w:r>
          </w:p>
        </w:tc>
        <w:tc>
          <w:tcPr>
            <w:tcW w:w="1375" w:type="dxa"/>
            <w:tcBorders>
              <w:top w:val="nil"/>
              <w:left w:val="nil"/>
              <w:bottom w:val="nil"/>
              <w:right w:val="nil"/>
            </w:tcBorders>
          </w:tcPr>
          <w:p w14:paraId="6BF62748" w14:textId="77777777" w:rsidR="00FA53C2" w:rsidRDefault="00FA53C2" w:rsidP="003E0A38">
            <w:pPr>
              <w:jc w:val="center"/>
            </w:pPr>
            <w:r>
              <w:t>43.2</w:t>
            </w:r>
          </w:p>
        </w:tc>
        <w:tc>
          <w:tcPr>
            <w:tcW w:w="1376" w:type="dxa"/>
            <w:tcBorders>
              <w:top w:val="nil"/>
              <w:left w:val="nil"/>
              <w:bottom w:val="nil"/>
              <w:right w:val="nil"/>
            </w:tcBorders>
          </w:tcPr>
          <w:p w14:paraId="5D4DDE6E" w14:textId="77777777" w:rsidR="00FA53C2" w:rsidRDefault="00FA53C2" w:rsidP="003E0A38">
            <w:pPr>
              <w:jc w:val="center"/>
            </w:pPr>
            <w:r>
              <w:t>10.5</w:t>
            </w:r>
          </w:p>
        </w:tc>
        <w:tc>
          <w:tcPr>
            <w:tcW w:w="1376" w:type="dxa"/>
            <w:tcBorders>
              <w:top w:val="nil"/>
              <w:left w:val="nil"/>
              <w:bottom w:val="nil"/>
              <w:right w:val="nil"/>
            </w:tcBorders>
          </w:tcPr>
          <w:p w14:paraId="0F5B03BF" w14:textId="77777777" w:rsidR="00FA53C2" w:rsidRDefault="00FA53C2" w:rsidP="003E0A38">
            <w:pPr>
              <w:jc w:val="center"/>
            </w:pPr>
            <w:r>
              <w:t>11.8</w:t>
            </w:r>
          </w:p>
        </w:tc>
        <w:tc>
          <w:tcPr>
            <w:tcW w:w="1375" w:type="dxa"/>
            <w:tcBorders>
              <w:top w:val="nil"/>
              <w:left w:val="nil"/>
              <w:bottom w:val="nil"/>
              <w:right w:val="nil"/>
            </w:tcBorders>
          </w:tcPr>
          <w:p w14:paraId="31AB6B70" w14:textId="77777777" w:rsidR="00FA53C2" w:rsidRDefault="00FA53C2" w:rsidP="003E0A38">
            <w:pPr>
              <w:jc w:val="center"/>
            </w:pPr>
            <w:r>
              <w:t>10.0</w:t>
            </w:r>
          </w:p>
        </w:tc>
        <w:tc>
          <w:tcPr>
            <w:tcW w:w="1376" w:type="dxa"/>
            <w:tcBorders>
              <w:top w:val="nil"/>
              <w:left w:val="nil"/>
              <w:bottom w:val="nil"/>
              <w:right w:val="nil"/>
            </w:tcBorders>
          </w:tcPr>
          <w:p w14:paraId="1845723E" w14:textId="77777777" w:rsidR="00FA53C2" w:rsidRDefault="00FA53C2" w:rsidP="003E0A38">
            <w:pPr>
              <w:jc w:val="center"/>
            </w:pPr>
            <w:r>
              <w:t>12.7</w:t>
            </w:r>
          </w:p>
        </w:tc>
        <w:tc>
          <w:tcPr>
            <w:tcW w:w="1376" w:type="dxa"/>
            <w:tcBorders>
              <w:top w:val="nil"/>
              <w:left w:val="nil"/>
              <w:bottom w:val="nil"/>
              <w:right w:val="nil"/>
            </w:tcBorders>
          </w:tcPr>
          <w:p w14:paraId="3B3C8419" w14:textId="77777777" w:rsidR="00FA53C2" w:rsidRDefault="00FA53C2" w:rsidP="003E0A38">
            <w:pPr>
              <w:jc w:val="center"/>
            </w:pPr>
            <w:r>
              <w:t>11.8</w:t>
            </w:r>
          </w:p>
        </w:tc>
        <w:tc>
          <w:tcPr>
            <w:tcW w:w="1376" w:type="dxa"/>
            <w:tcBorders>
              <w:top w:val="nil"/>
              <w:left w:val="nil"/>
              <w:bottom w:val="nil"/>
              <w:right w:val="nil"/>
            </w:tcBorders>
          </w:tcPr>
          <w:p w14:paraId="1BA4892D" w14:textId="77777777" w:rsidR="00FA53C2" w:rsidRDefault="00FA53C2" w:rsidP="003E0A38">
            <w:pPr>
              <w:jc w:val="center"/>
            </w:pPr>
            <w:r>
              <w:t>56.8</w:t>
            </w:r>
          </w:p>
        </w:tc>
      </w:tr>
      <w:tr w:rsidR="00FA53C2" w14:paraId="5356E1F2" w14:textId="77777777" w:rsidTr="003F3EB9">
        <w:tc>
          <w:tcPr>
            <w:tcW w:w="2520" w:type="dxa"/>
            <w:tcBorders>
              <w:top w:val="nil"/>
              <w:left w:val="nil"/>
              <w:bottom w:val="nil"/>
              <w:right w:val="nil"/>
            </w:tcBorders>
          </w:tcPr>
          <w:p w14:paraId="3C64BFA3" w14:textId="1AC2E8E2" w:rsidR="00FA53C2" w:rsidRDefault="0054359D" w:rsidP="00F35929">
            <w:r>
              <w:t xml:space="preserve">  </w:t>
            </w:r>
            <w:r w:rsidR="00FA53C2">
              <w:t>7. Neighbors</w:t>
            </w:r>
          </w:p>
        </w:tc>
        <w:tc>
          <w:tcPr>
            <w:tcW w:w="1375" w:type="dxa"/>
            <w:tcBorders>
              <w:top w:val="nil"/>
              <w:left w:val="nil"/>
              <w:bottom w:val="nil"/>
              <w:right w:val="nil"/>
            </w:tcBorders>
          </w:tcPr>
          <w:p w14:paraId="0018B213" w14:textId="77777777" w:rsidR="00FA53C2" w:rsidRDefault="00FA53C2" w:rsidP="003E0A38">
            <w:pPr>
              <w:jc w:val="center"/>
            </w:pPr>
            <w:r>
              <w:t>37.1</w:t>
            </w:r>
          </w:p>
        </w:tc>
        <w:tc>
          <w:tcPr>
            <w:tcW w:w="1376" w:type="dxa"/>
            <w:tcBorders>
              <w:top w:val="nil"/>
              <w:left w:val="nil"/>
              <w:bottom w:val="nil"/>
              <w:right w:val="nil"/>
            </w:tcBorders>
          </w:tcPr>
          <w:p w14:paraId="4E743EEB" w14:textId="0B51CAC2" w:rsidR="00FA53C2" w:rsidRDefault="007C355E" w:rsidP="003E0A38">
            <w:pPr>
              <w:jc w:val="center"/>
            </w:pPr>
            <w:r>
              <w:t xml:space="preserve">  </w:t>
            </w:r>
            <w:r w:rsidR="00FA53C2">
              <w:t>7.2</w:t>
            </w:r>
          </w:p>
        </w:tc>
        <w:tc>
          <w:tcPr>
            <w:tcW w:w="1376" w:type="dxa"/>
            <w:tcBorders>
              <w:top w:val="nil"/>
              <w:left w:val="nil"/>
              <w:bottom w:val="nil"/>
              <w:right w:val="nil"/>
            </w:tcBorders>
          </w:tcPr>
          <w:p w14:paraId="5C9EAA2B" w14:textId="77777777" w:rsidR="00FA53C2" w:rsidRDefault="00FA53C2" w:rsidP="003E0A38">
            <w:pPr>
              <w:jc w:val="center"/>
            </w:pPr>
            <w:r>
              <w:t>10.9</w:t>
            </w:r>
          </w:p>
        </w:tc>
        <w:tc>
          <w:tcPr>
            <w:tcW w:w="1375" w:type="dxa"/>
            <w:tcBorders>
              <w:top w:val="nil"/>
              <w:left w:val="nil"/>
              <w:bottom w:val="nil"/>
              <w:right w:val="nil"/>
            </w:tcBorders>
          </w:tcPr>
          <w:p w14:paraId="4DF31135" w14:textId="77777777" w:rsidR="00FA53C2" w:rsidRDefault="00FA53C2" w:rsidP="003E0A38">
            <w:pPr>
              <w:jc w:val="center"/>
            </w:pPr>
            <w:r>
              <w:t>14.5</w:t>
            </w:r>
          </w:p>
        </w:tc>
        <w:tc>
          <w:tcPr>
            <w:tcW w:w="1376" w:type="dxa"/>
            <w:tcBorders>
              <w:top w:val="nil"/>
              <w:left w:val="nil"/>
              <w:bottom w:val="nil"/>
              <w:right w:val="nil"/>
            </w:tcBorders>
          </w:tcPr>
          <w:p w14:paraId="00E7F314" w14:textId="77777777" w:rsidR="00FA53C2" w:rsidRDefault="00FA53C2" w:rsidP="003E0A38">
            <w:pPr>
              <w:jc w:val="center"/>
            </w:pPr>
            <w:r>
              <w:t>14.9</w:t>
            </w:r>
          </w:p>
        </w:tc>
        <w:tc>
          <w:tcPr>
            <w:tcW w:w="1376" w:type="dxa"/>
            <w:tcBorders>
              <w:top w:val="nil"/>
              <w:left w:val="nil"/>
              <w:bottom w:val="nil"/>
              <w:right w:val="nil"/>
            </w:tcBorders>
          </w:tcPr>
          <w:p w14:paraId="5D64EB0E" w14:textId="77777777" w:rsidR="00FA53C2" w:rsidRDefault="00FA53C2" w:rsidP="003E0A38">
            <w:pPr>
              <w:jc w:val="center"/>
            </w:pPr>
            <w:r>
              <w:t>15.4</w:t>
            </w:r>
          </w:p>
        </w:tc>
        <w:tc>
          <w:tcPr>
            <w:tcW w:w="1376" w:type="dxa"/>
            <w:tcBorders>
              <w:top w:val="nil"/>
              <w:left w:val="nil"/>
              <w:bottom w:val="nil"/>
              <w:right w:val="nil"/>
            </w:tcBorders>
          </w:tcPr>
          <w:p w14:paraId="039A590C" w14:textId="77777777" w:rsidR="00FA53C2" w:rsidRDefault="00FA53C2" w:rsidP="003E0A38">
            <w:pPr>
              <w:jc w:val="center"/>
            </w:pPr>
            <w:r>
              <w:t>62.9</w:t>
            </w:r>
          </w:p>
        </w:tc>
      </w:tr>
      <w:tr w:rsidR="00FA53C2" w14:paraId="515A46B0" w14:textId="77777777" w:rsidTr="003F3EB9">
        <w:tc>
          <w:tcPr>
            <w:tcW w:w="2520" w:type="dxa"/>
            <w:tcBorders>
              <w:top w:val="nil"/>
              <w:left w:val="nil"/>
              <w:bottom w:val="nil"/>
              <w:right w:val="nil"/>
            </w:tcBorders>
          </w:tcPr>
          <w:p w14:paraId="4726F0C8" w14:textId="6990A1E4" w:rsidR="00FA53C2" w:rsidRDefault="0054359D" w:rsidP="00F35929">
            <w:r>
              <w:t xml:space="preserve">  </w:t>
            </w:r>
            <w:r w:rsidR="00FA53C2">
              <w:t xml:space="preserve">8. Institutions </w:t>
            </w:r>
          </w:p>
        </w:tc>
        <w:tc>
          <w:tcPr>
            <w:tcW w:w="1375" w:type="dxa"/>
            <w:tcBorders>
              <w:top w:val="nil"/>
              <w:left w:val="nil"/>
              <w:bottom w:val="nil"/>
              <w:right w:val="nil"/>
            </w:tcBorders>
          </w:tcPr>
          <w:p w14:paraId="3BF009C4" w14:textId="77777777" w:rsidR="00FA53C2" w:rsidRDefault="00FA53C2" w:rsidP="003E0A38">
            <w:pPr>
              <w:jc w:val="center"/>
            </w:pPr>
            <w:r>
              <w:t>43.0</w:t>
            </w:r>
          </w:p>
        </w:tc>
        <w:tc>
          <w:tcPr>
            <w:tcW w:w="1376" w:type="dxa"/>
            <w:tcBorders>
              <w:top w:val="nil"/>
              <w:left w:val="nil"/>
              <w:bottom w:val="nil"/>
              <w:right w:val="nil"/>
            </w:tcBorders>
          </w:tcPr>
          <w:p w14:paraId="02B36745" w14:textId="29799BDB" w:rsidR="00FA53C2" w:rsidRDefault="007C355E" w:rsidP="003E0A38">
            <w:pPr>
              <w:jc w:val="center"/>
            </w:pPr>
            <w:r>
              <w:t xml:space="preserve">  </w:t>
            </w:r>
            <w:r w:rsidR="00FA53C2">
              <w:t>5.9</w:t>
            </w:r>
          </w:p>
        </w:tc>
        <w:tc>
          <w:tcPr>
            <w:tcW w:w="1376" w:type="dxa"/>
            <w:tcBorders>
              <w:top w:val="nil"/>
              <w:left w:val="nil"/>
              <w:bottom w:val="nil"/>
              <w:right w:val="nil"/>
            </w:tcBorders>
          </w:tcPr>
          <w:p w14:paraId="378D64FC" w14:textId="4E887C95" w:rsidR="00FA53C2" w:rsidRDefault="007C355E" w:rsidP="003E0A38">
            <w:pPr>
              <w:jc w:val="center"/>
            </w:pPr>
            <w:r>
              <w:t xml:space="preserve">  </w:t>
            </w:r>
            <w:r w:rsidR="00FA53C2">
              <w:t>7.7</w:t>
            </w:r>
          </w:p>
        </w:tc>
        <w:tc>
          <w:tcPr>
            <w:tcW w:w="1375" w:type="dxa"/>
            <w:tcBorders>
              <w:top w:val="nil"/>
              <w:left w:val="nil"/>
              <w:bottom w:val="nil"/>
              <w:right w:val="nil"/>
            </w:tcBorders>
          </w:tcPr>
          <w:p w14:paraId="4667E3C0" w14:textId="77777777" w:rsidR="00FA53C2" w:rsidRDefault="00FA53C2" w:rsidP="003E0A38">
            <w:pPr>
              <w:jc w:val="center"/>
            </w:pPr>
            <w:r>
              <w:t>10.9</w:t>
            </w:r>
          </w:p>
        </w:tc>
        <w:tc>
          <w:tcPr>
            <w:tcW w:w="1376" w:type="dxa"/>
            <w:tcBorders>
              <w:top w:val="nil"/>
              <w:left w:val="nil"/>
              <w:bottom w:val="nil"/>
              <w:right w:val="nil"/>
            </w:tcBorders>
          </w:tcPr>
          <w:p w14:paraId="1A99232E" w14:textId="77777777" w:rsidR="00FA53C2" w:rsidRDefault="00FA53C2" w:rsidP="003E0A38">
            <w:pPr>
              <w:jc w:val="center"/>
            </w:pPr>
            <w:r>
              <w:t>13.6</w:t>
            </w:r>
          </w:p>
        </w:tc>
        <w:tc>
          <w:tcPr>
            <w:tcW w:w="1376" w:type="dxa"/>
            <w:tcBorders>
              <w:top w:val="nil"/>
              <w:left w:val="nil"/>
              <w:bottom w:val="nil"/>
              <w:right w:val="nil"/>
            </w:tcBorders>
          </w:tcPr>
          <w:p w14:paraId="7FE75ACC" w14:textId="77777777" w:rsidR="00FA53C2" w:rsidRDefault="00FA53C2" w:rsidP="003E0A38">
            <w:pPr>
              <w:jc w:val="center"/>
            </w:pPr>
            <w:r>
              <w:t>19.0</w:t>
            </w:r>
          </w:p>
        </w:tc>
        <w:tc>
          <w:tcPr>
            <w:tcW w:w="1376" w:type="dxa"/>
            <w:tcBorders>
              <w:top w:val="nil"/>
              <w:left w:val="nil"/>
              <w:bottom w:val="nil"/>
              <w:right w:val="nil"/>
            </w:tcBorders>
          </w:tcPr>
          <w:p w14:paraId="69934210" w14:textId="77777777" w:rsidR="00FA53C2" w:rsidRDefault="00FA53C2" w:rsidP="003E0A38">
            <w:pPr>
              <w:jc w:val="center"/>
            </w:pPr>
            <w:r>
              <w:t>57.0</w:t>
            </w:r>
          </w:p>
        </w:tc>
      </w:tr>
      <w:tr w:rsidR="00FA53C2" w14:paraId="309EEA16" w14:textId="77777777" w:rsidTr="003F3EB9">
        <w:tc>
          <w:tcPr>
            <w:tcW w:w="2520" w:type="dxa"/>
            <w:tcBorders>
              <w:top w:val="nil"/>
              <w:left w:val="nil"/>
              <w:bottom w:val="nil"/>
              <w:right w:val="nil"/>
            </w:tcBorders>
          </w:tcPr>
          <w:p w14:paraId="0F56B6D7" w14:textId="69656C38" w:rsidR="00FA53C2" w:rsidRDefault="0054359D" w:rsidP="00F35929">
            <w:r>
              <w:t xml:space="preserve">  </w:t>
            </w:r>
            <w:r w:rsidR="00FA53C2">
              <w:t>9. Friends</w:t>
            </w:r>
          </w:p>
        </w:tc>
        <w:tc>
          <w:tcPr>
            <w:tcW w:w="1375" w:type="dxa"/>
            <w:tcBorders>
              <w:top w:val="nil"/>
              <w:left w:val="nil"/>
              <w:bottom w:val="nil"/>
              <w:right w:val="nil"/>
            </w:tcBorders>
          </w:tcPr>
          <w:p w14:paraId="0CB114F9" w14:textId="77777777" w:rsidR="00FA53C2" w:rsidRDefault="00FA53C2" w:rsidP="003E0A38">
            <w:pPr>
              <w:jc w:val="center"/>
            </w:pPr>
            <w:r>
              <w:t>23.9</w:t>
            </w:r>
          </w:p>
        </w:tc>
        <w:tc>
          <w:tcPr>
            <w:tcW w:w="1376" w:type="dxa"/>
            <w:tcBorders>
              <w:top w:val="nil"/>
              <w:left w:val="nil"/>
              <w:bottom w:val="nil"/>
              <w:right w:val="nil"/>
            </w:tcBorders>
          </w:tcPr>
          <w:p w14:paraId="007E5726" w14:textId="3A4315A7" w:rsidR="00FA53C2" w:rsidRDefault="007C355E" w:rsidP="003E0A38">
            <w:pPr>
              <w:jc w:val="center"/>
            </w:pPr>
            <w:r>
              <w:t xml:space="preserve"> </w:t>
            </w:r>
            <w:r w:rsidR="00F2128A">
              <w:t xml:space="preserve"> </w:t>
            </w:r>
            <w:r w:rsidR="00FA53C2">
              <w:t>8.6</w:t>
            </w:r>
          </w:p>
        </w:tc>
        <w:tc>
          <w:tcPr>
            <w:tcW w:w="1376" w:type="dxa"/>
            <w:tcBorders>
              <w:top w:val="nil"/>
              <w:left w:val="nil"/>
              <w:bottom w:val="nil"/>
              <w:right w:val="nil"/>
            </w:tcBorders>
          </w:tcPr>
          <w:p w14:paraId="09E1F33F" w14:textId="77777777" w:rsidR="00FA53C2" w:rsidRDefault="00FA53C2" w:rsidP="003E0A38">
            <w:pPr>
              <w:jc w:val="center"/>
            </w:pPr>
            <w:r>
              <w:t>13.1</w:t>
            </w:r>
          </w:p>
        </w:tc>
        <w:tc>
          <w:tcPr>
            <w:tcW w:w="1375" w:type="dxa"/>
            <w:tcBorders>
              <w:top w:val="nil"/>
              <w:left w:val="nil"/>
              <w:bottom w:val="nil"/>
              <w:right w:val="nil"/>
            </w:tcBorders>
          </w:tcPr>
          <w:p w14:paraId="3C3D7255" w14:textId="77777777" w:rsidR="00FA53C2" w:rsidRDefault="00FA53C2" w:rsidP="003E0A38">
            <w:pPr>
              <w:jc w:val="center"/>
            </w:pPr>
            <w:r>
              <w:t>15.3</w:t>
            </w:r>
          </w:p>
        </w:tc>
        <w:tc>
          <w:tcPr>
            <w:tcW w:w="1376" w:type="dxa"/>
            <w:tcBorders>
              <w:top w:val="nil"/>
              <w:left w:val="nil"/>
              <w:bottom w:val="nil"/>
              <w:right w:val="nil"/>
            </w:tcBorders>
          </w:tcPr>
          <w:p w14:paraId="1C57FFEF" w14:textId="77777777" w:rsidR="00FA53C2" w:rsidRDefault="00FA53C2" w:rsidP="003E0A38">
            <w:pPr>
              <w:jc w:val="center"/>
            </w:pPr>
            <w:r>
              <w:t>17.1</w:t>
            </w:r>
          </w:p>
        </w:tc>
        <w:tc>
          <w:tcPr>
            <w:tcW w:w="1376" w:type="dxa"/>
            <w:tcBorders>
              <w:top w:val="nil"/>
              <w:left w:val="nil"/>
              <w:bottom w:val="nil"/>
              <w:right w:val="nil"/>
            </w:tcBorders>
          </w:tcPr>
          <w:p w14:paraId="770235E8" w14:textId="77777777" w:rsidR="00FA53C2" w:rsidRDefault="00FA53C2" w:rsidP="003E0A38">
            <w:pPr>
              <w:jc w:val="center"/>
            </w:pPr>
            <w:r>
              <w:t>22.1</w:t>
            </w:r>
          </w:p>
        </w:tc>
        <w:tc>
          <w:tcPr>
            <w:tcW w:w="1376" w:type="dxa"/>
            <w:tcBorders>
              <w:top w:val="nil"/>
              <w:left w:val="nil"/>
              <w:bottom w:val="nil"/>
              <w:right w:val="nil"/>
            </w:tcBorders>
          </w:tcPr>
          <w:p w14:paraId="2ADB0D6D" w14:textId="77777777" w:rsidR="00FA53C2" w:rsidRDefault="00FA53C2" w:rsidP="003E0A38">
            <w:pPr>
              <w:jc w:val="center"/>
            </w:pPr>
            <w:r>
              <w:t>76.1</w:t>
            </w:r>
          </w:p>
        </w:tc>
      </w:tr>
      <w:tr w:rsidR="00FA53C2" w14:paraId="1B6BE5E6" w14:textId="77777777" w:rsidTr="003F3EB9">
        <w:tc>
          <w:tcPr>
            <w:tcW w:w="2520" w:type="dxa"/>
            <w:tcBorders>
              <w:top w:val="nil"/>
              <w:left w:val="nil"/>
              <w:bottom w:val="nil"/>
              <w:right w:val="nil"/>
            </w:tcBorders>
          </w:tcPr>
          <w:p w14:paraId="5B871F83" w14:textId="7D498BB6" w:rsidR="00FA53C2" w:rsidRDefault="00FA53C2" w:rsidP="00F35929">
            <w:r>
              <w:t>10. Accused/suspected</w:t>
            </w:r>
          </w:p>
        </w:tc>
        <w:tc>
          <w:tcPr>
            <w:tcW w:w="1375" w:type="dxa"/>
            <w:tcBorders>
              <w:top w:val="nil"/>
              <w:left w:val="nil"/>
              <w:bottom w:val="nil"/>
              <w:right w:val="nil"/>
            </w:tcBorders>
          </w:tcPr>
          <w:p w14:paraId="69D0D667" w14:textId="31E513C7" w:rsidR="00FA53C2" w:rsidRDefault="007C355E" w:rsidP="003E0A38">
            <w:pPr>
              <w:jc w:val="center"/>
            </w:pPr>
            <w:r>
              <w:t xml:space="preserve">  </w:t>
            </w:r>
            <w:r w:rsidR="00FA53C2">
              <w:t>9.0</w:t>
            </w:r>
          </w:p>
        </w:tc>
        <w:tc>
          <w:tcPr>
            <w:tcW w:w="1376" w:type="dxa"/>
            <w:tcBorders>
              <w:top w:val="nil"/>
              <w:left w:val="nil"/>
              <w:bottom w:val="nil"/>
              <w:right w:val="nil"/>
            </w:tcBorders>
          </w:tcPr>
          <w:p w14:paraId="0BBE2A41" w14:textId="3AA27D16" w:rsidR="00FA53C2" w:rsidRDefault="007C355E" w:rsidP="003E0A38">
            <w:pPr>
              <w:jc w:val="center"/>
            </w:pPr>
            <w:r>
              <w:t xml:space="preserve"> </w:t>
            </w:r>
            <w:r w:rsidR="00F2128A">
              <w:t xml:space="preserve"> </w:t>
            </w:r>
            <w:r w:rsidR="00FA53C2">
              <w:t>5.4</w:t>
            </w:r>
          </w:p>
        </w:tc>
        <w:tc>
          <w:tcPr>
            <w:tcW w:w="1376" w:type="dxa"/>
            <w:tcBorders>
              <w:top w:val="nil"/>
              <w:left w:val="nil"/>
              <w:bottom w:val="nil"/>
              <w:right w:val="nil"/>
            </w:tcBorders>
          </w:tcPr>
          <w:p w14:paraId="1967A442" w14:textId="77777777" w:rsidR="00FA53C2" w:rsidRDefault="00FA53C2" w:rsidP="003E0A38">
            <w:pPr>
              <w:jc w:val="center"/>
            </w:pPr>
            <w:r>
              <w:t>12.2</w:t>
            </w:r>
          </w:p>
        </w:tc>
        <w:tc>
          <w:tcPr>
            <w:tcW w:w="1375" w:type="dxa"/>
            <w:tcBorders>
              <w:top w:val="nil"/>
              <w:left w:val="nil"/>
              <w:bottom w:val="nil"/>
              <w:right w:val="nil"/>
            </w:tcBorders>
          </w:tcPr>
          <w:p w14:paraId="381524A2" w14:textId="77777777" w:rsidR="00FA53C2" w:rsidRDefault="00FA53C2" w:rsidP="003E0A38">
            <w:pPr>
              <w:jc w:val="center"/>
            </w:pPr>
            <w:r>
              <w:t>18.9</w:t>
            </w:r>
          </w:p>
        </w:tc>
        <w:tc>
          <w:tcPr>
            <w:tcW w:w="1376" w:type="dxa"/>
            <w:tcBorders>
              <w:top w:val="nil"/>
              <w:left w:val="nil"/>
              <w:bottom w:val="nil"/>
              <w:right w:val="nil"/>
            </w:tcBorders>
          </w:tcPr>
          <w:p w14:paraId="1E2B3E95" w14:textId="77777777" w:rsidR="00FA53C2" w:rsidRDefault="00FA53C2" w:rsidP="003E0A38">
            <w:pPr>
              <w:jc w:val="center"/>
            </w:pPr>
            <w:r>
              <w:t>21.6</w:t>
            </w:r>
          </w:p>
        </w:tc>
        <w:tc>
          <w:tcPr>
            <w:tcW w:w="1376" w:type="dxa"/>
            <w:tcBorders>
              <w:top w:val="nil"/>
              <w:left w:val="nil"/>
              <w:bottom w:val="nil"/>
              <w:right w:val="nil"/>
            </w:tcBorders>
          </w:tcPr>
          <w:p w14:paraId="7C0CAAE6" w14:textId="77777777" w:rsidR="00FA53C2" w:rsidRDefault="00FA53C2" w:rsidP="003E0A38">
            <w:pPr>
              <w:jc w:val="center"/>
            </w:pPr>
            <w:r>
              <w:t>32.9</w:t>
            </w:r>
          </w:p>
        </w:tc>
        <w:tc>
          <w:tcPr>
            <w:tcW w:w="1376" w:type="dxa"/>
            <w:tcBorders>
              <w:top w:val="nil"/>
              <w:left w:val="nil"/>
              <w:bottom w:val="nil"/>
              <w:right w:val="nil"/>
            </w:tcBorders>
          </w:tcPr>
          <w:p w14:paraId="0D05326B" w14:textId="77777777" w:rsidR="00FA53C2" w:rsidRDefault="00FA53C2" w:rsidP="003E0A38">
            <w:pPr>
              <w:jc w:val="center"/>
            </w:pPr>
            <w:r>
              <w:t>91.0</w:t>
            </w:r>
          </w:p>
        </w:tc>
      </w:tr>
      <w:tr w:rsidR="00FA53C2" w14:paraId="3345452C" w14:textId="77777777" w:rsidTr="003F3EB9">
        <w:tc>
          <w:tcPr>
            <w:tcW w:w="2520" w:type="dxa"/>
            <w:tcBorders>
              <w:top w:val="nil"/>
              <w:left w:val="nil"/>
              <w:bottom w:val="nil"/>
              <w:right w:val="nil"/>
            </w:tcBorders>
          </w:tcPr>
          <w:p w14:paraId="155F76C8" w14:textId="77777777" w:rsidR="00FA53C2" w:rsidRDefault="00FA53C2" w:rsidP="00F35929">
            <w:r>
              <w:t>11. Intentions</w:t>
            </w:r>
          </w:p>
        </w:tc>
        <w:tc>
          <w:tcPr>
            <w:tcW w:w="1375" w:type="dxa"/>
            <w:tcBorders>
              <w:top w:val="nil"/>
              <w:left w:val="nil"/>
              <w:bottom w:val="nil"/>
              <w:right w:val="nil"/>
            </w:tcBorders>
          </w:tcPr>
          <w:p w14:paraId="0A5CA26A" w14:textId="48846AF2" w:rsidR="00FA53C2" w:rsidRDefault="007C355E" w:rsidP="003E0A38">
            <w:pPr>
              <w:jc w:val="center"/>
            </w:pPr>
            <w:r>
              <w:t xml:space="preserve">  </w:t>
            </w:r>
            <w:r w:rsidR="00FA53C2">
              <w:t>9.0</w:t>
            </w:r>
          </w:p>
        </w:tc>
        <w:tc>
          <w:tcPr>
            <w:tcW w:w="1376" w:type="dxa"/>
            <w:tcBorders>
              <w:top w:val="nil"/>
              <w:left w:val="nil"/>
              <w:bottom w:val="nil"/>
              <w:right w:val="nil"/>
            </w:tcBorders>
          </w:tcPr>
          <w:p w14:paraId="1ECF6220" w14:textId="06A59188" w:rsidR="00FA53C2" w:rsidRDefault="007C355E" w:rsidP="003E0A38">
            <w:pPr>
              <w:jc w:val="center"/>
            </w:pPr>
            <w:r>
              <w:t xml:space="preserve"> </w:t>
            </w:r>
            <w:r w:rsidR="00F2128A">
              <w:t xml:space="preserve"> </w:t>
            </w:r>
            <w:r w:rsidR="00FA53C2">
              <w:t>5.4</w:t>
            </w:r>
          </w:p>
        </w:tc>
        <w:tc>
          <w:tcPr>
            <w:tcW w:w="1376" w:type="dxa"/>
            <w:tcBorders>
              <w:top w:val="nil"/>
              <w:left w:val="nil"/>
              <w:bottom w:val="nil"/>
              <w:right w:val="nil"/>
            </w:tcBorders>
          </w:tcPr>
          <w:p w14:paraId="14F42026" w14:textId="77777777" w:rsidR="00FA53C2" w:rsidRDefault="00FA53C2" w:rsidP="003E0A38">
            <w:pPr>
              <w:jc w:val="center"/>
            </w:pPr>
            <w:r>
              <w:t>12.2</w:t>
            </w:r>
          </w:p>
        </w:tc>
        <w:tc>
          <w:tcPr>
            <w:tcW w:w="1375" w:type="dxa"/>
            <w:tcBorders>
              <w:top w:val="nil"/>
              <w:left w:val="nil"/>
              <w:bottom w:val="nil"/>
              <w:right w:val="nil"/>
            </w:tcBorders>
          </w:tcPr>
          <w:p w14:paraId="7481FFF5" w14:textId="77777777" w:rsidR="00FA53C2" w:rsidRDefault="00FA53C2" w:rsidP="003E0A38">
            <w:pPr>
              <w:jc w:val="center"/>
            </w:pPr>
            <w:r>
              <w:t>18.9</w:t>
            </w:r>
          </w:p>
        </w:tc>
        <w:tc>
          <w:tcPr>
            <w:tcW w:w="1376" w:type="dxa"/>
            <w:tcBorders>
              <w:top w:val="nil"/>
              <w:left w:val="nil"/>
              <w:bottom w:val="nil"/>
              <w:right w:val="nil"/>
            </w:tcBorders>
          </w:tcPr>
          <w:p w14:paraId="3A455603" w14:textId="77777777" w:rsidR="00FA53C2" w:rsidRDefault="00FA53C2" w:rsidP="003E0A38">
            <w:pPr>
              <w:jc w:val="center"/>
            </w:pPr>
            <w:r>
              <w:t>21.6</w:t>
            </w:r>
          </w:p>
        </w:tc>
        <w:tc>
          <w:tcPr>
            <w:tcW w:w="1376" w:type="dxa"/>
            <w:tcBorders>
              <w:top w:val="nil"/>
              <w:left w:val="nil"/>
              <w:bottom w:val="nil"/>
              <w:right w:val="nil"/>
            </w:tcBorders>
          </w:tcPr>
          <w:p w14:paraId="11017C3F" w14:textId="77777777" w:rsidR="00FA53C2" w:rsidRDefault="00FA53C2" w:rsidP="003E0A38">
            <w:pPr>
              <w:jc w:val="center"/>
            </w:pPr>
            <w:r>
              <w:t>32.9</w:t>
            </w:r>
          </w:p>
        </w:tc>
        <w:tc>
          <w:tcPr>
            <w:tcW w:w="1376" w:type="dxa"/>
            <w:tcBorders>
              <w:top w:val="nil"/>
              <w:left w:val="nil"/>
              <w:bottom w:val="nil"/>
              <w:right w:val="nil"/>
            </w:tcBorders>
          </w:tcPr>
          <w:p w14:paraId="0108377C" w14:textId="77777777" w:rsidR="00FA53C2" w:rsidRDefault="00FA53C2" w:rsidP="003E0A38">
            <w:pPr>
              <w:jc w:val="center"/>
            </w:pPr>
            <w:r>
              <w:t>91.0</w:t>
            </w:r>
          </w:p>
        </w:tc>
      </w:tr>
      <w:tr w:rsidR="00FA53C2" w14:paraId="4D6D7729" w14:textId="77777777" w:rsidTr="003F3EB9">
        <w:tc>
          <w:tcPr>
            <w:tcW w:w="2520" w:type="dxa"/>
            <w:tcBorders>
              <w:top w:val="nil"/>
              <w:left w:val="nil"/>
              <w:bottom w:val="nil"/>
              <w:right w:val="nil"/>
            </w:tcBorders>
          </w:tcPr>
          <w:p w14:paraId="037B7A83" w14:textId="77777777" w:rsidR="00FA53C2" w:rsidRDefault="00FA53C2" w:rsidP="00F35929">
            <w:r>
              <w:t xml:space="preserve">12. Wanted to tell off </w:t>
            </w:r>
          </w:p>
        </w:tc>
        <w:tc>
          <w:tcPr>
            <w:tcW w:w="1375" w:type="dxa"/>
            <w:tcBorders>
              <w:top w:val="nil"/>
              <w:left w:val="nil"/>
              <w:bottom w:val="nil"/>
              <w:right w:val="nil"/>
            </w:tcBorders>
          </w:tcPr>
          <w:p w14:paraId="3317A42F" w14:textId="77777777" w:rsidR="00FA53C2" w:rsidRDefault="00FA53C2" w:rsidP="003E0A38">
            <w:pPr>
              <w:jc w:val="center"/>
            </w:pPr>
            <w:r>
              <w:t>15.3</w:t>
            </w:r>
          </w:p>
        </w:tc>
        <w:tc>
          <w:tcPr>
            <w:tcW w:w="1376" w:type="dxa"/>
            <w:tcBorders>
              <w:top w:val="nil"/>
              <w:left w:val="nil"/>
              <w:bottom w:val="nil"/>
              <w:right w:val="nil"/>
            </w:tcBorders>
          </w:tcPr>
          <w:p w14:paraId="2D025DD4" w14:textId="18CCCE66" w:rsidR="00FA53C2" w:rsidRDefault="00F2128A" w:rsidP="003E0A38">
            <w:pPr>
              <w:jc w:val="center"/>
            </w:pPr>
            <w:r>
              <w:t xml:space="preserve"> </w:t>
            </w:r>
            <w:r w:rsidR="007C355E">
              <w:t xml:space="preserve"> </w:t>
            </w:r>
            <w:r w:rsidR="00FA53C2">
              <w:t>6.8</w:t>
            </w:r>
          </w:p>
        </w:tc>
        <w:tc>
          <w:tcPr>
            <w:tcW w:w="1376" w:type="dxa"/>
            <w:tcBorders>
              <w:top w:val="nil"/>
              <w:left w:val="nil"/>
              <w:bottom w:val="nil"/>
              <w:right w:val="nil"/>
            </w:tcBorders>
          </w:tcPr>
          <w:p w14:paraId="4ED6596E" w14:textId="1E76E6A0" w:rsidR="00FA53C2" w:rsidRDefault="007C355E" w:rsidP="003E0A38">
            <w:pPr>
              <w:jc w:val="center"/>
            </w:pPr>
            <w:r>
              <w:t xml:space="preserve">  </w:t>
            </w:r>
            <w:r w:rsidR="00FA53C2">
              <w:t>8.6</w:t>
            </w:r>
          </w:p>
        </w:tc>
        <w:tc>
          <w:tcPr>
            <w:tcW w:w="1375" w:type="dxa"/>
            <w:tcBorders>
              <w:top w:val="nil"/>
              <w:left w:val="nil"/>
              <w:bottom w:val="nil"/>
              <w:right w:val="nil"/>
            </w:tcBorders>
          </w:tcPr>
          <w:p w14:paraId="1031B721" w14:textId="77777777" w:rsidR="00FA53C2" w:rsidRDefault="00FA53C2" w:rsidP="003E0A38">
            <w:pPr>
              <w:jc w:val="center"/>
            </w:pPr>
            <w:r>
              <w:t>15.3</w:t>
            </w:r>
          </w:p>
        </w:tc>
        <w:tc>
          <w:tcPr>
            <w:tcW w:w="1376" w:type="dxa"/>
            <w:tcBorders>
              <w:top w:val="nil"/>
              <w:left w:val="nil"/>
              <w:bottom w:val="nil"/>
              <w:right w:val="nil"/>
            </w:tcBorders>
          </w:tcPr>
          <w:p w14:paraId="5E4B26D5" w14:textId="77777777" w:rsidR="00FA53C2" w:rsidRDefault="00FA53C2" w:rsidP="003E0A38">
            <w:pPr>
              <w:jc w:val="center"/>
            </w:pPr>
            <w:r>
              <w:t>23.9</w:t>
            </w:r>
          </w:p>
        </w:tc>
        <w:tc>
          <w:tcPr>
            <w:tcW w:w="1376" w:type="dxa"/>
            <w:tcBorders>
              <w:top w:val="nil"/>
              <w:left w:val="nil"/>
              <w:bottom w:val="nil"/>
              <w:right w:val="nil"/>
            </w:tcBorders>
          </w:tcPr>
          <w:p w14:paraId="041D9BEA" w14:textId="77777777" w:rsidR="00FA53C2" w:rsidRDefault="00FA53C2" w:rsidP="003E0A38">
            <w:pPr>
              <w:jc w:val="center"/>
            </w:pPr>
            <w:r>
              <w:t>30.2</w:t>
            </w:r>
          </w:p>
        </w:tc>
        <w:tc>
          <w:tcPr>
            <w:tcW w:w="1376" w:type="dxa"/>
            <w:tcBorders>
              <w:top w:val="nil"/>
              <w:left w:val="nil"/>
              <w:bottom w:val="nil"/>
              <w:right w:val="nil"/>
            </w:tcBorders>
          </w:tcPr>
          <w:p w14:paraId="7EF30E03" w14:textId="77777777" w:rsidR="00FA53C2" w:rsidRDefault="00FA53C2" w:rsidP="003E0A38">
            <w:pPr>
              <w:jc w:val="center"/>
            </w:pPr>
            <w:r>
              <w:t>84.7</w:t>
            </w:r>
          </w:p>
        </w:tc>
      </w:tr>
      <w:tr w:rsidR="00FA53C2" w14:paraId="3BC03B24" w14:textId="77777777" w:rsidTr="003F3EB9">
        <w:tc>
          <w:tcPr>
            <w:tcW w:w="2520" w:type="dxa"/>
            <w:tcBorders>
              <w:top w:val="nil"/>
              <w:left w:val="nil"/>
              <w:bottom w:val="nil"/>
              <w:right w:val="nil"/>
            </w:tcBorders>
          </w:tcPr>
          <w:p w14:paraId="7B813349" w14:textId="77777777" w:rsidR="00FA53C2" w:rsidRDefault="00FA53C2" w:rsidP="00F35929">
            <w:r>
              <w:t>13. Felt really angry</w:t>
            </w:r>
          </w:p>
        </w:tc>
        <w:tc>
          <w:tcPr>
            <w:tcW w:w="1375" w:type="dxa"/>
            <w:tcBorders>
              <w:top w:val="nil"/>
              <w:left w:val="nil"/>
              <w:bottom w:val="nil"/>
              <w:right w:val="nil"/>
            </w:tcBorders>
          </w:tcPr>
          <w:p w14:paraId="26997E18" w14:textId="77777777" w:rsidR="00FA53C2" w:rsidRDefault="00FA53C2" w:rsidP="003E0A38">
            <w:pPr>
              <w:jc w:val="center"/>
            </w:pPr>
            <w:r>
              <w:t>59.1</w:t>
            </w:r>
          </w:p>
        </w:tc>
        <w:tc>
          <w:tcPr>
            <w:tcW w:w="1376" w:type="dxa"/>
            <w:tcBorders>
              <w:top w:val="nil"/>
              <w:left w:val="nil"/>
              <w:bottom w:val="nil"/>
              <w:right w:val="nil"/>
            </w:tcBorders>
          </w:tcPr>
          <w:p w14:paraId="69871AE2" w14:textId="0416D72E" w:rsidR="00FA53C2" w:rsidRDefault="00F2128A" w:rsidP="003E0A38">
            <w:pPr>
              <w:jc w:val="center"/>
            </w:pPr>
            <w:r>
              <w:t xml:space="preserve"> </w:t>
            </w:r>
            <w:r w:rsidR="007C355E">
              <w:t xml:space="preserve"> </w:t>
            </w:r>
            <w:r w:rsidR="00FA53C2">
              <w:t>4.5</w:t>
            </w:r>
          </w:p>
        </w:tc>
        <w:tc>
          <w:tcPr>
            <w:tcW w:w="1376" w:type="dxa"/>
            <w:tcBorders>
              <w:top w:val="nil"/>
              <w:left w:val="nil"/>
              <w:bottom w:val="nil"/>
              <w:right w:val="nil"/>
            </w:tcBorders>
          </w:tcPr>
          <w:p w14:paraId="7F1F4AD5" w14:textId="371F2B2D" w:rsidR="00FA53C2" w:rsidRDefault="007C355E" w:rsidP="003E0A38">
            <w:pPr>
              <w:jc w:val="center"/>
            </w:pPr>
            <w:r>
              <w:t xml:space="preserve">  </w:t>
            </w:r>
            <w:r w:rsidR="00FA53C2">
              <w:t>4.5</w:t>
            </w:r>
          </w:p>
        </w:tc>
        <w:tc>
          <w:tcPr>
            <w:tcW w:w="1375" w:type="dxa"/>
            <w:tcBorders>
              <w:top w:val="nil"/>
              <w:left w:val="nil"/>
              <w:bottom w:val="nil"/>
              <w:right w:val="nil"/>
            </w:tcBorders>
          </w:tcPr>
          <w:p w14:paraId="6E86BB72" w14:textId="39D19469" w:rsidR="00FA53C2" w:rsidRDefault="007C355E" w:rsidP="003E0A38">
            <w:pPr>
              <w:jc w:val="center"/>
            </w:pPr>
            <w:r>
              <w:t xml:space="preserve">  </w:t>
            </w:r>
            <w:r w:rsidR="00FA53C2">
              <w:t>7.3</w:t>
            </w:r>
          </w:p>
        </w:tc>
        <w:tc>
          <w:tcPr>
            <w:tcW w:w="1376" w:type="dxa"/>
            <w:tcBorders>
              <w:top w:val="nil"/>
              <w:left w:val="nil"/>
              <w:bottom w:val="nil"/>
              <w:right w:val="nil"/>
            </w:tcBorders>
          </w:tcPr>
          <w:p w14:paraId="41D1FE2C" w14:textId="069CB631" w:rsidR="00FA53C2" w:rsidRDefault="007C355E" w:rsidP="003E0A38">
            <w:pPr>
              <w:jc w:val="center"/>
            </w:pPr>
            <w:r>
              <w:t xml:space="preserve">  </w:t>
            </w:r>
            <w:r w:rsidR="00FA53C2">
              <w:t>7.7</w:t>
            </w:r>
          </w:p>
        </w:tc>
        <w:tc>
          <w:tcPr>
            <w:tcW w:w="1376" w:type="dxa"/>
            <w:tcBorders>
              <w:top w:val="nil"/>
              <w:left w:val="nil"/>
              <w:bottom w:val="nil"/>
              <w:right w:val="nil"/>
            </w:tcBorders>
          </w:tcPr>
          <w:p w14:paraId="3010BE45" w14:textId="77777777" w:rsidR="00FA53C2" w:rsidRDefault="00FA53C2" w:rsidP="003E0A38">
            <w:pPr>
              <w:jc w:val="center"/>
            </w:pPr>
            <w:r>
              <w:t>16.8</w:t>
            </w:r>
          </w:p>
        </w:tc>
        <w:tc>
          <w:tcPr>
            <w:tcW w:w="1376" w:type="dxa"/>
            <w:tcBorders>
              <w:top w:val="nil"/>
              <w:left w:val="nil"/>
              <w:bottom w:val="nil"/>
              <w:right w:val="nil"/>
            </w:tcBorders>
          </w:tcPr>
          <w:p w14:paraId="0D602035" w14:textId="77777777" w:rsidR="00FA53C2" w:rsidRDefault="00FA53C2" w:rsidP="003E0A38">
            <w:pPr>
              <w:jc w:val="center"/>
            </w:pPr>
            <w:r>
              <w:t>40.9</w:t>
            </w:r>
          </w:p>
        </w:tc>
      </w:tr>
      <w:tr w:rsidR="00FA53C2" w14:paraId="431ED6B4" w14:textId="77777777" w:rsidTr="003F3EB9">
        <w:tc>
          <w:tcPr>
            <w:tcW w:w="2520" w:type="dxa"/>
            <w:tcBorders>
              <w:top w:val="nil"/>
              <w:left w:val="nil"/>
              <w:bottom w:val="nil"/>
              <w:right w:val="nil"/>
            </w:tcBorders>
          </w:tcPr>
          <w:p w14:paraId="58A99C28" w14:textId="77777777" w:rsidR="00FA53C2" w:rsidRDefault="00FA53C2" w:rsidP="00F35929">
            <w:r>
              <w:t>14. Took drastic steps</w:t>
            </w:r>
          </w:p>
        </w:tc>
        <w:tc>
          <w:tcPr>
            <w:tcW w:w="1375" w:type="dxa"/>
            <w:tcBorders>
              <w:top w:val="nil"/>
              <w:left w:val="nil"/>
              <w:bottom w:val="nil"/>
              <w:right w:val="nil"/>
            </w:tcBorders>
          </w:tcPr>
          <w:p w14:paraId="7DD8A0B1" w14:textId="77777777" w:rsidR="00FA53C2" w:rsidRDefault="00FA53C2" w:rsidP="003E0A38">
            <w:pPr>
              <w:jc w:val="center"/>
            </w:pPr>
            <w:r>
              <w:t>25.2</w:t>
            </w:r>
          </w:p>
        </w:tc>
        <w:tc>
          <w:tcPr>
            <w:tcW w:w="1376" w:type="dxa"/>
            <w:tcBorders>
              <w:top w:val="nil"/>
              <w:left w:val="nil"/>
              <w:bottom w:val="nil"/>
              <w:right w:val="nil"/>
            </w:tcBorders>
          </w:tcPr>
          <w:p w14:paraId="7A99914C" w14:textId="7B49B50E" w:rsidR="00FA53C2" w:rsidRDefault="00F2128A" w:rsidP="003E0A38">
            <w:pPr>
              <w:jc w:val="center"/>
            </w:pPr>
            <w:r>
              <w:t xml:space="preserve"> </w:t>
            </w:r>
            <w:r w:rsidR="007C355E">
              <w:t xml:space="preserve"> </w:t>
            </w:r>
            <w:r w:rsidR="00FA53C2">
              <w:t>7.7</w:t>
            </w:r>
          </w:p>
        </w:tc>
        <w:tc>
          <w:tcPr>
            <w:tcW w:w="1376" w:type="dxa"/>
            <w:tcBorders>
              <w:top w:val="nil"/>
              <w:left w:val="nil"/>
              <w:bottom w:val="nil"/>
              <w:right w:val="nil"/>
            </w:tcBorders>
          </w:tcPr>
          <w:p w14:paraId="7067F922" w14:textId="77777777" w:rsidR="00FA53C2" w:rsidRDefault="00FA53C2" w:rsidP="003E0A38">
            <w:pPr>
              <w:jc w:val="center"/>
            </w:pPr>
            <w:r>
              <w:t>14.0</w:t>
            </w:r>
          </w:p>
        </w:tc>
        <w:tc>
          <w:tcPr>
            <w:tcW w:w="1375" w:type="dxa"/>
            <w:tcBorders>
              <w:top w:val="nil"/>
              <w:left w:val="nil"/>
              <w:bottom w:val="nil"/>
              <w:right w:val="nil"/>
            </w:tcBorders>
          </w:tcPr>
          <w:p w14:paraId="5FCD762D" w14:textId="77777777" w:rsidR="00FA53C2" w:rsidRDefault="00FA53C2" w:rsidP="003E0A38">
            <w:pPr>
              <w:jc w:val="center"/>
            </w:pPr>
            <w:r>
              <w:t>18.0</w:t>
            </w:r>
          </w:p>
        </w:tc>
        <w:tc>
          <w:tcPr>
            <w:tcW w:w="1376" w:type="dxa"/>
            <w:tcBorders>
              <w:top w:val="nil"/>
              <w:left w:val="nil"/>
              <w:bottom w:val="nil"/>
              <w:right w:val="nil"/>
            </w:tcBorders>
          </w:tcPr>
          <w:p w14:paraId="683B7AAE" w14:textId="77777777" w:rsidR="00FA53C2" w:rsidRDefault="00FA53C2" w:rsidP="003E0A38">
            <w:pPr>
              <w:jc w:val="center"/>
            </w:pPr>
            <w:r>
              <w:t>18.9</w:t>
            </w:r>
          </w:p>
        </w:tc>
        <w:tc>
          <w:tcPr>
            <w:tcW w:w="1376" w:type="dxa"/>
            <w:tcBorders>
              <w:top w:val="nil"/>
              <w:left w:val="nil"/>
              <w:bottom w:val="nil"/>
              <w:right w:val="nil"/>
            </w:tcBorders>
          </w:tcPr>
          <w:p w14:paraId="4CDE5959" w14:textId="77777777" w:rsidR="00FA53C2" w:rsidRDefault="00FA53C2" w:rsidP="003E0A38">
            <w:pPr>
              <w:jc w:val="center"/>
            </w:pPr>
            <w:r>
              <w:t>16.2</w:t>
            </w:r>
          </w:p>
        </w:tc>
        <w:tc>
          <w:tcPr>
            <w:tcW w:w="1376" w:type="dxa"/>
            <w:tcBorders>
              <w:top w:val="nil"/>
              <w:left w:val="nil"/>
              <w:bottom w:val="nil"/>
              <w:right w:val="nil"/>
            </w:tcBorders>
          </w:tcPr>
          <w:p w14:paraId="09169A01" w14:textId="77777777" w:rsidR="00FA53C2" w:rsidRDefault="00FA53C2" w:rsidP="003E0A38">
            <w:pPr>
              <w:jc w:val="center"/>
            </w:pPr>
            <w:r>
              <w:t>74.8</w:t>
            </w:r>
          </w:p>
        </w:tc>
      </w:tr>
      <w:tr w:rsidR="00FA53C2" w14:paraId="0F2B5598" w14:textId="77777777" w:rsidTr="003F3EB9">
        <w:tc>
          <w:tcPr>
            <w:tcW w:w="2520" w:type="dxa"/>
            <w:tcBorders>
              <w:top w:val="nil"/>
              <w:left w:val="nil"/>
              <w:bottom w:val="nil"/>
              <w:right w:val="nil"/>
            </w:tcBorders>
          </w:tcPr>
          <w:p w14:paraId="111F9607" w14:textId="77777777" w:rsidR="00FA53C2" w:rsidRDefault="00FA53C2" w:rsidP="00F35929">
            <w:r>
              <w:t>15. Called racist names</w:t>
            </w:r>
          </w:p>
        </w:tc>
        <w:tc>
          <w:tcPr>
            <w:tcW w:w="1375" w:type="dxa"/>
            <w:tcBorders>
              <w:top w:val="nil"/>
              <w:left w:val="nil"/>
              <w:bottom w:val="nil"/>
              <w:right w:val="nil"/>
            </w:tcBorders>
          </w:tcPr>
          <w:p w14:paraId="03CB4DD5" w14:textId="77777777" w:rsidR="00FA53C2" w:rsidRDefault="00FA53C2" w:rsidP="003E0A38">
            <w:pPr>
              <w:jc w:val="center"/>
            </w:pPr>
            <w:r>
              <w:t>23.9</w:t>
            </w:r>
          </w:p>
        </w:tc>
        <w:tc>
          <w:tcPr>
            <w:tcW w:w="1376" w:type="dxa"/>
            <w:tcBorders>
              <w:top w:val="nil"/>
              <w:left w:val="nil"/>
              <w:bottom w:val="nil"/>
              <w:right w:val="nil"/>
            </w:tcBorders>
          </w:tcPr>
          <w:p w14:paraId="29759C34" w14:textId="55B3E6E0" w:rsidR="00FA53C2" w:rsidRDefault="00F2128A" w:rsidP="003E0A38">
            <w:pPr>
              <w:jc w:val="center"/>
            </w:pPr>
            <w:r>
              <w:t xml:space="preserve"> </w:t>
            </w:r>
            <w:r w:rsidR="007C355E">
              <w:t xml:space="preserve"> </w:t>
            </w:r>
            <w:r w:rsidR="00FA53C2">
              <w:t>8.6</w:t>
            </w:r>
          </w:p>
        </w:tc>
        <w:tc>
          <w:tcPr>
            <w:tcW w:w="1376" w:type="dxa"/>
            <w:tcBorders>
              <w:top w:val="nil"/>
              <w:left w:val="nil"/>
              <w:bottom w:val="nil"/>
              <w:right w:val="nil"/>
            </w:tcBorders>
          </w:tcPr>
          <w:p w14:paraId="1FF636BB" w14:textId="77777777" w:rsidR="00FA53C2" w:rsidRDefault="00FA53C2" w:rsidP="003E0A38">
            <w:pPr>
              <w:jc w:val="center"/>
            </w:pPr>
            <w:r>
              <w:t>10.4</w:t>
            </w:r>
          </w:p>
        </w:tc>
        <w:tc>
          <w:tcPr>
            <w:tcW w:w="1375" w:type="dxa"/>
            <w:tcBorders>
              <w:top w:val="nil"/>
              <w:left w:val="nil"/>
              <w:bottom w:val="nil"/>
              <w:right w:val="nil"/>
            </w:tcBorders>
          </w:tcPr>
          <w:p w14:paraId="439E747B" w14:textId="77777777" w:rsidR="00FA53C2" w:rsidRDefault="00FA53C2" w:rsidP="003E0A38">
            <w:pPr>
              <w:jc w:val="center"/>
            </w:pPr>
            <w:r>
              <w:t>21.6</w:t>
            </w:r>
          </w:p>
        </w:tc>
        <w:tc>
          <w:tcPr>
            <w:tcW w:w="1376" w:type="dxa"/>
            <w:tcBorders>
              <w:top w:val="nil"/>
              <w:left w:val="nil"/>
              <w:bottom w:val="nil"/>
              <w:right w:val="nil"/>
            </w:tcBorders>
          </w:tcPr>
          <w:p w14:paraId="30E776A4" w14:textId="77777777" w:rsidR="00FA53C2" w:rsidRDefault="00FA53C2" w:rsidP="003E0A38">
            <w:pPr>
              <w:jc w:val="center"/>
            </w:pPr>
            <w:r>
              <w:t>15.8</w:t>
            </w:r>
          </w:p>
        </w:tc>
        <w:tc>
          <w:tcPr>
            <w:tcW w:w="1376" w:type="dxa"/>
            <w:tcBorders>
              <w:top w:val="nil"/>
              <w:left w:val="nil"/>
              <w:bottom w:val="nil"/>
              <w:right w:val="nil"/>
            </w:tcBorders>
          </w:tcPr>
          <w:p w14:paraId="3ABF30E5" w14:textId="77777777" w:rsidR="00FA53C2" w:rsidRDefault="00FA53C2" w:rsidP="003E0A38">
            <w:pPr>
              <w:jc w:val="center"/>
            </w:pPr>
            <w:r>
              <w:t>19.8</w:t>
            </w:r>
          </w:p>
        </w:tc>
        <w:tc>
          <w:tcPr>
            <w:tcW w:w="1376" w:type="dxa"/>
            <w:tcBorders>
              <w:top w:val="nil"/>
              <w:left w:val="nil"/>
              <w:bottom w:val="nil"/>
              <w:right w:val="nil"/>
            </w:tcBorders>
          </w:tcPr>
          <w:p w14:paraId="53C38753" w14:textId="77777777" w:rsidR="00FA53C2" w:rsidRDefault="00FA53C2" w:rsidP="003E0A38">
            <w:pPr>
              <w:jc w:val="center"/>
            </w:pPr>
            <w:r>
              <w:t>76.1</w:t>
            </w:r>
          </w:p>
        </w:tc>
      </w:tr>
      <w:tr w:rsidR="00FA53C2" w14:paraId="63060893" w14:textId="77777777" w:rsidTr="003F3EB9">
        <w:tc>
          <w:tcPr>
            <w:tcW w:w="2520" w:type="dxa"/>
            <w:tcBorders>
              <w:top w:val="nil"/>
              <w:left w:val="nil"/>
              <w:bottom w:val="nil"/>
              <w:right w:val="nil"/>
            </w:tcBorders>
          </w:tcPr>
          <w:p w14:paraId="0C7F64EA" w14:textId="0981CDDE" w:rsidR="00FA53C2" w:rsidRDefault="00FA53C2" w:rsidP="00F35929">
            <w:r>
              <w:t>16. Argument/fight</w:t>
            </w:r>
          </w:p>
        </w:tc>
        <w:tc>
          <w:tcPr>
            <w:tcW w:w="1375" w:type="dxa"/>
            <w:tcBorders>
              <w:top w:val="nil"/>
              <w:left w:val="nil"/>
              <w:bottom w:val="nil"/>
              <w:right w:val="nil"/>
            </w:tcBorders>
          </w:tcPr>
          <w:p w14:paraId="0E4F1D6F" w14:textId="77777777" w:rsidR="00FA53C2" w:rsidRDefault="00FA53C2" w:rsidP="003E0A38">
            <w:pPr>
              <w:jc w:val="center"/>
            </w:pPr>
            <w:r>
              <w:t>45.9</w:t>
            </w:r>
          </w:p>
        </w:tc>
        <w:tc>
          <w:tcPr>
            <w:tcW w:w="1376" w:type="dxa"/>
            <w:tcBorders>
              <w:top w:val="nil"/>
              <w:left w:val="nil"/>
              <w:bottom w:val="nil"/>
              <w:right w:val="nil"/>
            </w:tcBorders>
          </w:tcPr>
          <w:p w14:paraId="0C28D630" w14:textId="71AD04E6" w:rsidR="00FA53C2" w:rsidRDefault="007C355E" w:rsidP="003E0A38">
            <w:pPr>
              <w:jc w:val="center"/>
            </w:pPr>
            <w:r>
              <w:t xml:space="preserve"> </w:t>
            </w:r>
            <w:r w:rsidR="00F2128A">
              <w:t xml:space="preserve"> </w:t>
            </w:r>
            <w:r w:rsidR="00FA53C2">
              <w:t>6.3</w:t>
            </w:r>
          </w:p>
        </w:tc>
        <w:tc>
          <w:tcPr>
            <w:tcW w:w="1376" w:type="dxa"/>
            <w:tcBorders>
              <w:top w:val="nil"/>
              <w:left w:val="nil"/>
              <w:bottom w:val="nil"/>
              <w:right w:val="nil"/>
            </w:tcBorders>
          </w:tcPr>
          <w:p w14:paraId="15AD9F05" w14:textId="00935B28" w:rsidR="00FA53C2" w:rsidRDefault="00F2128A" w:rsidP="003E0A38">
            <w:pPr>
              <w:jc w:val="center"/>
            </w:pPr>
            <w:r>
              <w:t xml:space="preserve"> </w:t>
            </w:r>
            <w:r w:rsidR="00FA53C2">
              <w:t>9.0</w:t>
            </w:r>
          </w:p>
        </w:tc>
        <w:tc>
          <w:tcPr>
            <w:tcW w:w="1375" w:type="dxa"/>
            <w:tcBorders>
              <w:top w:val="nil"/>
              <w:left w:val="nil"/>
              <w:bottom w:val="nil"/>
              <w:right w:val="nil"/>
            </w:tcBorders>
          </w:tcPr>
          <w:p w14:paraId="40BA4368" w14:textId="77777777" w:rsidR="00FA53C2" w:rsidRDefault="00FA53C2" w:rsidP="003E0A38">
            <w:pPr>
              <w:jc w:val="center"/>
            </w:pPr>
            <w:r>
              <w:t>10.4</w:t>
            </w:r>
          </w:p>
        </w:tc>
        <w:tc>
          <w:tcPr>
            <w:tcW w:w="1376" w:type="dxa"/>
            <w:tcBorders>
              <w:top w:val="nil"/>
              <w:left w:val="nil"/>
              <w:bottom w:val="nil"/>
              <w:right w:val="nil"/>
            </w:tcBorders>
          </w:tcPr>
          <w:p w14:paraId="44B8B649" w14:textId="77777777" w:rsidR="00FA53C2" w:rsidRDefault="00FA53C2" w:rsidP="003E0A38">
            <w:pPr>
              <w:jc w:val="center"/>
            </w:pPr>
            <w:r>
              <w:t>12.2</w:t>
            </w:r>
          </w:p>
        </w:tc>
        <w:tc>
          <w:tcPr>
            <w:tcW w:w="1376" w:type="dxa"/>
            <w:tcBorders>
              <w:top w:val="nil"/>
              <w:left w:val="nil"/>
              <w:bottom w:val="nil"/>
              <w:right w:val="nil"/>
            </w:tcBorders>
          </w:tcPr>
          <w:p w14:paraId="7D35EFA0" w14:textId="77777777" w:rsidR="00FA53C2" w:rsidRDefault="00FA53C2" w:rsidP="003E0A38">
            <w:pPr>
              <w:jc w:val="center"/>
            </w:pPr>
            <w:r>
              <w:t>16.2</w:t>
            </w:r>
          </w:p>
        </w:tc>
        <w:tc>
          <w:tcPr>
            <w:tcW w:w="1376" w:type="dxa"/>
            <w:tcBorders>
              <w:top w:val="nil"/>
              <w:left w:val="nil"/>
              <w:bottom w:val="nil"/>
              <w:right w:val="nil"/>
            </w:tcBorders>
          </w:tcPr>
          <w:p w14:paraId="1936B68D" w14:textId="77777777" w:rsidR="00FA53C2" w:rsidRDefault="00FA53C2" w:rsidP="003E0A38">
            <w:pPr>
              <w:jc w:val="center"/>
            </w:pPr>
            <w:r>
              <w:t>54.1</w:t>
            </w:r>
          </w:p>
        </w:tc>
      </w:tr>
      <w:tr w:rsidR="00312F34" w14:paraId="40DB190E" w14:textId="77777777" w:rsidTr="003F3EB9">
        <w:trPr>
          <w:trHeight w:val="99"/>
        </w:trPr>
        <w:tc>
          <w:tcPr>
            <w:tcW w:w="2520" w:type="dxa"/>
            <w:tcBorders>
              <w:top w:val="nil"/>
              <w:left w:val="nil"/>
              <w:bottom w:val="single" w:sz="4" w:space="0" w:color="auto"/>
              <w:right w:val="nil"/>
            </w:tcBorders>
          </w:tcPr>
          <w:p w14:paraId="7983E8EF" w14:textId="53C36955" w:rsidR="00FA53C2" w:rsidRDefault="00FA53C2" w:rsidP="00F35929">
            <w:r>
              <w:t>17. Made fun of/harmed</w:t>
            </w:r>
          </w:p>
        </w:tc>
        <w:tc>
          <w:tcPr>
            <w:tcW w:w="1375" w:type="dxa"/>
            <w:tcBorders>
              <w:top w:val="nil"/>
              <w:left w:val="nil"/>
              <w:bottom w:val="single" w:sz="4" w:space="0" w:color="auto"/>
              <w:right w:val="nil"/>
            </w:tcBorders>
          </w:tcPr>
          <w:p w14:paraId="548C0A7D" w14:textId="77777777" w:rsidR="00FA53C2" w:rsidRDefault="00FA53C2" w:rsidP="003E0A38">
            <w:pPr>
              <w:jc w:val="center"/>
            </w:pPr>
            <w:r>
              <w:t>45.9</w:t>
            </w:r>
          </w:p>
        </w:tc>
        <w:tc>
          <w:tcPr>
            <w:tcW w:w="1376" w:type="dxa"/>
            <w:tcBorders>
              <w:top w:val="nil"/>
              <w:left w:val="nil"/>
              <w:bottom w:val="single" w:sz="4" w:space="0" w:color="auto"/>
              <w:right w:val="nil"/>
            </w:tcBorders>
          </w:tcPr>
          <w:p w14:paraId="1B7B4C62" w14:textId="15A1F07B" w:rsidR="00FA53C2" w:rsidRDefault="007C355E" w:rsidP="003E0A38">
            <w:pPr>
              <w:jc w:val="center"/>
            </w:pPr>
            <w:r>
              <w:t xml:space="preserve"> </w:t>
            </w:r>
            <w:r w:rsidR="00F2128A">
              <w:t xml:space="preserve"> </w:t>
            </w:r>
            <w:r w:rsidR="00FA53C2">
              <w:t>6.3</w:t>
            </w:r>
          </w:p>
        </w:tc>
        <w:tc>
          <w:tcPr>
            <w:tcW w:w="1376" w:type="dxa"/>
            <w:tcBorders>
              <w:top w:val="nil"/>
              <w:left w:val="nil"/>
              <w:bottom w:val="single" w:sz="4" w:space="0" w:color="auto"/>
              <w:right w:val="nil"/>
            </w:tcBorders>
          </w:tcPr>
          <w:p w14:paraId="642DFF73" w14:textId="301CB10C" w:rsidR="00FA53C2" w:rsidRDefault="00F2128A" w:rsidP="003E0A38">
            <w:pPr>
              <w:jc w:val="center"/>
            </w:pPr>
            <w:r>
              <w:t xml:space="preserve"> </w:t>
            </w:r>
            <w:r w:rsidR="00FA53C2">
              <w:t>9.0</w:t>
            </w:r>
          </w:p>
        </w:tc>
        <w:tc>
          <w:tcPr>
            <w:tcW w:w="1375" w:type="dxa"/>
            <w:tcBorders>
              <w:top w:val="nil"/>
              <w:left w:val="nil"/>
              <w:bottom w:val="single" w:sz="4" w:space="0" w:color="auto"/>
              <w:right w:val="nil"/>
            </w:tcBorders>
          </w:tcPr>
          <w:p w14:paraId="53ADD34A" w14:textId="77777777" w:rsidR="00FA53C2" w:rsidRDefault="00FA53C2" w:rsidP="003E0A38">
            <w:pPr>
              <w:jc w:val="center"/>
            </w:pPr>
            <w:r>
              <w:t>10.4</w:t>
            </w:r>
          </w:p>
        </w:tc>
        <w:tc>
          <w:tcPr>
            <w:tcW w:w="1376" w:type="dxa"/>
            <w:tcBorders>
              <w:top w:val="nil"/>
              <w:left w:val="nil"/>
              <w:bottom w:val="single" w:sz="4" w:space="0" w:color="auto"/>
              <w:right w:val="nil"/>
            </w:tcBorders>
          </w:tcPr>
          <w:p w14:paraId="4E8FA908" w14:textId="77777777" w:rsidR="00FA53C2" w:rsidRDefault="00FA53C2" w:rsidP="003E0A38">
            <w:pPr>
              <w:jc w:val="center"/>
            </w:pPr>
            <w:r>
              <w:t>12.2</w:t>
            </w:r>
          </w:p>
        </w:tc>
        <w:tc>
          <w:tcPr>
            <w:tcW w:w="1376" w:type="dxa"/>
            <w:tcBorders>
              <w:top w:val="nil"/>
              <w:left w:val="nil"/>
              <w:bottom w:val="single" w:sz="4" w:space="0" w:color="auto"/>
              <w:right w:val="nil"/>
            </w:tcBorders>
          </w:tcPr>
          <w:p w14:paraId="78546800" w14:textId="77777777" w:rsidR="00FA53C2" w:rsidRDefault="00FA53C2" w:rsidP="003E0A38">
            <w:pPr>
              <w:jc w:val="center"/>
            </w:pPr>
            <w:r>
              <w:t>16.2</w:t>
            </w:r>
          </w:p>
        </w:tc>
        <w:tc>
          <w:tcPr>
            <w:tcW w:w="1376" w:type="dxa"/>
            <w:tcBorders>
              <w:top w:val="nil"/>
              <w:left w:val="nil"/>
              <w:bottom w:val="single" w:sz="4" w:space="0" w:color="auto"/>
              <w:right w:val="nil"/>
            </w:tcBorders>
          </w:tcPr>
          <w:p w14:paraId="5926CEDF" w14:textId="77777777" w:rsidR="00FA53C2" w:rsidRDefault="00FA53C2" w:rsidP="003E0A38">
            <w:pPr>
              <w:jc w:val="center"/>
            </w:pPr>
            <w:r>
              <w:t>54.1</w:t>
            </w:r>
          </w:p>
        </w:tc>
      </w:tr>
    </w:tbl>
    <w:p w14:paraId="33953650" w14:textId="0AACB7C0" w:rsidR="000C0964" w:rsidRDefault="000C0964" w:rsidP="00FA53C2">
      <w:pPr>
        <w:spacing w:line="480" w:lineRule="auto"/>
        <w:rPr>
          <w:color w:val="000000" w:themeColor="text1"/>
        </w:rPr>
      </w:pPr>
    </w:p>
    <w:p w14:paraId="0CACAD15" w14:textId="77777777" w:rsidR="003F3EB9" w:rsidRDefault="003F3EB9" w:rsidP="008F2B73">
      <w:pPr>
        <w:spacing w:line="480" w:lineRule="auto"/>
        <w:ind w:firstLine="720"/>
        <w:rPr>
          <w:color w:val="000000" w:themeColor="text1"/>
        </w:rPr>
      </w:pPr>
    </w:p>
    <w:p w14:paraId="4A671DB9" w14:textId="77777777" w:rsidR="003F3EB9" w:rsidRDefault="003F3EB9" w:rsidP="008F2B73">
      <w:pPr>
        <w:spacing w:line="480" w:lineRule="auto"/>
        <w:ind w:firstLine="720"/>
        <w:rPr>
          <w:color w:val="000000" w:themeColor="text1"/>
        </w:rPr>
      </w:pPr>
    </w:p>
    <w:p w14:paraId="4A637871" w14:textId="77777777" w:rsidR="003F3EB9" w:rsidRDefault="003F3EB9" w:rsidP="008F2B73">
      <w:pPr>
        <w:spacing w:line="480" w:lineRule="auto"/>
        <w:ind w:firstLine="720"/>
        <w:rPr>
          <w:color w:val="000000" w:themeColor="text1"/>
        </w:rPr>
        <w:sectPr w:rsidR="003F3EB9" w:rsidSect="003F3EB9">
          <w:pgSz w:w="15840" w:h="12240" w:orient="landscape"/>
          <w:pgMar w:top="1440" w:right="1440" w:bottom="1440" w:left="1440" w:header="720" w:footer="720" w:gutter="0"/>
          <w:pgNumType w:start="39"/>
          <w:cols w:space="720"/>
          <w:docGrid w:linePitch="360"/>
        </w:sectPr>
      </w:pPr>
    </w:p>
    <w:p w14:paraId="6132BBEC" w14:textId="11FDDA98" w:rsidR="008232F6" w:rsidRDefault="00FA53C2" w:rsidP="008F2B73">
      <w:pPr>
        <w:spacing w:line="480" w:lineRule="auto"/>
        <w:ind w:firstLine="720"/>
        <w:rPr>
          <w:color w:val="000000" w:themeColor="text1"/>
        </w:rPr>
      </w:pPr>
      <w:r>
        <w:rPr>
          <w:color w:val="000000" w:themeColor="text1"/>
        </w:rPr>
        <w:lastRenderedPageBreak/>
        <w:t xml:space="preserve">A </w:t>
      </w:r>
      <w:r w:rsidR="00312F34">
        <w:rPr>
          <w:color w:val="000000" w:themeColor="text1"/>
        </w:rPr>
        <w:t>Kruskal-Wallis test</w:t>
      </w:r>
      <w:r>
        <w:rPr>
          <w:color w:val="000000" w:themeColor="text1"/>
        </w:rPr>
        <w:t xml:space="preserve"> was used to compare reported </w:t>
      </w:r>
      <w:r w:rsidR="003E0A38">
        <w:rPr>
          <w:color w:val="000000" w:themeColor="text1"/>
        </w:rPr>
        <w:t xml:space="preserve">mean differences </w:t>
      </w:r>
      <w:r>
        <w:rPr>
          <w:color w:val="000000" w:themeColor="text1"/>
        </w:rPr>
        <w:t>of recent and lifetime experiences of racial discrimination across the racial/ethnic groups</w:t>
      </w:r>
      <w:r w:rsidR="00A3748F">
        <w:rPr>
          <w:color w:val="000000" w:themeColor="text1"/>
        </w:rPr>
        <w:t>.</w:t>
      </w:r>
      <w:r w:rsidR="002A5071">
        <w:rPr>
          <w:color w:val="000000" w:themeColor="text1"/>
        </w:rPr>
        <w:t xml:space="preserve"> </w:t>
      </w:r>
      <w:r w:rsidR="00A3748F">
        <w:rPr>
          <w:color w:val="000000" w:themeColor="text1"/>
        </w:rPr>
        <w:t xml:space="preserve"> Significant differences were found for recent discrimination </w:t>
      </w:r>
      <w:r w:rsidR="0059786D" w:rsidRPr="002A5071">
        <w:rPr>
          <w:color w:val="000000" w:themeColor="text1"/>
        </w:rPr>
        <w:t>(</w:t>
      </w:r>
      <w:r w:rsidR="00312F34" w:rsidRPr="002A5071">
        <w:rPr>
          <w:color w:val="000000" w:themeColor="text1"/>
        </w:rPr>
        <w:t>χ</w:t>
      </w:r>
      <w:r w:rsidR="00312F34" w:rsidRPr="002A5071">
        <w:rPr>
          <w:color w:val="000000" w:themeColor="text1"/>
          <w:vertAlign w:val="superscript"/>
        </w:rPr>
        <w:t>2</w:t>
      </w:r>
      <w:r w:rsidR="00312F34" w:rsidRPr="002A5071">
        <w:rPr>
          <w:color w:val="000000" w:themeColor="text1"/>
        </w:rPr>
        <w:t xml:space="preserve">(2) = </w:t>
      </w:r>
      <w:r w:rsidR="002A5071" w:rsidRPr="002A5071">
        <w:rPr>
          <w:color w:val="000000" w:themeColor="text1"/>
        </w:rPr>
        <w:t>6.68</w:t>
      </w:r>
      <w:r w:rsidR="00312F34" w:rsidRPr="002A5071">
        <w:rPr>
          <w:color w:val="000000" w:themeColor="text1"/>
        </w:rPr>
        <w:t>,</w:t>
      </w:r>
      <w:r w:rsidR="00312F34" w:rsidRPr="00F2128A">
        <w:rPr>
          <w:color w:val="000000" w:themeColor="text1"/>
        </w:rPr>
        <w:t xml:space="preserve"> </w:t>
      </w:r>
      <w:r w:rsidR="00312F34">
        <w:rPr>
          <w:i/>
          <w:iCs/>
          <w:color w:val="000000" w:themeColor="text1"/>
        </w:rPr>
        <w:t>p = .</w:t>
      </w:r>
      <w:r w:rsidR="002A5071">
        <w:rPr>
          <w:color w:val="000000" w:themeColor="text1"/>
        </w:rPr>
        <w:t>035</w:t>
      </w:r>
      <w:r w:rsidR="007934BC">
        <w:rPr>
          <w:color w:val="000000" w:themeColor="text1"/>
        </w:rPr>
        <w:t>)</w:t>
      </w:r>
      <w:r w:rsidR="00312F34">
        <w:rPr>
          <w:color w:val="000000" w:themeColor="text1"/>
        </w:rPr>
        <w:t xml:space="preserve"> and </w:t>
      </w:r>
      <w:r w:rsidR="00A3748F">
        <w:rPr>
          <w:color w:val="000000" w:themeColor="text1"/>
        </w:rPr>
        <w:t xml:space="preserve">lifetime racial discrimination </w:t>
      </w:r>
      <w:r w:rsidR="007934BC" w:rsidRPr="002A5071">
        <w:rPr>
          <w:color w:val="000000" w:themeColor="text1"/>
        </w:rPr>
        <w:t>(</w:t>
      </w:r>
      <w:r w:rsidR="00312F34" w:rsidRPr="002A5071">
        <w:rPr>
          <w:color w:val="000000" w:themeColor="text1"/>
        </w:rPr>
        <w:t>χ</w:t>
      </w:r>
      <w:r w:rsidR="00312F34" w:rsidRPr="002A5071">
        <w:rPr>
          <w:color w:val="000000" w:themeColor="text1"/>
          <w:vertAlign w:val="superscript"/>
        </w:rPr>
        <w:t>2</w:t>
      </w:r>
      <w:r w:rsidR="00312F34" w:rsidRPr="002A5071">
        <w:rPr>
          <w:color w:val="000000" w:themeColor="text1"/>
        </w:rPr>
        <w:t>(</w:t>
      </w:r>
      <w:r w:rsidR="002A5071" w:rsidRPr="002A5071">
        <w:rPr>
          <w:color w:val="000000" w:themeColor="text1"/>
        </w:rPr>
        <w:t>2</w:t>
      </w:r>
      <w:r w:rsidR="00312F34" w:rsidRPr="002A5071">
        <w:rPr>
          <w:color w:val="000000" w:themeColor="text1"/>
        </w:rPr>
        <w:t xml:space="preserve">) = </w:t>
      </w:r>
      <w:r w:rsidR="002A5071" w:rsidRPr="002A5071">
        <w:rPr>
          <w:color w:val="000000" w:themeColor="text1"/>
        </w:rPr>
        <w:t>12.26</w:t>
      </w:r>
      <w:r w:rsidR="00312F34" w:rsidRPr="002A5071">
        <w:rPr>
          <w:color w:val="000000" w:themeColor="text1"/>
        </w:rPr>
        <w:t xml:space="preserve">, </w:t>
      </w:r>
      <w:r w:rsidR="00312F34">
        <w:rPr>
          <w:i/>
          <w:iCs/>
          <w:color w:val="000000" w:themeColor="text1"/>
        </w:rPr>
        <w:t>p = .</w:t>
      </w:r>
      <w:r w:rsidR="002A5071">
        <w:rPr>
          <w:color w:val="000000" w:themeColor="text1"/>
        </w:rPr>
        <w:t>002</w:t>
      </w:r>
      <w:r w:rsidR="00312F34">
        <w:rPr>
          <w:color w:val="000000" w:themeColor="text1"/>
        </w:rPr>
        <w:t>)</w:t>
      </w:r>
      <w:r w:rsidR="002A5071">
        <w:rPr>
          <w:color w:val="000000" w:themeColor="text1"/>
        </w:rPr>
        <w:t>, supporting the hypothesis that there would be differences in discrimination across the racial/ethnic groups</w:t>
      </w:r>
      <w:r w:rsidR="00312F34">
        <w:rPr>
          <w:color w:val="000000" w:themeColor="text1"/>
        </w:rPr>
        <w:t>.</w:t>
      </w:r>
      <w:r w:rsidR="006D3A60">
        <w:rPr>
          <w:color w:val="000000" w:themeColor="text1"/>
        </w:rPr>
        <w:t xml:space="preserve"> </w:t>
      </w:r>
      <w:r w:rsidR="00312F34">
        <w:rPr>
          <w:color w:val="000000" w:themeColor="text1"/>
        </w:rPr>
        <w:t>Mann-Whitney U tests</w:t>
      </w:r>
      <w:r w:rsidR="006D3A60">
        <w:rPr>
          <w:color w:val="000000" w:themeColor="text1"/>
        </w:rPr>
        <w:t xml:space="preserve"> were run to determin</w:t>
      </w:r>
      <w:r w:rsidR="00755383">
        <w:rPr>
          <w:color w:val="000000" w:themeColor="text1"/>
        </w:rPr>
        <w:t xml:space="preserve">e the nature of the </w:t>
      </w:r>
      <w:r w:rsidR="006D3A60">
        <w:rPr>
          <w:color w:val="000000" w:themeColor="text1"/>
        </w:rPr>
        <w:t>differences for lifetime and recent discrimination</w:t>
      </w:r>
      <w:r w:rsidR="00BF5BF1">
        <w:rPr>
          <w:color w:val="000000" w:themeColor="text1"/>
        </w:rPr>
        <w:t xml:space="preserve"> among the racial/ethnic groups</w:t>
      </w:r>
      <w:r w:rsidR="00F2128A">
        <w:rPr>
          <w:color w:val="000000" w:themeColor="text1"/>
        </w:rPr>
        <w:t>, and the Bonferroni adjustment was used to reduce the risk of type I errors (</w:t>
      </w:r>
      <w:r w:rsidR="00F2128A">
        <w:rPr>
          <w:i/>
          <w:iCs/>
          <w:color w:val="000000" w:themeColor="text1"/>
        </w:rPr>
        <w:t xml:space="preserve">p </w:t>
      </w:r>
      <w:r w:rsidR="00F2128A">
        <w:rPr>
          <w:color w:val="000000" w:themeColor="text1"/>
        </w:rPr>
        <w:t>&lt; .017)</w:t>
      </w:r>
      <w:r w:rsidR="00BF5BF1">
        <w:rPr>
          <w:color w:val="000000" w:themeColor="text1"/>
        </w:rPr>
        <w:t xml:space="preserve">. </w:t>
      </w:r>
      <w:r w:rsidR="00312F34">
        <w:rPr>
          <w:color w:val="000000" w:themeColor="text1"/>
        </w:rPr>
        <w:t>Although there were no significant differences in reported lifetime discriminatory events between American Indians</w:t>
      </w:r>
      <w:r w:rsidR="007C355E">
        <w:rPr>
          <w:color w:val="000000" w:themeColor="text1"/>
        </w:rPr>
        <w:t xml:space="preserve"> (</w:t>
      </w:r>
      <w:proofErr w:type="spellStart"/>
      <w:r w:rsidR="007C355E">
        <w:rPr>
          <w:i/>
          <w:iCs/>
          <w:color w:val="000000" w:themeColor="text1"/>
        </w:rPr>
        <w:t>Mdn</w:t>
      </w:r>
      <w:proofErr w:type="spellEnd"/>
      <w:r w:rsidR="007C355E">
        <w:rPr>
          <w:color w:val="000000" w:themeColor="text1"/>
        </w:rPr>
        <w:t xml:space="preserve"> = 41.00)</w:t>
      </w:r>
      <w:r w:rsidR="00312F34">
        <w:rPr>
          <w:color w:val="000000" w:themeColor="text1"/>
        </w:rPr>
        <w:t xml:space="preserve"> and Hispanic/Latino(a)/Spanish participants (</w:t>
      </w:r>
      <w:proofErr w:type="spellStart"/>
      <w:r w:rsidR="007C355E">
        <w:rPr>
          <w:i/>
          <w:iCs/>
          <w:color w:val="000000" w:themeColor="text1"/>
        </w:rPr>
        <w:t>Mdn</w:t>
      </w:r>
      <w:proofErr w:type="spellEnd"/>
      <w:r w:rsidR="007C355E">
        <w:rPr>
          <w:i/>
          <w:iCs/>
          <w:color w:val="000000" w:themeColor="text1"/>
        </w:rPr>
        <w:t xml:space="preserve"> </w:t>
      </w:r>
      <w:r w:rsidR="007C355E">
        <w:rPr>
          <w:color w:val="000000" w:themeColor="text1"/>
        </w:rPr>
        <w:t xml:space="preserve">= 39.00, </w:t>
      </w:r>
      <w:r w:rsidR="00312F34">
        <w:rPr>
          <w:i/>
          <w:iCs/>
          <w:color w:val="000000" w:themeColor="text1"/>
        </w:rPr>
        <w:t xml:space="preserve">U </w:t>
      </w:r>
      <w:r w:rsidR="00312F34">
        <w:rPr>
          <w:color w:val="000000" w:themeColor="text1"/>
        </w:rPr>
        <w:t xml:space="preserve"> = </w:t>
      </w:r>
      <w:r w:rsidR="002A5071">
        <w:rPr>
          <w:color w:val="000000" w:themeColor="text1"/>
        </w:rPr>
        <w:t>1857.50</w:t>
      </w:r>
      <w:r w:rsidR="00312F34">
        <w:rPr>
          <w:color w:val="000000" w:themeColor="text1"/>
        </w:rPr>
        <w:t xml:space="preserve">, </w:t>
      </w:r>
      <w:r w:rsidR="00312F34">
        <w:rPr>
          <w:i/>
          <w:iCs/>
          <w:color w:val="000000" w:themeColor="text1"/>
        </w:rPr>
        <w:t>p</w:t>
      </w:r>
      <w:r w:rsidR="00312F34">
        <w:rPr>
          <w:color w:val="000000" w:themeColor="text1"/>
        </w:rPr>
        <w:t xml:space="preserve"> = </w:t>
      </w:r>
      <w:r w:rsidR="002A5071">
        <w:rPr>
          <w:color w:val="000000" w:themeColor="text1"/>
        </w:rPr>
        <w:t>.869</w:t>
      </w:r>
      <w:r w:rsidR="00312F34">
        <w:rPr>
          <w:color w:val="000000" w:themeColor="text1"/>
        </w:rPr>
        <w:t>), African Americans/Blacks (</w:t>
      </w:r>
      <w:proofErr w:type="spellStart"/>
      <w:r w:rsidR="00312F34">
        <w:rPr>
          <w:i/>
          <w:iCs/>
          <w:color w:val="000000" w:themeColor="text1"/>
        </w:rPr>
        <w:t>Mdn</w:t>
      </w:r>
      <w:proofErr w:type="spellEnd"/>
      <w:r w:rsidR="00312F34">
        <w:rPr>
          <w:color w:val="000000" w:themeColor="text1"/>
        </w:rPr>
        <w:t xml:space="preserve"> = </w:t>
      </w:r>
      <w:r w:rsidR="007C355E">
        <w:rPr>
          <w:color w:val="000000" w:themeColor="text1"/>
        </w:rPr>
        <w:t>49.00</w:t>
      </w:r>
      <w:r w:rsidR="00312F34">
        <w:rPr>
          <w:color w:val="000000" w:themeColor="text1"/>
        </w:rPr>
        <w:t>) experienced significantly higher amounts of lifetime encounters of discrimination compared to both American Indians (</w:t>
      </w:r>
      <w:proofErr w:type="spellStart"/>
      <w:r w:rsidR="00312F34">
        <w:rPr>
          <w:i/>
          <w:iCs/>
          <w:color w:val="000000" w:themeColor="text1"/>
        </w:rPr>
        <w:t>Mdn</w:t>
      </w:r>
      <w:proofErr w:type="spellEnd"/>
      <w:r w:rsidR="00312F34">
        <w:rPr>
          <w:i/>
          <w:iCs/>
          <w:color w:val="000000" w:themeColor="text1"/>
        </w:rPr>
        <w:t xml:space="preserve"> </w:t>
      </w:r>
      <w:r w:rsidR="00312F34">
        <w:rPr>
          <w:color w:val="000000" w:themeColor="text1"/>
        </w:rPr>
        <w:t xml:space="preserve">= </w:t>
      </w:r>
      <w:r w:rsidR="007C355E">
        <w:rPr>
          <w:color w:val="000000" w:themeColor="text1"/>
        </w:rPr>
        <w:t>41.00</w:t>
      </w:r>
      <w:r w:rsidR="00312F34">
        <w:rPr>
          <w:color w:val="000000" w:themeColor="text1"/>
        </w:rPr>
        <w:t xml:space="preserve">, </w:t>
      </w:r>
      <w:r w:rsidR="00312F34">
        <w:rPr>
          <w:i/>
          <w:iCs/>
          <w:color w:val="000000" w:themeColor="text1"/>
        </w:rPr>
        <w:t xml:space="preserve">U </w:t>
      </w:r>
      <w:r w:rsidR="00312F34">
        <w:rPr>
          <w:color w:val="000000" w:themeColor="text1"/>
        </w:rPr>
        <w:t xml:space="preserve">= </w:t>
      </w:r>
      <w:r w:rsidR="002A5071">
        <w:rPr>
          <w:color w:val="000000" w:themeColor="text1"/>
        </w:rPr>
        <w:t>2204.50</w:t>
      </w:r>
      <w:r w:rsidR="00312F34">
        <w:rPr>
          <w:color w:val="000000" w:themeColor="text1"/>
        </w:rPr>
        <w:t xml:space="preserve">, </w:t>
      </w:r>
      <w:r w:rsidR="00312F34">
        <w:rPr>
          <w:i/>
          <w:iCs/>
          <w:color w:val="000000" w:themeColor="text1"/>
        </w:rPr>
        <w:t>p</w:t>
      </w:r>
      <w:r w:rsidR="00312F34">
        <w:rPr>
          <w:color w:val="000000" w:themeColor="text1"/>
        </w:rPr>
        <w:t xml:space="preserve"> = </w:t>
      </w:r>
      <w:r w:rsidR="002A5071">
        <w:rPr>
          <w:color w:val="000000" w:themeColor="text1"/>
        </w:rPr>
        <w:t>.007</w:t>
      </w:r>
      <w:r w:rsidR="00312F34">
        <w:rPr>
          <w:color w:val="000000" w:themeColor="text1"/>
        </w:rPr>
        <w:t>) and Hispanic/Latino(a)/Spanish Americans (</w:t>
      </w:r>
      <w:proofErr w:type="spellStart"/>
      <w:r w:rsidR="00312F34">
        <w:rPr>
          <w:i/>
          <w:iCs/>
          <w:color w:val="000000" w:themeColor="text1"/>
        </w:rPr>
        <w:t>Mdn</w:t>
      </w:r>
      <w:proofErr w:type="spellEnd"/>
      <w:r w:rsidR="00312F34">
        <w:rPr>
          <w:i/>
          <w:iCs/>
          <w:color w:val="000000" w:themeColor="text1"/>
        </w:rPr>
        <w:t xml:space="preserve"> </w:t>
      </w:r>
      <w:r w:rsidR="00312F34">
        <w:rPr>
          <w:color w:val="000000" w:themeColor="text1"/>
        </w:rPr>
        <w:t xml:space="preserve">= </w:t>
      </w:r>
      <w:r w:rsidR="007C355E">
        <w:rPr>
          <w:color w:val="000000" w:themeColor="text1"/>
        </w:rPr>
        <w:t>39.00</w:t>
      </w:r>
      <w:r w:rsidR="00312F34">
        <w:rPr>
          <w:color w:val="000000" w:themeColor="text1"/>
        </w:rPr>
        <w:t xml:space="preserve">, </w:t>
      </w:r>
      <w:r w:rsidR="00312F34">
        <w:rPr>
          <w:i/>
          <w:iCs/>
          <w:color w:val="000000" w:themeColor="text1"/>
        </w:rPr>
        <w:t xml:space="preserve">U </w:t>
      </w:r>
      <w:r w:rsidR="00312F34">
        <w:rPr>
          <w:color w:val="000000" w:themeColor="text1"/>
        </w:rPr>
        <w:t xml:space="preserve">= </w:t>
      </w:r>
      <w:r w:rsidR="002A5071">
        <w:rPr>
          <w:color w:val="000000" w:themeColor="text1"/>
        </w:rPr>
        <w:t>2222.00,</w:t>
      </w:r>
      <w:r w:rsidR="00312F34">
        <w:rPr>
          <w:color w:val="000000" w:themeColor="text1"/>
        </w:rPr>
        <w:t xml:space="preserve"> </w:t>
      </w:r>
      <w:r w:rsidR="00312F34">
        <w:rPr>
          <w:i/>
          <w:iCs/>
          <w:color w:val="000000" w:themeColor="text1"/>
        </w:rPr>
        <w:t>p = .</w:t>
      </w:r>
      <w:r w:rsidR="002A5071">
        <w:rPr>
          <w:color w:val="000000" w:themeColor="text1"/>
        </w:rPr>
        <w:t>002</w:t>
      </w:r>
      <w:r w:rsidR="00312F34">
        <w:rPr>
          <w:color w:val="000000" w:themeColor="text1"/>
        </w:rPr>
        <w:t>). African American</w:t>
      </w:r>
      <w:r w:rsidR="002A5071">
        <w:rPr>
          <w:color w:val="000000" w:themeColor="text1"/>
        </w:rPr>
        <w:t>/Black</w:t>
      </w:r>
      <w:r w:rsidR="00312F34">
        <w:rPr>
          <w:color w:val="000000" w:themeColor="text1"/>
        </w:rPr>
        <w:t xml:space="preserve"> participants also reported higher amounts of discrimination over the past year (</w:t>
      </w:r>
      <w:proofErr w:type="spellStart"/>
      <w:r w:rsidR="00312F34">
        <w:rPr>
          <w:i/>
          <w:iCs/>
          <w:color w:val="000000" w:themeColor="text1"/>
        </w:rPr>
        <w:t>Mdn</w:t>
      </w:r>
      <w:proofErr w:type="spellEnd"/>
      <w:r w:rsidR="00312F34">
        <w:rPr>
          <w:color w:val="000000" w:themeColor="text1"/>
        </w:rPr>
        <w:t xml:space="preserve"> = </w:t>
      </w:r>
      <w:r w:rsidR="007C355E">
        <w:rPr>
          <w:color w:val="000000" w:themeColor="text1"/>
        </w:rPr>
        <w:t>36.00</w:t>
      </w:r>
      <w:r w:rsidR="00312F34">
        <w:rPr>
          <w:color w:val="000000" w:themeColor="text1"/>
        </w:rPr>
        <w:t>) compared to Hispanic/Latino(a)/Spanish American participants (</w:t>
      </w:r>
      <w:proofErr w:type="spellStart"/>
      <w:r w:rsidR="00312F34">
        <w:rPr>
          <w:i/>
          <w:iCs/>
          <w:color w:val="000000" w:themeColor="text1"/>
        </w:rPr>
        <w:t>Mdn</w:t>
      </w:r>
      <w:proofErr w:type="spellEnd"/>
      <w:r w:rsidR="00312F34">
        <w:rPr>
          <w:color w:val="000000" w:themeColor="text1"/>
        </w:rPr>
        <w:t xml:space="preserve"> = </w:t>
      </w:r>
      <w:r w:rsidR="007C355E">
        <w:rPr>
          <w:color w:val="000000" w:themeColor="text1"/>
        </w:rPr>
        <w:t>31.00</w:t>
      </w:r>
      <w:r w:rsidR="00312F34">
        <w:rPr>
          <w:color w:val="000000" w:themeColor="text1"/>
        </w:rPr>
        <w:t xml:space="preserve">, </w:t>
      </w:r>
      <w:r w:rsidR="00312F34">
        <w:rPr>
          <w:i/>
          <w:iCs/>
          <w:color w:val="000000" w:themeColor="text1"/>
        </w:rPr>
        <w:t xml:space="preserve">U </w:t>
      </w:r>
      <w:r w:rsidR="00312F34">
        <w:rPr>
          <w:color w:val="000000" w:themeColor="text1"/>
        </w:rPr>
        <w:t xml:space="preserve">= </w:t>
      </w:r>
      <w:r w:rsidR="002A5071">
        <w:rPr>
          <w:color w:val="000000" w:themeColor="text1"/>
        </w:rPr>
        <w:t>2400.50</w:t>
      </w:r>
      <w:r w:rsidR="00312F34">
        <w:rPr>
          <w:color w:val="000000" w:themeColor="text1"/>
        </w:rPr>
        <w:t xml:space="preserve">, </w:t>
      </w:r>
      <w:r w:rsidR="00312F34">
        <w:rPr>
          <w:i/>
          <w:iCs/>
          <w:color w:val="000000" w:themeColor="text1"/>
        </w:rPr>
        <w:t xml:space="preserve">p </w:t>
      </w:r>
      <w:r w:rsidR="00312F34">
        <w:rPr>
          <w:color w:val="000000" w:themeColor="text1"/>
        </w:rPr>
        <w:t xml:space="preserve">= </w:t>
      </w:r>
      <w:r w:rsidR="002A5071">
        <w:rPr>
          <w:color w:val="000000" w:themeColor="text1"/>
        </w:rPr>
        <w:t>.014</w:t>
      </w:r>
      <w:r w:rsidR="00312F34">
        <w:rPr>
          <w:color w:val="000000" w:themeColor="text1"/>
        </w:rPr>
        <w:t>); however, there were no significant differences of recent discrimination between American Indians and African American participants (</w:t>
      </w:r>
      <w:r w:rsidR="00312F34">
        <w:rPr>
          <w:i/>
          <w:iCs/>
          <w:color w:val="000000" w:themeColor="text1"/>
        </w:rPr>
        <w:t xml:space="preserve">U </w:t>
      </w:r>
      <w:r w:rsidR="00312F34">
        <w:rPr>
          <w:color w:val="000000" w:themeColor="text1"/>
        </w:rPr>
        <w:t xml:space="preserve">= </w:t>
      </w:r>
      <w:r w:rsidR="002A5071">
        <w:rPr>
          <w:color w:val="000000" w:themeColor="text1"/>
        </w:rPr>
        <w:t>2517.50</w:t>
      </w:r>
      <w:r w:rsidR="00312F34">
        <w:rPr>
          <w:color w:val="000000" w:themeColor="text1"/>
        </w:rPr>
        <w:t xml:space="preserve">, </w:t>
      </w:r>
      <w:r w:rsidR="00312F34">
        <w:rPr>
          <w:i/>
          <w:iCs/>
          <w:color w:val="000000" w:themeColor="text1"/>
        </w:rPr>
        <w:t>p = .</w:t>
      </w:r>
      <w:r w:rsidR="002A5071">
        <w:rPr>
          <w:color w:val="000000" w:themeColor="text1"/>
        </w:rPr>
        <w:t>108</w:t>
      </w:r>
      <w:r w:rsidR="00312F34">
        <w:rPr>
          <w:color w:val="000000" w:themeColor="text1"/>
        </w:rPr>
        <w:t>) and between American Indians and Hispanic/Latino(a)/Spanish participants (</w:t>
      </w:r>
      <w:r w:rsidR="00312F34">
        <w:rPr>
          <w:i/>
          <w:iCs/>
          <w:color w:val="000000" w:themeColor="text1"/>
        </w:rPr>
        <w:t xml:space="preserve">U </w:t>
      </w:r>
      <w:r w:rsidR="00312F34">
        <w:rPr>
          <w:color w:val="000000" w:themeColor="text1"/>
        </w:rPr>
        <w:t xml:space="preserve">= </w:t>
      </w:r>
      <w:r w:rsidR="002A5071">
        <w:rPr>
          <w:color w:val="000000" w:themeColor="text1"/>
        </w:rPr>
        <w:t>1728.00</w:t>
      </w:r>
      <w:r w:rsidR="00312F34">
        <w:rPr>
          <w:color w:val="000000" w:themeColor="text1"/>
        </w:rPr>
        <w:t xml:space="preserve">, </w:t>
      </w:r>
      <w:r w:rsidR="00312F34">
        <w:rPr>
          <w:i/>
          <w:iCs/>
          <w:color w:val="000000" w:themeColor="text1"/>
        </w:rPr>
        <w:t xml:space="preserve">p </w:t>
      </w:r>
      <w:r w:rsidR="00312F34">
        <w:rPr>
          <w:color w:val="000000" w:themeColor="text1"/>
        </w:rPr>
        <w:t xml:space="preserve">= </w:t>
      </w:r>
      <w:r w:rsidR="002A5071">
        <w:rPr>
          <w:color w:val="000000" w:themeColor="text1"/>
        </w:rPr>
        <w:t>.412</w:t>
      </w:r>
      <w:r w:rsidR="00312F34">
        <w:rPr>
          <w:color w:val="000000" w:themeColor="text1"/>
        </w:rPr>
        <w:t xml:space="preserve">). </w:t>
      </w:r>
    </w:p>
    <w:p w14:paraId="2DC81179" w14:textId="193649F2" w:rsidR="007404D1" w:rsidRPr="002A5071" w:rsidRDefault="008649BA" w:rsidP="00312F34">
      <w:pPr>
        <w:spacing w:line="480" w:lineRule="auto"/>
        <w:ind w:firstLine="720"/>
        <w:rPr>
          <w:color w:val="000000" w:themeColor="text1"/>
        </w:rPr>
      </w:pPr>
      <w:r>
        <w:rPr>
          <w:color w:val="000000" w:themeColor="text1"/>
        </w:rPr>
        <w:t>A</w:t>
      </w:r>
      <w:r w:rsidR="00FA53C2">
        <w:rPr>
          <w:color w:val="000000" w:themeColor="text1"/>
        </w:rPr>
        <w:t xml:space="preserve"> Kruskal-Wallis test was </w:t>
      </w:r>
      <w:r w:rsidR="00312F34">
        <w:rPr>
          <w:color w:val="000000" w:themeColor="text1"/>
        </w:rPr>
        <w:t xml:space="preserve">also </w:t>
      </w:r>
      <w:r w:rsidR="00FA53C2">
        <w:rPr>
          <w:color w:val="000000" w:themeColor="text1"/>
        </w:rPr>
        <w:t>used to compare how stressful racial/ethnic minority groups appraised these events</w:t>
      </w:r>
      <w:r w:rsidR="00312F34">
        <w:rPr>
          <w:color w:val="000000" w:themeColor="text1"/>
        </w:rPr>
        <w:t>, and there was a significant difference observed in discriminatory stress between racial/ethnic groups (</w:t>
      </w:r>
      <w:r w:rsidR="00312F34" w:rsidRPr="002A5071">
        <w:rPr>
          <w:color w:val="000000" w:themeColor="text1"/>
        </w:rPr>
        <w:t>χ</w:t>
      </w:r>
      <w:r w:rsidR="00312F34" w:rsidRPr="002A5071">
        <w:rPr>
          <w:color w:val="000000" w:themeColor="text1"/>
          <w:vertAlign w:val="superscript"/>
        </w:rPr>
        <w:t>2</w:t>
      </w:r>
      <w:r w:rsidR="00312F34" w:rsidRPr="002A5071">
        <w:rPr>
          <w:color w:val="000000" w:themeColor="text1"/>
        </w:rPr>
        <w:t xml:space="preserve">(2) = </w:t>
      </w:r>
      <w:r w:rsidR="002A5071" w:rsidRPr="002A5071">
        <w:rPr>
          <w:color w:val="000000" w:themeColor="text1"/>
        </w:rPr>
        <w:t>10.50</w:t>
      </w:r>
      <w:r w:rsidR="00312F34" w:rsidRPr="002A5071">
        <w:rPr>
          <w:color w:val="000000" w:themeColor="text1"/>
        </w:rPr>
        <w:t>, </w:t>
      </w:r>
      <w:r w:rsidR="00312F34" w:rsidRPr="002A5071">
        <w:rPr>
          <w:i/>
          <w:iCs/>
          <w:color w:val="000000" w:themeColor="text1"/>
        </w:rPr>
        <w:t>p</w:t>
      </w:r>
      <w:r w:rsidR="00312F34" w:rsidRPr="002A5071">
        <w:rPr>
          <w:color w:val="000000" w:themeColor="text1"/>
        </w:rPr>
        <w:t> = 0.0</w:t>
      </w:r>
      <w:r w:rsidR="002A5071" w:rsidRPr="002A5071">
        <w:rPr>
          <w:color w:val="000000" w:themeColor="text1"/>
        </w:rPr>
        <w:t>05</w:t>
      </w:r>
      <w:r w:rsidR="00312F34">
        <w:rPr>
          <w:color w:val="000000" w:themeColor="text1"/>
        </w:rPr>
        <w:t xml:space="preserve">).  </w:t>
      </w:r>
      <w:r w:rsidR="00B7310D">
        <w:rPr>
          <w:color w:val="000000" w:themeColor="text1"/>
        </w:rPr>
        <w:t>To determine the differences in apprais</w:t>
      </w:r>
      <w:r w:rsidR="00BE671E">
        <w:rPr>
          <w:color w:val="000000" w:themeColor="text1"/>
        </w:rPr>
        <w:t>ed stressfulness</w:t>
      </w:r>
      <w:r w:rsidR="00B7310D">
        <w:rPr>
          <w:color w:val="000000" w:themeColor="text1"/>
        </w:rPr>
        <w:t xml:space="preserve"> of these experiences</w:t>
      </w:r>
      <w:r w:rsidR="00BE671E">
        <w:rPr>
          <w:color w:val="000000" w:themeColor="text1"/>
        </w:rPr>
        <w:t xml:space="preserve">, </w:t>
      </w:r>
      <w:r w:rsidR="00FA53C2">
        <w:rPr>
          <w:color w:val="000000" w:themeColor="text1"/>
        </w:rPr>
        <w:t>a series of Mann-Whitney U tests were used</w:t>
      </w:r>
      <w:r w:rsidR="00BE671E">
        <w:rPr>
          <w:color w:val="000000" w:themeColor="text1"/>
        </w:rPr>
        <w:t xml:space="preserve">. </w:t>
      </w:r>
      <w:r w:rsidR="00312F34">
        <w:rPr>
          <w:color w:val="000000" w:themeColor="text1"/>
        </w:rPr>
        <w:t>African Americans/Blacks (</w:t>
      </w:r>
      <w:proofErr w:type="spellStart"/>
      <w:r w:rsidR="00312F34">
        <w:rPr>
          <w:i/>
          <w:iCs/>
          <w:color w:val="000000" w:themeColor="text1"/>
        </w:rPr>
        <w:t>Mdn</w:t>
      </w:r>
      <w:proofErr w:type="spellEnd"/>
      <w:r w:rsidR="00312F34">
        <w:rPr>
          <w:color w:val="000000" w:themeColor="text1"/>
        </w:rPr>
        <w:t xml:space="preserve"> = 66.00) appraised these experiences to be significantly more </w:t>
      </w:r>
      <w:r w:rsidR="00312F34">
        <w:rPr>
          <w:color w:val="000000" w:themeColor="text1"/>
        </w:rPr>
        <w:lastRenderedPageBreak/>
        <w:t>stressful than American Indians (</w:t>
      </w:r>
      <w:proofErr w:type="spellStart"/>
      <w:r w:rsidR="00312F34">
        <w:rPr>
          <w:i/>
          <w:iCs/>
          <w:color w:val="000000" w:themeColor="text1"/>
        </w:rPr>
        <w:t>Mdn</w:t>
      </w:r>
      <w:proofErr w:type="spellEnd"/>
      <w:r w:rsidR="00312F34">
        <w:rPr>
          <w:color w:val="000000" w:themeColor="text1"/>
        </w:rPr>
        <w:t xml:space="preserve"> = 41.00, </w:t>
      </w:r>
      <w:r w:rsidR="00312F34">
        <w:rPr>
          <w:i/>
          <w:iCs/>
          <w:color w:val="000000" w:themeColor="text1"/>
        </w:rPr>
        <w:t>U</w:t>
      </w:r>
      <w:r w:rsidR="00312F34">
        <w:rPr>
          <w:color w:val="000000" w:themeColor="text1"/>
        </w:rPr>
        <w:t xml:space="preserve"> = 2204.50, </w:t>
      </w:r>
      <w:r w:rsidR="00312F34">
        <w:rPr>
          <w:i/>
          <w:iCs/>
          <w:color w:val="000000" w:themeColor="text1"/>
        </w:rPr>
        <w:t>p = .</w:t>
      </w:r>
      <w:r w:rsidR="00312F34">
        <w:rPr>
          <w:color w:val="000000" w:themeColor="text1"/>
        </w:rPr>
        <w:t>007</w:t>
      </w:r>
      <w:r w:rsidR="001F5EE7">
        <w:rPr>
          <w:color w:val="000000" w:themeColor="text1"/>
        </w:rPr>
        <w:t>)</w:t>
      </w:r>
      <w:r w:rsidR="00312F34">
        <w:rPr>
          <w:color w:val="000000" w:themeColor="text1"/>
        </w:rPr>
        <w:t xml:space="preserve"> and Hispanic/Latino(a)/Spanish Americans (</w:t>
      </w:r>
      <w:proofErr w:type="spellStart"/>
      <w:r w:rsidR="00312F34">
        <w:rPr>
          <w:i/>
          <w:iCs/>
          <w:color w:val="000000" w:themeColor="text1"/>
        </w:rPr>
        <w:t>Mdn</w:t>
      </w:r>
      <w:proofErr w:type="spellEnd"/>
      <w:r w:rsidR="00312F34">
        <w:rPr>
          <w:color w:val="000000" w:themeColor="text1"/>
        </w:rPr>
        <w:t xml:space="preserve"> = 55.00, </w:t>
      </w:r>
      <w:r w:rsidR="00312F34">
        <w:rPr>
          <w:i/>
          <w:iCs/>
          <w:color w:val="000000" w:themeColor="text1"/>
        </w:rPr>
        <w:t>U</w:t>
      </w:r>
      <w:r w:rsidR="00312F34">
        <w:rPr>
          <w:color w:val="000000" w:themeColor="text1"/>
        </w:rPr>
        <w:t xml:space="preserve"> = 2399.50, </w:t>
      </w:r>
      <w:r w:rsidR="00312F34">
        <w:rPr>
          <w:i/>
          <w:iCs/>
          <w:color w:val="000000" w:themeColor="text1"/>
        </w:rPr>
        <w:t>p = .</w:t>
      </w:r>
      <w:r w:rsidR="00312F34">
        <w:rPr>
          <w:color w:val="000000" w:themeColor="text1"/>
        </w:rPr>
        <w:t>013</w:t>
      </w:r>
      <w:r w:rsidR="001F5EE7">
        <w:rPr>
          <w:color w:val="000000" w:themeColor="text1"/>
        </w:rPr>
        <w:t>)</w:t>
      </w:r>
      <w:r w:rsidR="00312F34">
        <w:rPr>
          <w:color w:val="000000" w:themeColor="text1"/>
        </w:rPr>
        <w:t>.</w:t>
      </w:r>
      <w:r w:rsidR="002A5071">
        <w:rPr>
          <w:color w:val="000000" w:themeColor="text1"/>
        </w:rPr>
        <w:t xml:space="preserve"> However, there were no significant differences in perceived stressfulness of discriminatory events between American Indians and Hispanic/Latino(a)/Spanish participants (</w:t>
      </w:r>
      <w:r w:rsidR="002A5071">
        <w:rPr>
          <w:i/>
          <w:iCs/>
          <w:color w:val="000000" w:themeColor="text1"/>
        </w:rPr>
        <w:t>U</w:t>
      </w:r>
      <w:r w:rsidR="002A5071">
        <w:rPr>
          <w:color w:val="000000" w:themeColor="text1"/>
        </w:rPr>
        <w:t xml:space="preserve"> = 1848.50, </w:t>
      </w:r>
      <w:r w:rsidR="002A5071">
        <w:rPr>
          <w:i/>
          <w:iCs/>
          <w:color w:val="000000" w:themeColor="text1"/>
        </w:rPr>
        <w:t>p</w:t>
      </w:r>
      <w:r w:rsidR="002A5071">
        <w:rPr>
          <w:color w:val="000000" w:themeColor="text1"/>
        </w:rPr>
        <w:t xml:space="preserve"> =.834).</w:t>
      </w:r>
    </w:p>
    <w:p w14:paraId="69942B58" w14:textId="774A27DA" w:rsidR="00312F34" w:rsidRPr="00312F34" w:rsidRDefault="00FA53C2" w:rsidP="00FA53C2">
      <w:pPr>
        <w:spacing w:line="480" w:lineRule="auto"/>
        <w:rPr>
          <w:color w:val="000000" w:themeColor="text1"/>
        </w:rPr>
      </w:pPr>
      <w:r>
        <w:rPr>
          <w:color w:val="000000" w:themeColor="text1"/>
        </w:rPr>
        <w:tab/>
        <w:t>In addition to racial/ethnic differences, a number of other demographic variables were analyzed for potential differences in recent and lifetime experiences of discrimination and the perceived appraisal of these events.</w:t>
      </w:r>
      <w:r w:rsidR="00312F34">
        <w:rPr>
          <w:color w:val="000000" w:themeColor="text1"/>
        </w:rPr>
        <w:t xml:space="preserve"> It was hypothesized that there would be significant differences in discrimination between males and females. Mann-Whitney U tests were used to assess differences in reported discrimination in the past year and over one’s lifetime between males and females. There was no difference in reported lifetime discrimination between the two sexes (</w:t>
      </w:r>
      <w:r w:rsidR="00312F34">
        <w:rPr>
          <w:i/>
          <w:iCs/>
          <w:color w:val="000000" w:themeColor="text1"/>
        </w:rPr>
        <w:t xml:space="preserve">U </w:t>
      </w:r>
      <w:r w:rsidR="00312F34">
        <w:rPr>
          <w:color w:val="000000" w:themeColor="text1"/>
        </w:rPr>
        <w:t xml:space="preserve">= </w:t>
      </w:r>
      <w:r w:rsidR="00853332">
        <w:rPr>
          <w:color w:val="000000" w:themeColor="text1"/>
        </w:rPr>
        <w:t>4720.00</w:t>
      </w:r>
      <w:r w:rsidR="00312F34">
        <w:rPr>
          <w:color w:val="000000" w:themeColor="text1"/>
        </w:rPr>
        <w:t xml:space="preserve">, </w:t>
      </w:r>
      <w:r w:rsidR="00312F34">
        <w:rPr>
          <w:i/>
          <w:iCs/>
          <w:color w:val="000000" w:themeColor="text1"/>
        </w:rPr>
        <w:t xml:space="preserve">p </w:t>
      </w:r>
      <w:r w:rsidR="00312F34">
        <w:rPr>
          <w:color w:val="000000" w:themeColor="text1"/>
        </w:rPr>
        <w:t xml:space="preserve">= </w:t>
      </w:r>
      <w:r w:rsidR="00853332">
        <w:rPr>
          <w:color w:val="000000" w:themeColor="text1"/>
        </w:rPr>
        <w:t>.272</w:t>
      </w:r>
      <w:r w:rsidR="00312F34">
        <w:rPr>
          <w:color w:val="000000" w:themeColor="text1"/>
        </w:rPr>
        <w:t>). However, t</w:t>
      </w:r>
      <w:r w:rsidR="00312F34" w:rsidRPr="00312F34">
        <w:rPr>
          <w:color w:val="000000" w:themeColor="text1"/>
        </w:rPr>
        <w:t>here</w:t>
      </w:r>
      <w:r w:rsidR="00312F34">
        <w:rPr>
          <w:color w:val="000000" w:themeColor="text1"/>
        </w:rPr>
        <w:t xml:space="preserve"> was a significant difference when comparing the means of the two sex’s past year discriminatory encounters (</w:t>
      </w:r>
      <w:r w:rsidR="00312F34">
        <w:rPr>
          <w:i/>
          <w:iCs/>
          <w:color w:val="000000" w:themeColor="text1"/>
        </w:rPr>
        <w:t xml:space="preserve">U </w:t>
      </w:r>
      <w:r w:rsidR="00312F34">
        <w:rPr>
          <w:color w:val="000000" w:themeColor="text1"/>
        </w:rPr>
        <w:t xml:space="preserve">= </w:t>
      </w:r>
      <w:r w:rsidR="00853332">
        <w:rPr>
          <w:color w:val="000000" w:themeColor="text1"/>
        </w:rPr>
        <w:t>4172.50</w:t>
      </w:r>
      <w:r w:rsidR="00312F34">
        <w:rPr>
          <w:color w:val="000000" w:themeColor="text1"/>
        </w:rPr>
        <w:t xml:space="preserve">, </w:t>
      </w:r>
      <w:r w:rsidR="00312F34">
        <w:rPr>
          <w:i/>
          <w:iCs/>
          <w:color w:val="000000" w:themeColor="text1"/>
        </w:rPr>
        <w:t>p</w:t>
      </w:r>
      <w:r w:rsidR="00312F34">
        <w:rPr>
          <w:color w:val="000000" w:themeColor="text1"/>
        </w:rPr>
        <w:t xml:space="preserve"> = </w:t>
      </w:r>
      <w:r w:rsidR="00853332">
        <w:rPr>
          <w:color w:val="000000" w:themeColor="text1"/>
        </w:rPr>
        <w:t>.019</w:t>
      </w:r>
      <w:r w:rsidR="00312F34">
        <w:rPr>
          <w:color w:val="000000" w:themeColor="text1"/>
        </w:rPr>
        <w:t>). Males (</w:t>
      </w:r>
      <w:proofErr w:type="spellStart"/>
      <w:r w:rsidR="00312F34">
        <w:rPr>
          <w:i/>
          <w:iCs/>
          <w:color w:val="000000" w:themeColor="text1"/>
        </w:rPr>
        <w:t>Mdn</w:t>
      </w:r>
      <w:proofErr w:type="spellEnd"/>
      <w:r w:rsidR="00312F34">
        <w:rPr>
          <w:color w:val="000000" w:themeColor="text1"/>
        </w:rPr>
        <w:t xml:space="preserve"> = </w:t>
      </w:r>
      <w:r w:rsidR="007C355E">
        <w:rPr>
          <w:color w:val="000000" w:themeColor="text1"/>
        </w:rPr>
        <w:t>31.00</w:t>
      </w:r>
      <w:r w:rsidR="00312F34">
        <w:rPr>
          <w:color w:val="000000" w:themeColor="text1"/>
        </w:rPr>
        <w:t>) reported significantly less encounters with discrimination over the previous year compared to females (</w:t>
      </w:r>
      <w:proofErr w:type="spellStart"/>
      <w:r w:rsidR="00312F34">
        <w:rPr>
          <w:i/>
          <w:iCs/>
          <w:color w:val="000000" w:themeColor="text1"/>
        </w:rPr>
        <w:t>Mdn</w:t>
      </w:r>
      <w:proofErr w:type="spellEnd"/>
      <w:r w:rsidR="00312F34">
        <w:rPr>
          <w:color w:val="000000" w:themeColor="text1"/>
        </w:rPr>
        <w:t xml:space="preserve"> = </w:t>
      </w:r>
      <w:r w:rsidR="007C355E">
        <w:rPr>
          <w:color w:val="000000" w:themeColor="text1"/>
        </w:rPr>
        <w:t>35.00</w:t>
      </w:r>
      <w:r w:rsidR="00312F34">
        <w:rPr>
          <w:color w:val="000000" w:themeColor="text1"/>
        </w:rPr>
        <w:t xml:space="preserve">). Additionally, a Mann-Whitney U test was used to compare differences in perceived stressfulness of discrimination between males and females, but there </w:t>
      </w:r>
      <w:r w:rsidR="000F5222">
        <w:rPr>
          <w:color w:val="000000" w:themeColor="text1"/>
        </w:rPr>
        <w:t xml:space="preserve">were </w:t>
      </w:r>
      <w:r w:rsidR="00312F34">
        <w:rPr>
          <w:color w:val="000000" w:themeColor="text1"/>
        </w:rPr>
        <w:t>no significant differences observed in appraisal of discriminatory events between the sexes (</w:t>
      </w:r>
      <w:r w:rsidR="00312F34">
        <w:rPr>
          <w:i/>
          <w:iCs/>
          <w:color w:val="000000" w:themeColor="text1"/>
        </w:rPr>
        <w:t>U</w:t>
      </w:r>
      <w:r w:rsidR="00312F34">
        <w:rPr>
          <w:color w:val="000000" w:themeColor="text1"/>
        </w:rPr>
        <w:t xml:space="preserve"> = </w:t>
      </w:r>
      <w:r w:rsidR="00853332">
        <w:rPr>
          <w:color w:val="000000" w:themeColor="text1"/>
        </w:rPr>
        <w:t>4476.00</w:t>
      </w:r>
      <w:r w:rsidR="00312F34">
        <w:rPr>
          <w:color w:val="000000" w:themeColor="text1"/>
        </w:rPr>
        <w:t xml:space="preserve">, </w:t>
      </w:r>
      <w:r w:rsidR="00312F34">
        <w:rPr>
          <w:i/>
          <w:iCs/>
          <w:color w:val="000000" w:themeColor="text1"/>
        </w:rPr>
        <w:t xml:space="preserve">p </w:t>
      </w:r>
      <w:r w:rsidR="00312F34">
        <w:rPr>
          <w:color w:val="000000" w:themeColor="text1"/>
        </w:rPr>
        <w:t xml:space="preserve">= </w:t>
      </w:r>
      <w:r w:rsidR="00853332">
        <w:rPr>
          <w:color w:val="000000" w:themeColor="text1"/>
        </w:rPr>
        <w:t>.098</w:t>
      </w:r>
      <w:r w:rsidR="00312F34">
        <w:rPr>
          <w:color w:val="000000" w:themeColor="text1"/>
        </w:rPr>
        <w:t>).</w:t>
      </w:r>
    </w:p>
    <w:p w14:paraId="2D9C1B97" w14:textId="4C6B7B2A" w:rsidR="009530F8" w:rsidRDefault="00FA53C2" w:rsidP="008E2143">
      <w:pPr>
        <w:spacing w:line="480" w:lineRule="auto"/>
        <w:rPr>
          <w:color w:val="000000" w:themeColor="text1"/>
        </w:rPr>
      </w:pPr>
      <w:r>
        <w:rPr>
          <w:color w:val="000000" w:themeColor="text1"/>
        </w:rPr>
        <w:tab/>
        <w:t xml:space="preserve">For both geographic region and education </w:t>
      </w:r>
      <w:r w:rsidR="003F4A04">
        <w:rPr>
          <w:color w:val="000000" w:themeColor="text1"/>
        </w:rPr>
        <w:t>level</w:t>
      </w:r>
      <w:r>
        <w:rPr>
          <w:color w:val="000000" w:themeColor="text1"/>
        </w:rPr>
        <w:t xml:space="preserve">, </w:t>
      </w:r>
      <w:r w:rsidR="00312F34">
        <w:rPr>
          <w:color w:val="000000" w:themeColor="text1"/>
        </w:rPr>
        <w:t>Kruskal-Wallis tests</w:t>
      </w:r>
      <w:r>
        <w:rPr>
          <w:color w:val="000000" w:themeColor="text1"/>
        </w:rPr>
        <w:t xml:space="preserve"> were used to compare differences in discrimination in the past year and over one’s lifetime</w:t>
      </w:r>
      <w:r w:rsidR="00312F34">
        <w:rPr>
          <w:color w:val="000000" w:themeColor="text1"/>
        </w:rPr>
        <w:t xml:space="preserve"> and perceived stressfulness of these events.</w:t>
      </w:r>
      <w:r>
        <w:rPr>
          <w:color w:val="000000" w:themeColor="text1"/>
        </w:rPr>
        <w:t xml:space="preserve"> </w:t>
      </w:r>
      <w:r w:rsidR="002E2882">
        <w:rPr>
          <w:color w:val="000000" w:themeColor="text1"/>
        </w:rPr>
        <w:t>Contrary the research hypothesis, r</w:t>
      </w:r>
      <w:r>
        <w:rPr>
          <w:color w:val="000000" w:themeColor="text1"/>
        </w:rPr>
        <w:t>eported discrimination did not differ across the geographical regions for recent encounters with discrimination (</w:t>
      </w:r>
      <w:r w:rsidR="00312F34">
        <w:rPr>
          <w:i/>
          <w:iCs/>
          <w:color w:val="000000" w:themeColor="text1"/>
        </w:rPr>
        <w:t xml:space="preserve">U </w:t>
      </w:r>
      <w:r w:rsidR="00312F34">
        <w:rPr>
          <w:color w:val="000000" w:themeColor="text1"/>
        </w:rPr>
        <w:t xml:space="preserve">= </w:t>
      </w:r>
      <w:r w:rsidR="00853332">
        <w:rPr>
          <w:color w:val="000000" w:themeColor="text1"/>
        </w:rPr>
        <w:t>2.77</w:t>
      </w:r>
      <w:r w:rsidR="00312F34">
        <w:rPr>
          <w:color w:val="000000" w:themeColor="text1"/>
        </w:rPr>
        <w:t xml:space="preserve">, </w:t>
      </w:r>
      <w:r w:rsidR="00932390" w:rsidRPr="00312F34">
        <w:rPr>
          <w:i/>
          <w:iCs/>
          <w:color w:val="000000" w:themeColor="text1"/>
        </w:rPr>
        <w:t>p</w:t>
      </w:r>
      <w:r w:rsidR="00932390">
        <w:rPr>
          <w:i/>
          <w:iCs/>
          <w:color w:val="000000" w:themeColor="text1"/>
        </w:rPr>
        <w:t xml:space="preserve"> = </w:t>
      </w:r>
      <w:r w:rsidR="00853332">
        <w:rPr>
          <w:color w:val="000000" w:themeColor="text1"/>
        </w:rPr>
        <w:t>.43</w:t>
      </w:r>
      <w:r w:rsidR="00312F34">
        <w:rPr>
          <w:color w:val="000000" w:themeColor="text1"/>
        </w:rPr>
        <w:t>)</w:t>
      </w:r>
      <w:r>
        <w:rPr>
          <w:color w:val="000000" w:themeColor="text1"/>
        </w:rPr>
        <w:t xml:space="preserve"> or lifetime discriminatory experiences (</w:t>
      </w:r>
      <w:r w:rsidR="00312F34">
        <w:rPr>
          <w:i/>
          <w:iCs/>
          <w:color w:val="000000" w:themeColor="text1"/>
        </w:rPr>
        <w:t xml:space="preserve">U </w:t>
      </w:r>
      <w:r w:rsidR="00312F34">
        <w:rPr>
          <w:color w:val="000000" w:themeColor="text1"/>
        </w:rPr>
        <w:t xml:space="preserve">= </w:t>
      </w:r>
      <w:r w:rsidR="00853332">
        <w:rPr>
          <w:color w:val="000000" w:themeColor="text1"/>
        </w:rPr>
        <w:t>2.21</w:t>
      </w:r>
      <w:r w:rsidR="00312F34">
        <w:rPr>
          <w:color w:val="000000" w:themeColor="text1"/>
        </w:rPr>
        <w:t xml:space="preserve">, </w:t>
      </w:r>
      <w:r w:rsidR="00932390">
        <w:rPr>
          <w:i/>
          <w:iCs/>
          <w:color w:val="000000" w:themeColor="text1"/>
        </w:rPr>
        <w:t xml:space="preserve">p = </w:t>
      </w:r>
      <w:r w:rsidR="00853332">
        <w:rPr>
          <w:color w:val="000000" w:themeColor="text1"/>
        </w:rPr>
        <w:t>.53</w:t>
      </w:r>
      <w:r>
        <w:rPr>
          <w:color w:val="000000" w:themeColor="text1"/>
        </w:rPr>
        <w:t>), and the appraisal of these events were also not significantly different (</w:t>
      </w:r>
      <w:r w:rsidR="00312F34">
        <w:rPr>
          <w:i/>
          <w:iCs/>
          <w:color w:val="000000" w:themeColor="text1"/>
        </w:rPr>
        <w:t>U</w:t>
      </w:r>
      <w:r w:rsidR="00312F34">
        <w:rPr>
          <w:color w:val="000000" w:themeColor="text1"/>
        </w:rPr>
        <w:t xml:space="preserve"> = </w:t>
      </w:r>
      <w:r w:rsidR="00853332">
        <w:rPr>
          <w:color w:val="000000" w:themeColor="text1"/>
        </w:rPr>
        <w:t>3.76</w:t>
      </w:r>
      <w:r w:rsidR="00312F34">
        <w:rPr>
          <w:color w:val="000000" w:themeColor="text1"/>
        </w:rPr>
        <w:t xml:space="preserve">, </w:t>
      </w:r>
      <w:r w:rsidR="00932390">
        <w:rPr>
          <w:i/>
          <w:iCs/>
          <w:color w:val="000000" w:themeColor="text1"/>
        </w:rPr>
        <w:t xml:space="preserve">p = </w:t>
      </w:r>
      <w:r w:rsidR="00853332">
        <w:rPr>
          <w:color w:val="000000" w:themeColor="text1"/>
        </w:rPr>
        <w:t>.29</w:t>
      </w:r>
      <w:r>
        <w:rPr>
          <w:color w:val="000000" w:themeColor="text1"/>
        </w:rPr>
        <w:t xml:space="preserve">). </w:t>
      </w:r>
      <w:r w:rsidR="000F5222">
        <w:rPr>
          <w:color w:val="000000" w:themeColor="text1"/>
        </w:rPr>
        <w:t>Another</w:t>
      </w:r>
      <w:r w:rsidR="002E2882">
        <w:rPr>
          <w:color w:val="000000" w:themeColor="text1"/>
        </w:rPr>
        <w:t xml:space="preserve"> research hypothesis was not </w:t>
      </w:r>
      <w:r w:rsidR="002E2882">
        <w:rPr>
          <w:color w:val="000000" w:themeColor="text1"/>
        </w:rPr>
        <w:lastRenderedPageBreak/>
        <w:t>supported since e</w:t>
      </w:r>
      <w:r>
        <w:rPr>
          <w:color w:val="000000" w:themeColor="text1"/>
        </w:rPr>
        <w:t>ducational status also did not produce any significant differences for discriminatory events from the past year (</w:t>
      </w:r>
      <w:r w:rsidR="00312F34">
        <w:rPr>
          <w:i/>
          <w:color w:val="000000" w:themeColor="text1"/>
        </w:rPr>
        <w:t xml:space="preserve">U </w:t>
      </w:r>
      <w:r w:rsidR="00312F34">
        <w:rPr>
          <w:iCs/>
          <w:color w:val="000000" w:themeColor="text1"/>
        </w:rPr>
        <w:t xml:space="preserve">= </w:t>
      </w:r>
      <w:r w:rsidR="00853332">
        <w:rPr>
          <w:iCs/>
          <w:color w:val="000000" w:themeColor="text1"/>
        </w:rPr>
        <w:t>3.25</w:t>
      </w:r>
      <w:r w:rsidR="00312F34">
        <w:rPr>
          <w:iCs/>
          <w:color w:val="000000" w:themeColor="text1"/>
        </w:rPr>
        <w:t xml:space="preserve">, </w:t>
      </w:r>
      <w:r w:rsidR="00932390">
        <w:rPr>
          <w:i/>
          <w:iCs/>
          <w:color w:val="000000" w:themeColor="text1"/>
        </w:rPr>
        <w:t xml:space="preserve">p = </w:t>
      </w:r>
      <w:r w:rsidR="00853332">
        <w:rPr>
          <w:color w:val="000000" w:themeColor="text1"/>
        </w:rPr>
        <w:t>.662</w:t>
      </w:r>
      <w:r>
        <w:rPr>
          <w:color w:val="000000" w:themeColor="text1"/>
        </w:rPr>
        <w:t>) or over one’s entire lifetime (</w:t>
      </w:r>
      <w:r w:rsidR="00312F34">
        <w:rPr>
          <w:i/>
          <w:iCs/>
          <w:color w:val="000000" w:themeColor="text1"/>
        </w:rPr>
        <w:t xml:space="preserve">U </w:t>
      </w:r>
      <w:r w:rsidR="00312F34">
        <w:rPr>
          <w:color w:val="000000" w:themeColor="text1"/>
        </w:rPr>
        <w:t xml:space="preserve">= </w:t>
      </w:r>
      <w:r w:rsidR="00853332">
        <w:rPr>
          <w:color w:val="000000" w:themeColor="text1"/>
        </w:rPr>
        <w:t>3.001</w:t>
      </w:r>
      <w:r w:rsidR="00312F34">
        <w:rPr>
          <w:color w:val="000000" w:themeColor="text1"/>
        </w:rPr>
        <w:t xml:space="preserve">, </w:t>
      </w:r>
      <w:r w:rsidR="00932390">
        <w:rPr>
          <w:i/>
          <w:iCs/>
          <w:color w:val="000000" w:themeColor="text1"/>
        </w:rPr>
        <w:t xml:space="preserve">p = </w:t>
      </w:r>
      <w:r w:rsidR="00853332">
        <w:rPr>
          <w:color w:val="000000" w:themeColor="text1"/>
        </w:rPr>
        <w:t>.699</w:t>
      </w:r>
      <w:r>
        <w:rPr>
          <w:color w:val="000000" w:themeColor="text1"/>
        </w:rPr>
        <w:t>); nor were there any differences for the perceived stressfulness of these experiences (</w:t>
      </w:r>
      <w:r w:rsidR="00312F34">
        <w:rPr>
          <w:i/>
          <w:iCs/>
          <w:color w:val="000000" w:themeColor="text1"/>
        </w:rPr>
        <w:t xml:space="preserve">U </w:t>
      </w:r>
      <w:r w:rsidR="00312F34">
        <w:rPr>
          <w:color w:val="000000" w:themeColor="text1"/>
        </w:rPr>
        <w:t xml:space="preserve">= </w:t>
      </w:r>
      <w:r w:rsidR="00853332">
        <w:rPr>
          <w:color w:val="000000" w:themeColor="text1"/>
        </w:rPr>
        <w:t>2.60</w:t>
      </w:r>
      <w:r w:rsidR="00312F34">
        <w:rPr>
          <w:color w:val="000000" w:themeColor="text1"/>
        </w:rPr>
        <w:t xml:space="preserve">, </w:t>
      </w:r>
      <w:r w:rsidR="00932390">
        <w:rPr>
          <w:i/>
          <w:iCs/>
          <w:color w:val="000000" w:themeColor="text1"/>
        </w:rPr>
        <w:t>p = .</w:t>
      </w:r>
      <w:r>
        <w:rPr>
          <w:color w:val="000000" w:themeColor="text1"/>
        </w:rPr>
        <w:t xml:space="preserve">76). </w:t>
      </w:r>
      <w:r w:rsidR="00F2128A">
        <w:rPr>
          <w:color w:val="000000" w:themeColor="text1"/>
        </w:rPr>
        <w:t xml:space="preserve">However, the lack of differences in discrimination across educational levels is consistent with the majority of prior research.  </w:t>
      </w:r>
      <w:r>
        <w:rPr>
          <w:color w:val="000000" w:themeColor="text1"/>
        </w:rPr>
        <w:t>A complete list of SRE</w:t>
      </w:r>
      <w:r w:rsidR="00AB1BD3">
        <w:rPr>
          <w:color w:val="000000" w:themeColor="text1"/>
        </w:rPr>
        <w:t>-G</w:t>
      </w:r>
      <w:r>
        <w:rPr>
          <w:color w:val="000000" w:themeColor="text1"/>
        </w:rPr>
        <w:t xml:space="preserve"> descriptive statistics can be viewed in Table 5</w:t>
      </w:r>
      <w:r w:rsidR="005E49E8">
        <w:rPr>
          <w:color w:val="000000" w:themeColor="text1"/>
        </w:rPr>
        <w:t>.</w:t>
      </w:r>
    </w:p>
    <w:p w14:paraId="758464B9" w14:textId="77777777" w:rsidR="00F2128A" w:rsidRDefault="00F2128A" w:rsidP="00FA53C2">
      <w:pPr>
        <w:spacing w:line="480" w:lineRule="auto"/>
        <w:rPr>
          <w:b/>
          <w:bCs/>
          <w:color w:val="000000" w:themeColor="text1"/>
        </w:rPr>
      </w:pPr>
    </w:p>
    <w:p w14:paraId="2859C3D4" w14:textId="2E906BCD" w:rsidR="00FA53C2" w:rsidRDefault="00FA53C2" w:rsidP="00FA53C2">
      <w:pPr>
        <w:spacing w:line="480" w:lineRule="auto"/>
        <w:rPr>
          <w:b/>
          <w:bCs/>
          <w:color w:val="000000" w:themeColor="text1"/>
        </w:rPr>
      </w:pPr>
      <w:r w:rsidRPr="00355F6C">
        <w:rPr>
          <w:b/>
          <w:bCs/>
          <w:color w:val="000000" w:themeColor="text1"/>
        </w:rPr>
        <w:t>Table 5</w:t>
      </w:r>
    </w:p>
    <w:p w14:paraId="16BA7123" w14:textId="0F4B03AC" w:rsidR="00FA53C2" w:rsidRPr="00683B2E" w:rsidRDefault="00F2128A" w:rsidP="00FA53C2">
      <w:pPr>
        <w:rPr>
          <w:i/>
          <w:iCs/>
          <w:color w:val="000000" w:themeColor="text1"/>
        </w:rPr>
      </w:pPr>
      <w:r>
        <w:rPr>
          <w:i/>
          <w:iCs/>
          <w:color w:val="000000" w:themeColor="text1"/>
        </w:rPr>
        <w:t xml:space="preserve">Median Differences in </w:t>
      </w:r>
      <w:r w:rsidR="00F00E5F">
        <w:rPr>
          <w:i/>
          <w:iCs/>
          <w:color w:val="000000" w:themeColor="text1"/>
        </w:rPr>
        <w:t>Schedule of Racist Events-Generic Scores</w:t>
      </w:r>
      <w:r>
        <w:rPr>
          <w:i/>
          <w:iCs/>
          <w:color w:val="000000" w:themeColor="text1"/>
        </w:rPr>
        <w:t xml:space="preserve"> </w:t>
      </w:r>
      <w:r w:rsidR="009D3EC3">
        <w:rPr>
          <w:i/>
          <w:iCs/>
          <w:color w:val="000000" w:themeColor="text1"/>
        </w:rPr>
        <w:t xml:space="preserve">Across </w:t>
      </w:r>
      <w:r w:rsidR="00F00E5F">
        <w:rPr>
          <w:i/>
          <w:iCs/>
          <w:color w:val="000000" w:themeColor="text1"/>
        </w:rPr>
        <w:t xml:space="preserve">Demographic </w:t>
      </w:r>
      <w:r w:rsidR="009D3EC3">
        <w:rPr>
          <w:i/>
          <w:iCs/>
          <w:color w:val="000000" w:themeColor="text1"/>
        </w:rPr>
        <w:t>Measur</w:t>
      </w:r>
      <w:r w:rsidR="00F00E5F">
        <w:rPr>
          <w:i/>
          <w:iCs/>
          <w:color w:val="000000" w:themeColor="text1"/>
        </w:rPr>
        <w:t>es</w:t>
      </w:r>
    </w:p>
    <w:tbl>
      <w:tblPr>
        <w:tblStyle w:val="TableGrid"/>
        <w:tblW w:w="92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1"/>
        <w:gridCol w:w="1819"/>
        <w:gridCol w:w="1820"/>
        <w:gridCol w:w="1730"/>
      </w:tblGrid>
      <w:tr w:rsidR="00312F34" w14:paraId="0C061DE5" w14:textId="77777777" w:rsidTr="008058BF">
        <w:tc>
          <w:tcPr>
            <w:tcW w:w="3901" w:type="dxa"/>
            <w:tcBorders>
              <w:top w:val="single" w:sz="4" w:space="0" w:color="auto"/>
              <w:bottom w:val="nil"/>
            </w:tcBorders>
          </w:tcPr>
          <w:p w14:paraId="09930C62" w14:textId="77777777" w:rsidR="00312F34" w:rsidRDefault="00312F34" w:rsidP="00F35929">
            <w:r>
              <w:t>Measure</w:t>
            </w:r>
          </w:p>
        </w:tc>
        <w:tc>
          <w:tcPr>
            <w:tcW w:w="1819" w:type="dxa"/>
            <w:tcBorders>
              <w:top w:val="single" w:sz="4" w:space="0" w:color="auto"/>
              <w:bottom w:val="nil"/>
            </w:tcBorders>
          </w:tcPr>
          <w:p w14:paraId="694EB5B6" w14:textId="29966DAA" w:rsidR="00312F34" w:rsidRDefault="00312F34" w:rsidP="00853332">
            <w:r>
              <w:t>Recent</w:t>
            </w:r>
            <w:r w:rsidR="009D3EC3">
              <w:t xml:space="preserve"> Discrimination</w:t>
            </w:r>
          </w:p>
        </w:tc>
        <w:tc>
          <w:tcPr>
            <w:tcW w:w="1820" w:type="dxa"/>
            <w:tcBorders>
              <w:top w:val="single" w:sz="4" w:space="0" w:color="auto"/>
              <w:bottom w:val="nil"/>
            </w:tcBorders>
          </w:tcPr>
          <w:p w14:paraId="312FF8AB" w14:textId="77777777" w:rsidR="00312F34" w:rsidRDefault="00312F34" w:rsidP="00853332">
            <w:r>
              <w:t>Lifetime</w:t>
            </w:r>
          </w:p>
          <w:p w14:paraId="4344A33F" w14:textId="6F7EC0B1" w:rsidR="009D3EC3" w:rsidRDefault="009D3EC3" w:rsidP="00853332">
            <w:r>
              <w:t>Discrimination</w:t>
            </w:r>
          </w:p>
        </w:tc>
        <w:tc>
          <w:tcPr>
            <w:tcW w:w="1730" w:type="dxa"/>
            <w:tcBorders>
              <w:top w:val="single" w:sz="4" w:space="0" w:color="auto"/>
              <w:bottom w:val="nil"/>
            </w:tcBorders>
          </w:tcPr>
          <w:p w14:paraId="339940B7" w14:textId="1EDD99E3" w:rsidR="009D3EC3" w:rsidRDefault="009D3EC3" w:rsidP="00853332">
            <w:r>
              <w:t>Stress</w:t>
            </w:r>
          </w:p>
          <w:p w14:paraId="587630E6" w14:textId="6CB33F88" w:rsidR="00312F34" w:rsidRDefault="00312F34" w:rsidP="00853332">
            <w:r>
              <w:t>Appraisal</w:t>
            </w:r>
          </w:p>
        </w:tc>
      </w:tr>
      <w:tr w:rsidR="00312F34" w14:paraId="4C65A035" w14:textId="77777777" w:rsidTr="008058BF">
        <w:tc>
          <w:tcPr>
            <w:tcW w:w="3901" w:type="dxa"/>
            <w:tcBorders>
              <w:top w:val="nil"/>
              <w:bottom w:val="single" w:sz="4" w:space="0" w:color="auto"/>
            </w:tcBorders>
          </w:tcPr>
          <w:p w14:paraId="61B596A8" w14:textId="77777777" w:rsidR="00312F34" w:rsidRDefault="00312F34" w:rsidP="00F35929"/>
        </w:tc>
        <w:tc>
          <w:tcPr>
            <w:tcW w:w="1819" w:type="dxa"/>
            <w:tcBorders>
              <w:top w:val="nil"/>
              <w:bottom w:val="single" w:sz="4" w:space="0" w:color="auto"/>
            </w:tcBorders>
          </w:tcPr>
          <w:p w14:paraId="0E619B47" w14:textId="21BCCD73" w:rsidR="00312F34" w:rsidRPr="00C16E65" w:rsidRDefault="00312F34" w:rsidP="00853332">
            <w:pPr>
              <w:rPr>
                <w:i/>
                <w:iCs/>
              </w:rPr>
            </w:pPr>
            <w:proofErr w:type="spellStart"/>
            <w:r>
              <w:rPr>
                <w:i/>
                <w:iCs/>
              </w:rPr>
              <w:t>Mdn</w:t>
            </w:r>
            <w:proofErr w:type="spellEnd"/>
          </w:p>
        </w:tc>
        <w:tc>
          <w:tcPr>
            <w:tcW w:w="1820" w:type="dxa"/>
            <w:tcBorders>
              <w:top w:val="nil"/>
              <w:bottom w:val="single" w:sz="4" w:space="0" w:color="auto"/>
            </w:tcBorders>
          </w:tcPr>
          <w:p w14:paraId="691D3045" w14:textId="3A87B177" w:rsidR="00312F34" w:rsidRPr="00C16E65" w:rsidRDefault="00312F34" w:rsidP="00853332">
            <w:pPr>
              <w:rPr>
                <w:i/>
                <w:iCs/>
              </w:rPr>
            </w:pPr>
            <w:proofErr w:type="spellStart"/>
            <w:r>
              <w:rPr>
                <w:i/>
                <w:iCs/>
              </w:rPr>
              <w:t>Mdn</w:t>
            </w:r>
            <w:proofErr w:type="spellEnd"/>
          </w:p>
        </w:tc>
        <w:tc>
          <w:tcPr>
            <w:tcW w:w="1730" w:type="dxa"/>
            <w:tcBorders>
              <w:top w:val="nil"/>
              <w:bottom w:val="single" w:sz="4" w:space="0" w:color="auto"/>
            </w:tcBorders>
          </w:tcPr>
          <w:p w14:paraId="4BA30D16" w14:textId="354925FF" w:rsidR="00312F34" w:rsidRPr="00C16E65" w:rsidRDefault="00312F34" w:rsidP="00853332">
            <w:pPr>
              <w:rPr>
                <w:i/>
                <w:iCs/>
              </w:rPr>
            </w:pPr>
            <w:proofErr w:type="spellStart"/>
            <w:r>
              <w:rPr>
                <w:i/>
                <w:iCs/>
              </w:rPr>
              <w:t>Mdn</w:t>
            </w:r>
            <w:proofErr w:type="spellEnd"/>
          </w:p>
        </w:tc>
      </w:tr>
      <w:tr w:rsidR="00312F34" w14:paraId="46151DF5" w14:textId="77777777" w:rsidTr="008058BF">
        <w:tc>
          <w:tcPr>
            <w:tcW w:w="3901" w:type="dxa"/>
            <w:tcBorders>
              <w:top w:val="single" w:sz="4" w:space="0" w:color="auto"/>
            </w:tcBorders>
          </w:tcPr>
          <w:p w14:paraId="71BFDCB4" w14:textId="77777777" w:rsidR="00312F34" w:rsidRPr="00C16E65" w:rsidRDefault="00312F34" w:rsidP="00F35929">
            <w:r>
              <w:t>Race/ethnicity (</w:t>
            </w:r>
            <w:r>
              <w:rPr>
                <w:i/>
                <w:iCs/>
              </w:rPr>
              <w:t>N</w:t>
            </w:r>
            <w:r>
              <w:t xml:space="preserve"> = 222)</w:t>
            </w:r>
          </w:p>
        </w:tc>
        <w:tc>
          <w:tcPr>
            <w:tcW w:w="1819" w:type="dxa"/>
            <w:tcBorders>
              <w:top w:val="single" w:sz="4" w:space="0" w:color="auto"/>
            </w:tcBorders>
          </w:tcPr>
          <w:p w14:paraId="6882E238" w14:textId="77777777" w:rsidR="00312F34" w:rsidRDefault="00312F34" w:rsidP="00F35929"/>
        </w:tc>
        <w:tc>
          <w:tcPr>
            <w:tcW w:w="1820" w:type="dxa"/>
            <w:tcBorders>
              <w:top w:val="single" w:sz="4" w:space="0" w:color="auto"/>
            </w:tcBorders>
          </w:tcPr>
          <w:p w14:paraId="6A292BE0" w14:textId="77777777" w:rsidR="00312F34" w:rsidRDefault="00312F34" w:rsidP="00F35929"/>
        </w:tc>
        <w:tc>
          <w:tcPr>
            <w:tcW w:w="1730" w:type="dxa"/>
            <w:tcBorders>
              <w:top w:val="single" w:sz="4" w:space="0" w:color="auto"/>
            </w:tcBorders>
          </w:tcPr>
          <w:p w14:paraId="38E4BAFB" w14:textId="77777777" w:rsidR="00312F34" w:rsidRDefault="00312F34" w:rsidP="00F35929"/>
        </w:tc>
      </w:tr>
      <w:tr w:rsidR="00312F34" w14:paraId="2AC1D2FA" w14:textId="77777777" w:rsidTr="008058BF">
        <w:tc>
          <w:tcPr>
            <w:tcW w:w="3901" w:type="dxa"/>
          </w:tcPr>
          <w:p w14:paraId="332B2C93" w14:textId="7F48EB3A" w:rsidR="00312F34" w:rsidRDefault="00312F34" w:rsidP="00F35929">
            <w:r>
              <w:t xml:space="preserve"> </w:t>
            </w:r>
            <w:r w:rsidR="000F5222">
              <w:t xml:space="preserve"> </w:t>
            </w:r>
            <w:r>
              <w:t>Black</w:t>
            </w:r>
          </w:p>
        </w:tc>
        <w:tc>
          <w:tcPr>
            <w:tcW w:w="1819" w:type="dxa"/>
          </w:tcPr>
          <w:p w14:paraId="1A59E4D0" w14:textId="46F4FC7F" w:rsidR="00312F34" w:rsidRDefault="00853332" w:rsidP="00F35929">
            <w:r>
              <w:t>36.00</w:t>
            </w:r>
          </w:p>
        </w:tc>
        <w:tc>
          <w:tcPr>
            <w:tcW w:w="1820" w:type="dxa"/>
          </w:tcPr>
          <w:p w14:paraId="27C3CF83" w14:textId="2F630209" w:rsidR="00312F34" w:rsidRDefault="00312F34" w:rsidP="00F35929">
            <w:r>
              <w:t>49.</w:t>
            </w:r>
            <w:r w:rsidR="00853332">
              <w:t>00</w:t>
            </w:r>
          </w:p>
        </w:tc>
        <w:tc>
          <w:tcPr>
            <w:tcW w:w="1730" w:type="dxa"/>
          </w:tcPr>
          <w:p w14:paraId="7FEAD894" w14:textId="5B4EE5A9" w:rsidR="00312F34" w:rsidRDefault="00312F34" w:rsidP="00F35929">
            <w:r>
              <w:t>6</w:t>
            </w:r>
            <w:r w:rsidR="00853332">
              <w:t>6.00</w:t>
            </w:r>
          </w:p>
        </w:tc>
      </w:tr>
      <w:tr w:rsidR="00312F34" w14:paraId="06BDF094" w14:textId="77777777" w:rsidTr="008058BF">
        <w:tc>
          <w:tcPr>
            <w:tcW w:w="3901" w:type="dxa"/>
          </w:tcPr>
          <w:p w14:paraId="68C78EAB" w14:textId="2B751D9D" w:rsidR="00312F34" w:rsidRDefault="00312F34" w:rsidP="00F35929">
            <w:r>
              <w:t xml:space="preserve"> </w:t>
            </w:r>
            <w:r w:rsidR="000F5222">
              <w:t xml:space="preserve"> </w:t>
            </w:r>
            <w:r>
              <w:t>Hispanic/Latino(a)/Spanish</w:t>
            </w:r>
          </w:p>
        </w:tc>
        <w:tc>
          <w:tcPr>
            <w:tcW w:w="1819" w:type="dxa"/>
          </w:tcPr>
          <w:p w14:paraId="4AB92BC2" w14:textId="117E8C9B" w:rsidR="00312F34" w:rsidRDefault="00312F34" w:rsidP="00F35929">
            <w:r>
              <w:t>3</w:t>
            </w:r>
            <w:r w:rsidR="00853332">
              <w:t>1.00</w:t>
            </w:r>
          </w:p>
        </w:tc>
        <w:tc>
          <w:tcPr>
            <w:tcW w:w="1820" w:type="dxa"/>
          </w:tcPr>
          <w:p w14:paraId="28802876" w14:textId="78620169" w:rsidR="00312F34" w:rsidRDefault="00853332" w:rsidP="00F35929">
            <w:r>
              <w:t>39.00</w:t>
            </w:r>
          </w:p>
        </w:tc>
        <w:tc>
          <w:tcPr>
            <w:tcW w:w="1730" w:type="dxa"/>
          </w:tcPr>
          <w:p w14:paraId="3BAE6E6F" w14:textId="7DC69AB1" w:rsidR="00312F34" w:rsidRDefault="00853332" w:rsidP="00F35929">
            <w:r>
              <w:t>55.00</w:t>
            </w:r>
          </w:p>
        </w:tc>
      </w:tr>
      <w:tr w:rsidR="00312F34" w14:paraId="7F08D219" w14:textId="77777777" w:rsidTr="008058BF">
        <w:tc>
          <w:tcPr>
            <w:tcW w:w="3901" w:type="dxa"/>
          </w:tcPr>
          <w:p w14:paraId="3FC3010F" w14:textId="46FDC828" w:rsidR="00312F34" w:rsidRDefault="00312F34" w:rsidP="00F35929">
            <w:r>
              <w:t xml:space="preserve"> </w:t>
            </w:r>
            <w:r w:rsidR="000F5222">
              <w:t xml:space="preserve"> </w:t>
            </w:r>
            <w:r>
              <w:t>American Indian</w:t>
            </w:r>
          </w:p>
        </w:tc>
        <w:tc>
          <w:tcPr>
            <w:tcW w:w="1819" w:type="dxa"/>
          </w:tcPr>
          <w:p w14:paraId="370C6521" w14:textId="6FF82EF4" w:rsidR="00312F34" w:rsidRDefault="00853332" w:rsidP="00F35929">
            <w:r>
              <w:t>33.00</w:t>
            </w:r>
          </w:p>
        </w:tc>
        <w:tc>
          <w:tcPr>
            <w:tcW w:w="1820" w:type="dxa"/>
          </w:tcPr>
          <w:p w14:paraId="502B5603" w14:textId="6031577A" w:rsidR="00312F34" w:rsidRDefault="00853332" w:rsidP="00F35929">
            <w:r>
              <w:t>41.00</w:t>
            </w:r>
          </w:p>
        </w:tc>
        <w:tc>
          <w:tcPr>
            <w:tcW w:w="1730" w:type="dxa"/>
          </w:tcPr>
          <w:p w14:paraId="0577FF9E" w14:textId="38918463" w:rsidR="00312F34" w:rsidRDefault="00853332" w:rsidP="00F35929">
            <w:r>
              <w:t>48.50</w:t>
            </w:r>
          </w:p>
        </w:tc>
      </w:tr>
      <w:tr w:rsidR="00312F34" w14:paraId="34AD68EE" w14:textId="77777777" w:rsidTr="008058BF">
        <w:tc>
          <w:tcPr>
            <w:tcW w:w="3901" w:type="dxa"/>
          </w:tcPr>
          <w:p w14:paraId="10710817" w14:textId="77777777" w:rsidR="00312F34" w:rsidRPr="00805CCA" w:rsidRDefault="00312F34" w:rsidP="00F35929">
            <w:r>
              <w:t>Sex (</w:t>
            </w:r>
            <w:r>
              <w:rPr>
                <w:i/>
                <w:iCs/>
              </w:rPr>
              <w:t xml:space="preserve">N </w:t>
            </w:r>
            <w:r>
              <w:t>= 221)</w:t>
            </w:r>
          </w:p>
        </w:tc>
        <w:tc>
          <w:tcPr>
            <w:tcW w:w="1819" w:type="dxa"/>
          </w:tcPr>
          <w:p w14:paraId="5B500956" w14:textId="77777777" w:rsidR="00312F34" w:rsidRDefault="00312F34" w:rsidP="00F35929"/>
        </w:tc>
        <w:tc>
          <w:tcPr>
            <w:tcW w:w="1820" w:type="dxa"/>
          </w:tcPr>
          <w:p w14:paraId="444FD8AC" w14:textId="77777777" w:rsidR="00312F34" w:rsidRDefault="00312F34" w:rsidP="00F35929"/>
        </w:tc>
        <w:tc>
          <w:tcPr>
            <w:tcW w:w="1730" w:type="dxa"/>
          </w:tcPr>
          <w:p w14:paraId="71ADD273" w14:textId="77777777" w:rsidR="00312F34" w:rsidRDefault="00312F34" w:rsidP="00F35929"/>
        </w:tc>
      </w:tr>
      <w:tr w:rsidR="00312F34" w14:paraId="700AB9EF" w14:textId="77777777" w:rsidTr="008058BF">
        <w:tc>
          <w:tcPr>
            <w:tcW w:w="3901" w:type="dxa"/>
          </w:tcPr>
          <w:p w14:paraId="7B9F433B" w14:textId="10F4823F" w:rsidR="00312F34" w:rsidRDefault="00312F34" w:rsidP="00F35929">
            <w:r>
              <w:t xml:space="preserve"> </w:t>
            </w:r>
            <w:r w:rsidR="000F5222">
              <w:t xml:space="preserve"> </w:t>
            </w:r>
            <w:r>
              <w:t>Males</w:t>
            </w:r>
          </w:p>
        </w:tc>
        <w:tc>
          <w:tcPr>
            <w:tcW w:w="1819" w:type="dxa"/>
          </w:tcPr>
          <w:p w14:paraId="27E3274B" w14:textId="422B9108" w:rsidR="00312F34" w:rsidRDefault="00312F34" w:rsidP="00F35929">
            <w:r>
              <w:t>3</w:t>
            </w:r>
            <w:r w:rsidR="00355F6C">
              <w:t>1.00</w:t>
            </w:r>
          </w:p>
        </w:tc>
        <w:tc>
          <w:tcPr>
            <w:tcW w:w="1820" w:type="dxa"/>
          </w:tcPr>
          <w:p w14:paraId="244DD871" w14:textId="7C0E8970" w:rsidR="00312F34" w:rsidRDefault="00312F34" w:rsidP="00F35929">
            <w:r>
              <w:t>4</w:t>
            </w:r>
            <w:r w:rsidR="00355F6C">
              <w:t>2.00</w:t>
            </w:r>
          </w:p>
        </w:tc>
        <w:tc>
          <w:tcPr>
            <w:tcW w:w="1730" w:type="dxa"/>
          </w:tcPr>
          <w:p w14:paraId="002AD4D1" w14:textId="2A0C3DC8" w:rsidR="00312F34" w:rsidRDefault="00312F34" w:rsidP="00F35929">
            <w:r>
              <w:t>5</w:t>
            </w:r>
            <w:r w:rsidR="00355F6C">
              <w:t>6.00</w:t>
            </w:r>
          </w:p>
        </w:tc>
      </w:tr>
      <w:tr w:rsidR="00312F34" w14:paraId="3C88FD8A" w14:textId="77777777" w:rsidTr="008058BF">
        <w:tc>
          <w:tcPr>
            <w:tcW w:w="3901" w:type="dxa"/>
          </w:tcPr>
          <w:p w14:paraId="668BE9D6" w14:textId="0F356AF4" w:rsidR="00312F34" w:rsidRDefault="00312F34" w:rsidP="00F35929">
            <w:r>
              <w:t xml:space="preserve"> </w:t>
            </w:r>
            <w:r w:rsidR="000F5222">
              <w:t xml:space="preserve"> </w:t>
            </w:r>
            <w:r>
              <w:t>Females</w:t>
            </w:r>
          </w:p>
        </w:tc>
        <w:tc>
          <w:tcPr>
            <w:tcW w:w="1819" w:type="dxa"/>
          </w:tcPr>
          <w:p w14:paraId="2096B2E7" w14:textId="50FE5C48" w:rsidR="00312F34" w:rsidRDefault="00312F34" w:rsidP="00F35929">
            <w:r>
              <w:t>3</w:t>
            </w:r>
            <w:r w:rsidR="00355F6C">
              <w:t>5.00</w:t>
            </w:r>
          </w:p>
        </w:tc>
        <w:tc>
          <w:tcPr>
            <w:tcW w:w="1820" w:type="dxa"/>
          </w:tcPr>
          <w:p w14:paraId="26EE84CA" w14:textId="3FDB9B78" w:rsidR="00312F34" w:rsidRDefault="00312F34" w:rsidP="00F35929">
            <w:r>
              <w:t>4</w:t>
            </w:r>
            <w:r w:rsidR="00355F6C">
              <w:t>3.50</w:t>
            </w:r>
          </w:p>
        </w:tc>
        <w:tc>
          <w:tcPr>
            <w:tcW w:w="1730" w:type="dxa"/>
          </w:tcPr>
          <w:p w14:paraId="004D9A59" w14:textId="7B462ED1" w:rsidR="00312F34" w:rsidRDefault="00355F6C" w:rsidP="00F35929">
            <w:r>
              <w:t>62.00</w:t>
            </w:r>
          </w:p>
        </w:tc>
      </w:tr>
      <w:tr w:rsidR="00312F34" w14:paraId="68D7F9E4" w14:textId="77777777" w:rsidTr="008058BF">
        <w:tc>
          <w:tcPr>
            <w:tcW w:w="3901" w:type="dxa"/>
          </w:tcPr>
          <w:p w14:paraId="6E7371CB" w14:textId="77777777" w:rsidR="00312F34" w:rsidRPr="00805CCA" w:rsidRDefault="00312F34" w:rsidP="00F35929">
            <w:r>
              <w:t>Geographic region (</w:t>
            </w:r>
            <w:r>
              <w:rPr>
                <w:i/>
                <w:iCs/>
              </w:rPr>
              <w:t>N</w:t>
            </w:r>
            <w:r>
              <w:t xml:space="preserve"> = 221)</w:t>
            </w:r>
          </w:p>
        </w:tc>
        <w:tc>
          <w:tcPr>
            <w:tcW w:w="1819" w:type="dxa"/>
          </w:tcPr>
          <w:p w14:paraId="5DE170B4" w14:textId="77777777" w:rsidR="00312F34" w:rsidRDefault="00312F34" w:rsidP="00F35929"/>
        </w:tc>
        <w:tc>
          <w:tcPr>
            <w:tcW w:w="1820" w:type="dxa"/>
          </w:tcPr>
          <w:p w14:paraId="1C364A91" w14:textId="77777777" w:rsidR="00312F34" w:rsidRDefault="00312F34" w:rsidP="00F35929"/>
        </w:tc>
        <w:tc>
          <w:tcPr>
            <w:tcW w:w="1730" w:type="dxa"/>
          </w:tcPr>
          <w:p w14:paraId="072197B4" w14:textId="77777777" w:rsidR="00312F34" w:rsidRDefault="00312F34" w:rsidP="00F35929"/>
        </w:tc>
      </w:tr>
      <w:tr w:rsidR="00312F34" w14:paraId="5B25B9D2" w14:textId="77777777" w:rsidTr="008058BF">
        <w:tc>
          <w:tcPr>
            <w:tcW w:w="3901" w:type="dxa"/>
          </w:tcPr>
          <w:p w14:paraId="409A88F4" w14:textId="0F54D1BC" w:rsidR="00312F34" w:rsidRDefault="00312F34" w:rsidP="00F35929">
            <w:r>
              <w:t xml:space="preserve"> </w:t>
            </w:r>
            <w:r w:rsidR="000F5222">
              <w:t xml:space="preserve"> </w:t>
            </w:r>
            <w:r>
              <w:t>West</w:t>
            </w:r>
          </w:p>
        </w:tc>
        <w:tc>
          <w:tcPr>
            <w:tcW w:w="1819" w:type="dxa"/>
          </w:tcPr>
          <w:p w14:paraId="0384CC6A" w14:textId="57B0578F" w:rsidR="00312F34" w:rsidRDefault="00312F34" w:rsidP="00F35929">
            <w:r>
              <w:t>3</w:t>
            </w:r>
            <w:r w:rsidR="00853332">
              <w:t>4.50</w:t>
            </w:r>
          </w:p>
        </w:tc>
        <w:tc>
          <w:tcPr>
            <w:tcW w:w="1820" w:type="dxa"/>
          </w:tcPr>
          <w:p w14:paraId="35001D4E" w14:textId="0F5FCCBB" w:rsidR="00312F34" w:rsidRDefault="00312F34" w:rsidP="00F35929">
            <w:r>
              <w:t>47.</w:t>
            </w:r>
            <w:r w:rsidR="00853332">
              <w:t>00</w:t>
            </w:r>
          </w:p>
        </w:tc>
        <w:tc>
          <w:tcPr>
            <w:tcW w:w="1730" w:type="dxa"/>
          </w:tcPr>
          <w:p w14:paraId="6C6F7D3A" w14:textId="022452F5" w:rsidR="00312F34" w:rsidRDefault="00312F34" w:rsidP="00F35929">
            <w:r>
              <w:t>6</w:t>
            </w:r>
            <w:r w:rsidR="00853332">
              <w:t>3.00</w:t>
            </w:r>
          </w:p>
        </w:tc>
      </w:tr>
      <w:tr w:rsidR="00312F34" w14:paraId="2DC3B573" w14:textId="77777777" w:rsidTr="008058BF">
        <w:tc>
          <w:tcPr>
            <w:tcW w:w="3901" w:type="dxa"/>
          </w:tcPr>
          <w:p w14:paraId="51568F98" w14:textId="43FECA86" w:rsidR="00312F34" w:rsidRDefault="00312F34" w:rsidP="00F35929">
            <w:r>
              <w:t xml:space="preserve"> </w:t>
            </w:r>
            <w:r w:rsidR="000F5222">
              <w:t xml:space="preserve"> </w:t>
            </w:r>
            <w:r>
              <w:t>Midwest</w:t>
            </w:r>
          </w:p>
        </w:tc>
        <w:tc>
          <w:tcPr>
            <w:tcW w:w="1819" w:type="dxa"/>
          </w:tcPr>
          <w:p w14:paraId="00CFA00D" w14:textId="23B36B3B" w:rsidR="00312F34" w:rsidRDefault="00312F34" w:rsidP="00F35929">
            <w:r>
              <w:t>3</w:t>
            </w:r>
            <w:r w:rsidR="00853332">
              <w:t>2.50</w:t>
            </w:r>
          </w:p>
        </w:tc>
        <w:tc>
          <w:tcPr>
            <w:tcW w:w="1820" w:type="dxa"/>
          </w:tcPr>
          <w:p w14:paraId="67520E28" w14:textId="0970CDCD" w:rsidR="00312F34" w:rsidRDefault="00312F34" w:rsidP="00F35929">
            <w:r>
              <w:t>4</w:t>
            </w:r>
            <w:r w:rsidR="00853332">
              <w:t>8.00</w:t>
            </w:r>
          </w:p>
        </w:tc>
        <w:tc>
          <w:tcPr>
            <w:tcW w:w="1730" w:type="dxa"/>
          </w:tcPr>
          <w:p w14:paraId="65FC9F32" w14:textId="67750FCA" w:rsidR="00312F34" w:rsidRDefault="00853332" w:rsidP="00F35929">
            <w:r>
              <w:t>54.50</w:t>
            </w:r>
          </w:p>
        </w:tc>
      </w:tr>
      <w:tr w:rsidR="00312F34" w14:paraId="1167BCE6" w14:textId="77777777" w:rsidTr="008058BF">
        <w:tc>
          <w:tcPr>
            <w:tcW w:w="3901" w:type="dxa"/>
          </w:tcPr>
          <w:p w14:paraId="4814BECA" w14:textId="20AC5D7C" w:rsidR="00312F34" w:rsidRDefault="00312F34" w:rsidP="00F35929">
            <w:r>
              <w:t xml:space="preserve"> </w:t>
            </w:r>
            <w:r w:rsidR="000F5222">
              <w:t xml:space="preserve"> </w:t>
            </w:r>
            <w:r>
              <w:t>South</w:t>
            </w:r>
          </w:p>
        </w:tc>
        <w:tc>
          <w:tcPr>
            <w:tcW w:w="1819" w:type="dxa"/>
          </w:tcPr>
          <w:p w14:paraId="5EE82632" w14:textId="231B1E36" w:rsidR="00312F34" w:rsidRDefault="00312F34" w:rsidP="00F35929">
            <w:r>
              <w:t>3</w:t>
            </w:r>
            <w:r w:rsidR="00853332">
              <w:t>2.00</w:t>
            </w:r>
          </w:p>
        </w:tc>
        <w:tc>
          <w:tcPr>
            <w:tcW w:w="1820" w:type="dxa"/>
          </w:tcPr>
          <w:p w14:paraId="39AF3C35" w14:textId="7ECC1215" w:rsidR="00312F34" w:rsidRDefault="00312F34" w:rsidP="00F35929">
            <w:r>
              <w:t>4</w:t>
            </w:r>
            <w:r w:rsidR="00853332">
              <w:t>3.00</w:t>
            </w:r>
          </w:p>
        </w:tc>
        <w:tc>
          <w:tcPr>
            <w:tcW w:w="1730" w:type="dxa"/>
          </w:tcPr>
          <w:p w14:paraId="749F9107" w14:textId="6792CA33" w:rsidR="00312F34" w:rsidRDefault="00312F34" w:rsidP="00F35929">
            <w:r>
              <w:t>5</w:t>
            </w:r>
            <w:r w:rsidR="00853332">
              <w:t>8.50</w:t>
            </w:r>
          </w:p>
        </w:tc>
      </w:tr>
      <w:tr w:rsidR="00312F34" w14:paraId="30050451" w14:textId="77777777" w:rsidTr="008058BF">
        <w:tc>
          <w:tcPr>
            <w:tcW w:w="3901" w:type="dxa"/>
          </w:tcPr>
          <w:p w14:paraId="53C679F4" w14:textId="6CA3E946" w:rsidR="00312F34" w:rsidRDefault="00312F34" w:rsidP="00F35929">
            <w:r>
              <w:t xml:space="preserve"> </w:t>
            </w:r>
            <w:r w:rsidR="000F5222">
              <w:t xml:space="preserve"> </w:t>
            </w:r>
            <w:r>
              <w:t>Northeast</w:t>
            </w:r>
          </w:p>
        </w:tc>
        <w:tc>
          <w:tcPr>
            <w:tcW w:w="1819" w:type="dxa"/>
          </w:tcPr>
          <w:p w14:paraId="00415A8A" w14:textId="1E238CFF" w:rsidR="00312F34" w:rsidRDefault="00853332" w:rsidP="00F35929">
            <w:r>
              <w:t>40.00</w:t>
            </w:r>
          </w:p>
        </w:tc>
        <w:tc>
          <w:tcPr>
            <w:tcW w:w="1820" w:type="dxa"/>
          </w:tcPr>
          <w:p w14:paraId="024406AB" w14:textId="69C21BB4" w:rsidR="00312F34" w:rsidRDefault="00853332" w:rsidP="00F35929">
            <w:r>
              <w:t>53.00</w:t>
            </w:r>
          </w:p>
        </w:tc>
        <w:tc>
          <w:tcPr>
            <w:tcW w:w="1730" w:type="dxa"/>
          </w:tcPr>
          <w:p w14:paraId="24AE1FF0" w14:textId="1A32390B" w:rsidR="00312F34" w:rsidRDefault="00853332" w:rsidP="00F35929">
            <w:r>
              <w:t>69.00</w:t>
            </w:r>
          </w:p>
        </w:tc>
      </w:tr>
      <w:tr w:rsidR="00312F34" w14:paraId="5370B965" w14:textId="77777777" w:rsidTr="008058BF">
        <w:tc>
          <w:tcPr>
            <w:tcW w:w="3901" w:type="dxa"/>
          </w:tcPr>
          <w:p w14:paraId="4B8374A3" w14:textId="77777777" w:rsidR="00312F34" w:rsidRPr="001B5243" w:rsidRDefault="00312F34" w:rsidP="00F35929">
            <w:r>
              <w:t>Educational level (</w:t>
            </w:r>
            <w:r>
              <w:rPr>
                <w:i/>
                <w:iCs/>
              </w:rPr>
              <w:t>N</w:t>
            </w:r>
            <w:r>
              <w:t xml:space="preserve"> = 222)</w:t>
            </w:r>
          </w:p>
        </w:tc>
        <w:tc>
          <w:tcPr>
            <w:tcW w:w="1819" w:type="dxa"/>
          </w:tcPr>
          <w:p w14:paraId="0D1E698F" w14:textId="77777777" w:rsidR="00312F34" w:rsidRDefault="00312F34" w:rsidP="00F35929"/>
        </w:tc>
        <w:tc>
          <w:tcPr>
            <w:tcW w:w="1820" w:type="dxa"/>
          </w:tcPr>
          <w:p w14:paraId="1FB1AB0E" w14:textId="77777777" w:rsidR="00312F34" w:rsidRDefault="00312F34" w:rsidP="00F35929"/>
        </w:tc>
        <w:tc>
          <w:tcPr>
            <w:tcW w:w="1730" w:type="dxa"/>
          </w:tcPr>
          <w:p w14:paraId="476B83BF" w14:textId="77777777" w:rsidR="00312F34" w:rsidRDefault="00312F34" w:rsidP="00F35929"/>
        </w:tc>
      </w:tr>
      <w:tr w:rsidR="00312F34" w14:paraId="4AF68D77" w14:textId="77777777" w:rsidTr="008058BF">
        <w:tc>
          <w:tcPr>
            <w:tcW w:w="3901" w:type="dxa"/>
          </w:tcPr>
          <w:p w14:paraId="26852EFD" w14:textId="6739191D" w:rsidR="00312F34" w:rsidRPr="00A26265" w:rsidRDefault="00312F34" w:rsidP="00F35929">
            <w:pPr>
              <w:rPr>
                <w:vertAlign w:val="subscript"/>
              </w:rPr>
            </w:pPr>
            <w:r>
              <w:t xml:space="preserve"> </w:t>
            </w:r>
            <w:r w:rsidR="000F5222">
              <w:t xml:space="preserve"> </w:t>
            </w:r>
            <w:r>
              <w:t xml:space="preserve">Less than high </w:t>
            </w:r>
            <w:proofErr w:type="spellStart"/>
            <w:r>
              <w:t>school</w:t>
            </w:r>
            <w:r w:rsidRPr="003E0A38">
              <w:rPr>
                <w:vertAlign w:val="superscript"/>
              </w:rPr>
              <w:t>a</w:t>
            </w:r>
            <w:proofErr w:type="spellEnd"/>
          </w:p>
        </w:tc>
        <w:tc>
          <w:tcPr>
            <w:tcW w:w="1819" w:type="dxa"/>
          </w:tcPr>
          <w:p w14:paraId="5E685B7A" w14:textId="77777777" w:rsidR="00312F34" w:rsidRDefault="00312F34" w:rsidP="00F35929">
            <w:r>
              <w:t>50.00</w:t>
            </w:r>
          </w:p>
        </w:tc>
        <w:tc>
          <w:tcPr>
            <w:tcW w:w="1820" w:type="dxa"/>
          </w:tcPr>
          <w:p w14:paraId="26DFC8CC" w14:textId="77777777" w:rsidR="00312F34" w:rsidRDefault="00312F34" w:rsidP="00F35929">
            <w:r>
              <w:t>74.00</w:t>
            </w:r>
          </w:p>
        </w:tc>
        <w:tc>
          <w:tcPr>
            <w:tcW w:w="1730" w:type="dxa"/>
          </w:tcPr>
          <w:p w14:paraId="5EC8135F" w14:textId="79E324CC" w:rsidR="00312F34" w:rsidRDefault="00853332" w:rsidP="00F35929">
            <w:r>
              <w:t>73.00</w:t>
            </w:r>
          </w:p>
        </w:tc>
      </w:tr>
      <w:tr w:rsidR="00312F34" w14:paraId="374343A8" w14:textId="77777777" w:rsidTr="008058BF">
        <w:tc>
          <w:tcPr>
            <w:tcW w:w="3901" w:type="dxa"/>
          </w:tcPr>
          <w:p w14:paraId="6F9DEF1C" w14:textId="148562F3" w:rsidR="00312F34" w:rsidRDefault="00312F34" w:rsidP="00F35929">
            <w:r>
              <w:t xml:space="preserve"> </w:t>
            </w:r>
            <w:r w:rsidR="000F5222">
              <w:t xml:space="preserve"> </w:t>
            </w:r>
            <w:r>
              <w:t>High school graduate</w:t>
            </w:r>
          </w:p>
        </w:tc>
        <w:tc>
          <w:tcPr>
            <w:tcW w:w="1819" w:type="dxa"/>
          </w:tcPr>
          <w:p w14:paraId="18EB000F" w14:textId="551999B9" w:rsidR="00312F34" w:rsidRDefault="00853332" w:rsidP="00F35929">
            <w:r>
              <w:t>35.00</w:t>
            </w:r>
          </w:p>
        </w:tc>
        <w:tc>
          <w:tcPr>
            <w:tcW w:w="1820" w:type="dxa"/>
          </w:tcPr>
          <w:p w14:paraId="366C4703" w14:textId="41F8BC7B" w:rsidR="00312F34" w:rsidRDefault="00853332" w:rsidP="00F35929">
            <w:r>
              <w:t>43.00</w:t>
            </w:r>
          </w:p>
        </w:tc>
        <w:tc>
          <w:tcPr>
            <w:tcW w:w="1730" w:type="dxa"/>
          </w:tcPr>
          <w:p w14:paraId="0CC196E1" w14:textId="28AB8CD3" w:rsidR="00312F34" w:rsidRDefault="00853332" w:rsidP="00F35929">
            <w:r>
              <w:t>48.00</w:t>
            </w:r>
          </w:p>
        </w:tc>
      </w:tr>
      <w:tr w:rsidR="00312F34" w14:paraId="2A5D8F3B" w14:textId="77777777" w:rsidTr="008058BF">
        <w:tc>
          <w:tcPr>
            <w:tcW w:w="3901" w:type="dxa"/>
          </w:tcPr>
          <w:p w14:paraId="2A8748E4" w14:textId="5C31CFF4" w:rsidR="00312F34" w:rsidRDefault="00312F34" w:rsidP="00F35929">
            <w:r>
              <w:t xml:space="preserve"> </w:t>
            </w:r>
            <w:r w:rsidR="000F5222">
              <w:t xml:space="preserve"> </w:t>
            </w:r>
            <w:r>
              <w:t>Vocational/ trade/ technical school</w:t>
            </w:r>
          </w:p>
        </w:tc>
        <w:tc>
          <w:tcPr>
            <w:tcW w:w="1819" w:type="dxa"/>
          </w:tcPr>
          <w:p w14:paraId="230429E6" w14:textId="26003D29" w:rsidR="00312F34" w:rsidRDefault="00312F34" w:rsidP="00F35929">
            <w:r>
              <w:t>3</w:t>
            </w:r>
            <w:r w:rsidR="00853332">
              <w:t>2.50</w:t>
            </w:r>
          </w:p>
        </w:tc>
        <w:tc>
          <w:tcPr>
            <w:tcW w:w="1820" w:type="dxa"/>
          </w:tcPr>
          <w:p w14:paraId="237D902F" w14:textId="7508FD9E" w:rsidR="00312F34" w:rsidRDefault="00312F34" w:rsidP="00F35929">
            <w:r>
              <w:t>4</w:t>
            </w:r>
            <w:r w:rsidR="00853332">
              <w:t>3.00</w:t>
            </w:r>
          </w:p>
        </w:tc>
        <w:tc>
          <w:tcPr>
            <w:tcW w:w="1730" w:type="dxa"/>
          </w:tcPr>
          <w:p w14:paraId="625672A6" w14:textId="548A973D" w:rsidR="00312F34" w:rsidRDefault="00853332" w:rsidP="00F35929">
            <w:r>
              <w:t>49.00</w:t>
            </w:r>
          </w:p>
        </w:tc>
      </w:tr>
      <w:tr w:rsidR="00312F34" w14:paraId="7505375F" w14:textId="77777777" w:rsidTr="008058BF">
        <w:tc>
          <w:tcPr>
            <w:tcW w:w="3901" w:type="dxa"/>
          </w:tcPr>
          <w:p w14:paraId="624C9E47" w14:textId="7E03AF02" w:rsidR="00312F34" w:rsidRDefault="00312F34" w:rsidP="00F35929">
            <w:r>
              <w:t xml:space="preserve"> </w:t>
            </w:r>
            <w:r w:rsidR="000F5222">
              <w:t xml:space="preserve"> </w:t>
            </w:r>
            <w:r>
              <w:t>Some college</w:t>
            </w:r>
          </w:p>
        </w:tc>
        <w:tc>
          <w:tcPr>
            <w:tcW w:w="1819" w:type="dxa"/>
          </w:tcPr>
          <w:p w14:paraId="3060ED73" w14:textId="37EE2F4E" w:rsidR="00312F34" w:rsidRDefault="00312F34" w:rsidP="00F35929">
            <w:r>
              <w:t>3</w:t>
            </w:r>
            <w:r w:rsidR="00853332">
              <w:t>5.00</w:t>
            </w:r>
          </w:p>
        </w:tc>
        <w:tc>
          <w:tcPr>
            <w:tcW w:w="1820" w:type="dxa"/>
          </w:tcPr>
          <w:p w14:paraId="47DC10BF" w14:textId="5852630F" w:rsidR="00312F34" w:rsidRDefault="00853332" w:rsidP="00F35929">
            <w:r>
              <w:t>42.00</w:t>
            </w:r>
          </w:p>
        </w:tc>
        <w:tc>
          <w:tcPr>
            <w:tcW w:w="1730" w:type="dxa"/>
          </w:tcPr>
          <w:p w14:paraId="7492894B" w14:textId="75549658" w:rsidR="00312F34" w:rsidRDefault="00853332" w:rsidP="00F35929">
            <w:r>
              <w:t>55.00</w:t>
            </w:r>
          </w:p>
        </w:tc>
      </w:tr>
      <w:tr w:rsidR="00312F34" w14:paraId="27762CBA" w14:textId="77777777" w:rsidTr="008058BF">
        <w:tc>
          <w:tcPr>
            <w:tcW w:w="3901" w:type="dxa"/>
          </w:tcPr>
          <w:p w14:paraId="642A347D" w14:textId="6E5DEB17" w:rsidR="00312F34" w:rsidRDefault="00312F34" w:rsidP="00F35929">
            <w:r>
              <w:t xml:space="preserve"> </w:t>
            </w:r>
            <w:r w:rsidR="000F5222">
              <w:t xml:space="preserve"> </w:t>
            </w:r>
            <w:r>
              <w:t>Bachelor’s degree</w:t>
            </w:r>
          </w:p>
        </w:tc>
        <w:tc>
          <w:tcPr>
            <w:tcW w:w="1819" w:type="dxa"/>
          </w:tcPr>
          <w:p w14:paraId="422C9EB7" w14:textId="26BA078A" w:rsidR="00312F34" w:rsidRDefault="00312F34" w:rsidP="00F35929">
            <w:r>
              <w:t>3</w:t>
            </w:r>
            <w:r w:rsidR="00853332">
              <w:t>3.00</w:t>
            </w:r>
          </w:p>
        </w:tc>
        <w:tc>
          <w:tcPr>
            <w:tcW w:w="1820" w:type="dxa"/>
          </w:tcPr>
          <w:p w14:paraId="388AD175" w14:textId="716B3706" w:rsidR="00312F34" w:rsidRDefault="00312F34" w:rsidP="00F35929">
            <w:r>
              <w:t>4</w:t>
            </w:r>
            <w:r w:rsidR="00853332">
              <w:t>3.00</w:t>
            </w:r>
          </w:p>
        </w:tc>
        <w:tc>
          <w:tcPr>
            <w:tcW w:w="1730" w:type="dxa"/>
          </w:tcPr>
          <w:p w14:paraId="4590B072" w14:textId="09BF1B19" w:rsidR="00312F34" w:rsidRDefault="00853332" w:rsidP="00F35929">
            <w:r>
              <w:t>59.00</w:t>
            </w:r>
          </w:p>
        </w:tc>
      </w:tr>
      <w:tr w:rsidR="00312F34" w14:paraId="110F8AD7" w14:textId="77777777" w:rsidTr="008058BF">
        <w:tc>
          <w:tcPr>
            <w:tcW w:w="3901" w:type="dxa"/>
          </w:tcPr>
          <w:p w14:paraId="7B9E9D34" w14:textId="2410CBDE" w:rsidR="00312F34" w:rsidRDefault="00312F34" w:rsidP="00F35929">
            <w:r>
              <w:t xml:space="preserve"> </w:t>
            </w:r>
            <w:r w:rsidR="000F5222">
              <w:t xml:space="preserve"> </w:t>
            </w:r>
            <w:r>
              <w:t>Advanced degree</w:t>
            </w:r>
          </w:p>
        </w:tc>
        <w:tc>
          <w:tcPr>
            <w:tcW w:w="1819" w:type="dxa"/>
          </w:tcPr>
          <w:p w14:paraId="0F01D898" w14:textId="58688FF5" w:rsidR="00312F34" w:rsidRDefault="00312F34" w:rsidP="00F35929">
            <w:r>
              <w:t>3</w:t>
            </w:r>
            <w:r w:rsidR="00853332">
              <w:t>2.00</w:t>
            </w:r>
          </w:p>
        </w:tc>
        <w:tc>
          <w:tcPr>
            <w:tcW w:w="1820" w:type="dxa"/>
          </w:tcPr>
          <w:p w14:paraId="06457D08" w14:textId="327CEEF4" w:rsidR="00312F34" w:rsidRDefault="00312F34" w:rsidP="00F35929">
            <w:r>
              <w:t>4</w:t>
            </w:r>
            <w:r w:rsidR="00853332">
              <w:t>3.00</w:t>
            </w:r>
          </w:p>
        </w:tc>
        <w:tc>
          <w:tcPr>
            <w:tcW w:w="1730" w:type="dxa"/>
          </w:tcPr>
          <w:p w14:paraId="7D26E8A1" w14:textId="5A858047" w:rsidR="00312F34" w:rsidRDefault="00853332" w:rsidP="00F35929">
            <w:r>
              <w:t>62.00</w:t>
            </w:r>
          </w:p>
        </w:tc>
      </w:tr>
    </w:tbl>
    <w:p w14:paraId="1C4E22CA" w14:textId="77777777" w:rsidR="00FA53C2" w:rsidRPr="00A26265" w:rsidRDefault="00FA53C2" w:rsidP="00FA53C2">
      <w:pPr>
        <w:spacing w:line="480" w:lineRule="auto"/>
        <w:rPr>
          <w:color w:val="000000" w:themeColor="text1"/>
        </w:rPr>
      </w:pPr>
      <w:proofErr w:type="spellStart"/>
      <w:r w:rsidRPr="003E0A38">
        <w:rPr>
          <w:color w:val="000000" w:themeColor="text1"/>
          <w:vertAlign w:val="superscript"/>
        </w:rPr>
        <w:t>a</w:t>
      </w:r>
      <w:r>
        <w:rPr>
          <w:color w:val="000000" w:themeColor="text1"/>
        </w:rPr>
        <w:t>Only</w:t>
      </w:r>
      <w:proofErr w:type="spellEnd"/>
      <w:r>
        <w:rPr>
          <w:color w:val="000000" w:themeColor="text1"/>
        </w:rPr>
        <w:t xml:space="preserve"> one participant reported less than high school as their highest level of education</w:t>
      </w:r>
    </w:p>
    <w:p w14:paraId="61C37CC7" w14:textId="77777777" w:rsidR="00F2128A" w:rsidRDefault="00F2128A" w:rsidP="00FA53C2">
      <w:pPr>
        <w:spacing w:line="480" w:lineRule="auto"/>
        <w:rPr>
          <w:b/>
          <w:bCs/>
          <w:color w:val="000000" w:themeColor="text1"/>
        </w:rPr>
      </w:pPr>
    </w:p>
    <w:p w14:paraId="747588D6" w14:textId="77777777" w:rsidR="0062255E" w:rsidRDefault="0062255E" w:rsidP="00FA53C2">
      <w:pPr>
        <w:spacing w:line="480" w:lineRule="auto"/>
        <w:rPr>
          <w:b/>
          <w:bCs/>
          <w:color w:val="000000" w:themeColor="text1"/>
        </w:rPr>
      </w:pPr>
    </w:p>
    <w:p w14:paraId="54F4B6A1" w14:textId="77777777" w:rsidR="0062255E" w:rsidRDefault="0062255E" w:rsidP="00FA53C2">
      <w:pPr>
        <w:spacing w:line="480" w:lineRule="auto"/>
        <w:rPr>
          <w:b/>
          <w:bCs/>
          <w:color w:val="000000" w:themeColor="text1"/>
        </w:rPr>
      </w:pPr>
    </w:p>
    <w:p w14:paraId="7C995A33" w14:textId="5C0F6078" w:rsidR="00FA53C2" w:rsidRPr="00F001D6" w:rsidRDefault="00FA53C2" w:rsidP="00FA53C2">
      <w:pPr>
        <w:spacing w:line="480" w:lineRule="auto"/>
        <w:rPr>
          <w:b/>
          <w:bCs/>
          <w:color w:val="000000" w:themeColor="text1"/>
        </w:rPr>
      </w:pPr>
      <w:r w:rsidRPr="00F001D6">
        <w:rPr>
          <w:b/>
          <w:bCs/>
          <w:color w:val="000000" w:themeColor="text1"/>
        </w:rPr>
        <w:lastRenderedPageBreak/>
        <w:t xml:space="preserve">Overeating </w:t>
      </w:r>
    </w:p>
    <w:p w14:paraId="222646EC" w14:textId="4F59A834" w:rsidR="00FA53C2" w:rsidRPr="006A26FA" w:rsidRDefault="00FA53C2" w:rsidP="00FA53C2">
      <w:pPr>
        <w:spacing w:line="480" w:lineRule="auto"/>
        <w:rPr>
          <w:color w:val="000000" w:themeColor="text1"/>
        </w:rPr>
      </w:pPr>
      <w:r w:rsidRPr="00F001D6">
        <w:rPr>
          <w:color w:val="000000" w:themeColor="text1"/>
        </w:rPr>
        <w:tab/>
        <w:t>Participants reported overeating an average of 4.55 days (</w:t>
      </w:r>
      <w:r w:rsidRPr="00F001D6">
        <w:rPr>
          <w:i/>
          <w:iCs/>
          <w:color w:val="000000" w:themeColor="text1"/>
        </w:rPr>
        <w:t xml:space="preserve">SD </w:t>
      </w:r>
      <w:r w:rsidRPr="00F001D6">
        <w:rPr>
          <w:color w:val="000000" w:themeColor="text1"/>
        </w:rPr>
        <w:t>= 6.89; range = 0</w:t>
      </w:r>
      <w:r w:rsidR="003E0A38">
        <w:rPr>
          <w:color w:val="000000" w:themeColor="text1"/>
        </w:rPr>
        <w:t>–</w:t>
      </w:r>
      <w:r w:rsidRPr="00F001D6">
        <w:rPr>
          <w:color w:val="000000" w:themeColor="text1"/>
        </w:rPr>
        <w:t xml:space="preserve">28) in the past 28 days. Across each race/ethnicity, </w:t>
      </w:r>
      <w:r w:rsidR="005F1C1C">
        <w:rPr>
          <w:color w:val="000000" w:themeColor="text1"/>
        </w:rPr>
        <w:t>African Americans/Blacks</w:t>
      </w:r>
      <w:r w:rsidRPr="00F001D6">
        <w:rPr>
          <w:color w:val="000000" w:themeColor="text1"/>
        </w:rPr>
        <w:t xml:space="preserve"> averaged 5.13 days (</w:t>
      </w:r>
      <w:r w:rsidRPr="00F001D6">
        <w:rPr>
          <w:i/>
          <w:iCs/>
          <w:color w:val="000000" w:themeColor="text1"/>
        </w:rPr>
        <w:t xml:space="preserve">SD </w:t>
      </w:r>
      <w:r w:rsidRPr="00F001D6">
        <w:rPr>
          <w:color w:val="000000" w:themeColor="text1"/>
        </w:rPr>
        <w:t>= 7.11), Hispanic/Latino(a)/Spanish Americans averaged 5.67 days (</w:t>
      </w:r>
      <w:r w:rsidRPr="00F001D6">
        <w:rPr>
          <w:i/>
          <w:iCs/>
          <w:color w:val="000000" w:themeColor="text1"/>
        </w:rPr>
        <w:t xml:space="preserve">SD </w:t>
      </w:r>
      <w:r w:rsidRPr="00F001D6">
        <w:rPr>
          <w:color w:val="000000" w:themeColor="text1"/>
        </w:rPr>
        <w:t>= 6.47), and American Indians averaged 7.17 days (</w:t>
      </w:r>
      <w:r w:rsidRPr="00F001D6">
        <w:rPr>
          <w:i/>
          <w:iCs/>
          <w:color w:val="000000" w:themeColor="text1"/>
        </w:rPr>
        <w:t xml:space="preserve">SD </w:t>
      </w:r>
      <w:r w:rsidRPr="00F001D6">
        <w:rPr>
          <w:color w:val="000000" w:themeColor="text1"/>
        </w:rPr>
        <w:t>= 7.86) of overeating</w:t>
      </w:r>
      <w:r>
        <w:rPr>
          <w:color w:val="000000" w:themeColor="text1"/>
        </w:rPr>
        <w:t>. To assess potential overeating differences between the racial/ethnic groups, a Kruskal</w:t>
      </w:r>
      <w:r w:rsidR="00C11760">
        <w:rPr>
          <w:color w:val="000000" w:themeColor="text1"/>
        </w:rPr>
        <w:t>-</w:t>
      </w:r>
      <w:r>
        <w:rPr>
          <w:color w:val="000000" w:themeColor="text1"/>
        </w:rPr>
        <w:t>Wallis was run. T</w:t>
      </w:r>
      <w:r w:rsidRPr="00F001D6">
        <w:rPr>
          <w:color w:val="000000" w:themeColor="text1"/>
        </w:rPr>
        <w:t xml:space="preserve">here was not a significant difference in </w:t>
      </w:r>
      <w:r>
        <w:rPr>
          <w:color w:val="000000" w:themeColor="text1"/>
        </w:rPr>
        <w:t xml:space="preserve">reported days of overeating across race/ethnicity, </w:t>
      </w:r>
      <w:r w:rsidR="00853332" w:rsidRPr="00853332">
        <w:rPr>
          <w:color w:val="000000" w:themeColor="text1"/>
        </w:rPr>
        <w:t>χ</w:t>
      </w:r>
      <w:r w:rsidR="00853332" w:rsidRPr="00853332">
        <w:rPr>
          <w:color w:val="000000" w:themeColor="text1"/>
          <w:vertAlign w:val="superscript"/>
        </w:rPr>
        <w:t>2</w:t>
      </w:r>
      <w:r>
        <w:rPr>
          <w:color w:val="000000" w:themeColor="text1"/>
        </w:rPr>
        <w:t xml:space="preserve">(2) = 4.286, </w:t>
      </w:r>
      <w:r w:rsidR="00932390">
        <w:rPr>
          <w:i/>
          <w:iCs/>
          <w:color w:val="000000" w:themeColor="text1"/>
        </w:rPr>
        <w:t>p = .</w:t>
      </w:r>
      <w:r>
        <w:rPr>
          <w:color w:val="000000" w:themeColor="text1"/>
        </w:rPr>
        <w:t>117.</w:t>
      </w:r>
    </w:p>
    <w:p w14:paraId="317B90E5" w14:textId="7042CB63" w:rsidR="00FA53C2" w:rsidRPr="006B1AE3" w:rsidRDefault="00FA53C2" w:rsidP="00FA53C2">
      <w:pPr>
        <w:spacing w:line="480" w:lineRule="auto"/>
        <w:ind w:firstLine="720"/>
        <w:rPr>
          <w:color w:val="000000" w:themeColor="text1"/>
        </w:rPr>
      </w:pPr>
      <w:r>
        <w:rPr>
          <w:color w:val="000000" w:themeColor="text1"/>
        </w:rPr>
        <w:t xml:space="preserve">A Mann-Whitney U test was run to assess potential differences in overeating between males and females. </w:t>
      </w:r>
      <w:r w:rsidRPr="002E2882">
        <w:rPr>
          <w:color w:val="000000" w:themeColor="text1"/>
        </w:rPr>
        <w:t xml:space="preserve">Contrary to the </w:t>
      </w:r>
      <w:r w:rsidR="002E2882" w:rsidRPr="002E2882">
        <w:rPr>
          <w:color w:val="000000" w:themeColor="text1"/>
        </w:rPr>
        <w:t xml:space="preserve">research </w:t>
      </w:r>
      <w:r w:rsidRPr="002E2882">
        <w:rPr>
          <w:color w:val="000000" w:themeColor="text1"/>
        </w:rPr>
        <w:t xml:space="preserve">hypothesis, males </w:t>
      </w:r>
      <w:r w:rsidR="00312F34" w:rsidRPr="002E2882">
        <w:rPr>
          <w:color w:val="000000" w:themeColor="text1"/>
        </w:rPr>
        <w:t>(</w:t>
      </w:r>
      <w:proofErr w:type="spellStart"/>
      <w:r w:rsidR="00312F34" w:rsidRPr="002E2882">
        <w:rPr>
          <w:i/>
          <w:iCs/>
          <w:color w:val="000000" w:themeColor="text1"/>
        </w:rPr>
        <w:t>Mdn</w:t>
      </w:r>
      <w:proofErr w:type="spellEnd"/>
      <w:r w:rsidR="00312F34" w:rsidRPr="002E2882">
        <w:rPr>
          <w:i/>
          <w:iCs/>
          <w:color w:val="000000" w:themeColor="text1"/>
        </w:rPr>
        <w:t xml:space="preserve"> </w:t>
      </w:r>
      <w:r w:rsidR="00312F34" w:rsidRPr="002E2882">
        <w:rPr>
          <w:color w:val="000000" w:themeColor="text1"/>
        </w:rPr>
        <w:t xml:space="preserve">= </w:t>
      </w:r>
      <w:r w:rsidR="002E2882" w:rsidRPr="002E2882">
        <w:rPr>
          <w:color w:val="000000" w:themeColor="text1"/>
        </w:rPr>
        <w:t>3.50</w:t>
      </w:r>
      <w:r w:rsidR="00312F34" w:rsidRPr="002E2882">
        <w:rPr>
          <w:color w:val="000000" w:themeColor="text1"/>
        </w:rPr>
        <w:t xml:space="preserve">) </w:t>
      </w:r>
      <w:r w:rsidRPr="002E2882">
        <w:rPr>
          <w:color w:val="000000" w:themeColor="text1"/>
        </w:rPr>
        <w:t>and females</w:t>
      </w:r>
      <w:r w:rsidR="00312F34" w:rsidRPr="002E2882">
        <w:rPr>
          <w:color w:val="000000" w:themeColor="text1"/>
        </w:rPr>
        <w:t xml:space="preserve"> (</w:t>
      </w:r>
      <w:proofErr w:type="spellStart"/>
      <w:r w:rsidR="00312F34" w:rsidRPr="002E2882">
        <w:rPr>
          <w:i/>
          <w:iCs/>
          <w:color w:val="000000" w:themeColor="text1"/>
        </w:rPr>
        <w:t>Mdn</w:t>
      </w:r>
      <w:proofErr w:type="spellEnd"/>
      <w:r w:rsidR="00312F34" w:rsidRPr="002E2882">
        <w:rPr>
          <w:i/>
          <w:iCs/>
          <w:color w:val="000000" w:themeColor="text1"/>
        </w:rPr>
        <w:t xml:space="preserve"> </w:t>
      </w:r>
      <w:r w:rsidR="00312F34" w:rsidRPr="002E2882">
        <w:rPr>
          <w:color w:val="000000" w:themeColor="text1"/>
        </w:rPr>
        <w:t xml:space="preserve">= </w:t>
      </w:r>
      <w:r w:rsidR="002E2882" w:rsidRPr="002E2882">
        <w:rPr>
          <w:color w:val="000000" w:themeColor="text1"/>
        </w:rPr>
        <w:t>3.00</w:t>
      </w:r>
      <w:r w:rsidR="00312F34" w:rsidRPr="002E2882">
        <w:rPr>
          <w:color w:val="000000" w:themeColor="text1"/>
        </w:rPr>
        <w:t>)</w:t>
      </w:r>
      <w:r w:rsidRPr="002E2882">
        <w:rPr>
          <w:color w:val="000000" w:themeColor="text1"/>
        </w:rPr>
        <w:t xml:space="preserve"> did not differ in their reports of overeating from the past 28 days (</w:t>
      </w:r>
      <w:r w:rsidR="00312F34" w:rsidRPr="002E2882">
        <w:rPr>
          <w:i/>
          <w:iCs/>
          <w:color w:val="000000" w:themeColor="text1"/>
        </w:rPr>
        <w:t xml:space="preserve">U </w:t>
      </w:r>
      <w:r w:rsidR="00312F34" w:rsidRPr="002E2882">
        <w:rPr>
          <w:color w:val="000000" w:themeColor="text1"/>
        </w:rPr>
        <w:t xml:space="preserve">= </w:t>
      </w:r>
      <w:r w:rsidR="00853332" w:rsidRPr="002E2882">
        <w:rPr>
          <w:color w:val="000000" w:themeColor="text1"/>
        </w:rPr>
        <w:t>5030.00</w:t>
      </w:r>
      <w:r w:rsidR="00312F34" w:rsidRPr="002E2882">
        <w:rPr>
          <w:color w:val="000000" w:themeColor="text1"/>
        </w:rPr>
        <w:t xml:space="preserve">, </w:t>
      </w:r>
      <w:r w:rsidR="00932390" w:rsidRPr="002E2882">
        <w:rPr>
          <w:i/>
          <w:iCs/>
          <w:color w:val="000000" w:themeColor="text1"/>
        </w:rPr>
        <w:t>p = .</w:t>
      </w:r>
      <w:r w:rsidRPr="002E2882">
        <w:rPr>
          <w:color w:val="000000" w:themeColor="text1"/>
        </w:rPr>
        <w:t xml:space="preserve">69). Potential differences in overeating were also assessed across geographical regions using a Kruskal Wallis test; however, no differences in reported overeating were found </w:t>
      </w:r>
      <w:r w:rsidR="00312F34" w:rsidRPr="002E2882">
        <w:rPr>
          <w:color w:val="000000" w:themeColor="text1"/>
        </w:rPr>
        <w:t>between the West (</w:t>
      </w:r>
      <w:proofErr w:type="spellStart"/>
      <w:r w:rsidR="00312F34" w:rsidRPr="002E2882">
        <w:rPr>
          <w:i/>
          <w:iCs/>
          <w:color w:val="000000" w:themeColor="text1"/>
        </w:rPr>
        <w:t>Mdn</w:t>
      </w:r>
      <w:proofErr w:type="spellEnd"/>
      <w:r w:rsidR="00312F34" w:rsidRPr="002E2882">
        <w:rPr>
          <w:i/>
          <w:iCs/>
          <w:color w:val="000000" w:themeColor="text1"/>
        </w:rPr>
        <w:t xml:space="preserve"> </w:t>
      </w:r>
      <w:r w:rsidR="00312F34" w:rsidRPr="002E2882">
        <w:rPr>
          <w:color w:val="000000" w:themeColor="text1"/>
        </w:rPr>
        <w:t xml:space="preserve">= </w:t>
      </w:r>
      <w:r w:rsidR="002E2882" w:rsidRPr="002E2882">
        <w:rPr>
          <w:color w:val="000000" w:themeColor="text1"/>
        </w:rPr>
        <w:t>2.00</w:t>
      </w:r>
      <w:r w:rsidR="00312F34" w:rsidRPr="002E2882">
        <w:rPr>
          <w:color w:val="000000" w:themeColor="text1"/>
        </w:rPr>
        <w:t>), Midwest (</w:t>
      </w:r>
      <w:proofErr w:type="spellStart"/>
      <w:r w:rsidR="00312F34" w:rsidRPr="002E2882">
        <w:rPr>
          <w:i/>
          <w:iCs/>
          <w:color w:val="000000" w:themeColor="text1"/>
        </w:rPr>
        <w:t>Mdn</w:t>
      </w:r>
      <w:proofErr w:type="spellEnd"/>
      <w:r w:rsidR="00312F34" w:rsidRPr="002E2882">
        <w:rPr>
          <w:i/>
          <w:iCs/>
          <w:color w:val="000000" w:themeColor="text1"/>
        </w:rPr>
        <w:t xml:space="preserve"> </w:t>
      </w:r>
      <w:r w:rsidR="00312F34" w:rsidRPr="002E2882">
        <w:rPr>
          <w:color w:val="000000" w:themeColor="text1"/>
        </w:rPr>
        <w:t xml:space="preserve">= </w:t>
      </w:r>
      <w:r w:rsidR="002E2882" w:rsidRPr="002E2882">
        <w:rPr>
          <w:color w:val="000000" w:themeColor="text1"/>
        </w:rPr>
        <w:t>1.00</w:t>
      </w:r>
      <w:r w:rsidR="00312F34" w:rsidRPr="002E2882">
        <w:rPr>
          <w:color w:val="000000" w:themeColor="text1"/>
        </w:rPr>
        <w:t>), South (</w:t>
      </w:r>
      <w:proofErr w:type="spellStart"/>
      <w:r w:rsidR="00312F34" w:rsidRPr="002E2882">
        <w:rPr>
          <w:i/>
          <w:iCs/>
          <w:color w:val="000000" w:themeColor="text1"/>
        </w:rPr>
        <w:t>Mdn</w:t>
      </w:r>
      <w:proofErr w:type="spellEnd"/>
      <w:r w:rsidR="00312F34" w:rsidRPr="002E2882">
        <w:rPr>
          <w:i/>
          <w:iCs/>
          <w:color w:val="000000" w:themeColor="text1"/>
        </w:rPr>
        <w:t xml:space="preserve"> </w:t>
      </w:r>
      <w:r w:rsidR="00312F34" w:rsidRPr="002E2882">
        <w:rPr>
          <w:color w:val="000000" w:themeColor="text1"/>
        </w:rPr>
        <w:t xml:space="preserve">= </w:t>
      </w:r>
      <w:r w:rsidR="002E2882" w:rsidRPr="002E2882">
        <w:rPr>
          <w:color w:val="000000" w:themeColor="text1"/>
        </w:rPr>
        <w:t>3.00</w:t>
      </w:r>
      <w:r w:rsidR="00312F34" w:rsidRPr="002E2882">
        <w:rPr>
          <w:color w:val="000000" w:themeColor="text1"/>
        </w:rPr>
        <w:t>), and Northeast (</w:t>
      </w:r>
      <w:proofErr w:type="spellStart"/>
      <w:r w:rsidR="00312F34" w:rsidRPr="002E2882">
        <w:rPr>
          <w:i/>
          <w:iCs/>
          <w:color w:val="000000" w:themeColor="text1"/>
        </w:rPr>
        <w:t>Mdn</w:t>
      </w:r>
      <w:proofErr w:type="spellEnd"/>
      <w:r w:rsidR="00312F34" w:rsidRPr="002E2882">
        <w:rPr>
          <w:i/>
          <w:iCs/>
          <w:color w:val="000000" w:themeColor="text1"/>
        </w:rPr>
        <w:t xml:space="preserve"> </w:t>
      </w:r>
      <w:r w:rsidR="00312F34" w:rsidRPr="002E2882">
        <w:rPr>
          <w:color w:val="000000" w:themeColor="text1"/>
        </w:rPr>
        <w:t xml:space="preserve">= </w:t>
      </w:r>
      <w:r w:rsidR="002E2882" w:rsidRPr="002E2882">
        <w:rPr>
          <w:color w:val="000000" w:themeColor="text1"/>
        </w:rPr>
        <w:t>7.00</w:t>
      </w:r>
      <w:r w:rsidR="00312F34" w:rsidRPr="002E2882">
        <w:rPr>
          <w:color w:val="000000" w:themeColor="text1"/>
        </w:rPr>
        <w:t>, χ</w:t>
      </w:r>
      <w:r w:rsidR="00312F34" w:rsidRPr="002E2882">
        <w:rPr>
          <w:color w:val="000000" w:themeColor="text1"/>
          <w:vertAlign w:val="superscript"/>
        </w:rPr>
        <w:t>2</w:t>
      </w:r>
      <w:r w:rsidR="00312F34" w:rsidRPr="002E2882">
        <w:rPr>
          <w:color w:val="000000" w:themeColor="text1"/>
        </w:rPr>
        <w:t>(</w:t>
      </w:r>
      <w:r w:rsidR="00853332" w:rsidRPr="002E2882">
        <w:rPr>
          <w:color w:val="000000" w:themeColor="text1"/>
        </w:rPr>
        <w:t>3</w:t>
      </w:r>
      <w:r w:rsidR="00312F34" w:rsidRPr="002E2882">
        <w:rPr>
          <w:color w:val="000000" w:themeColor="text1"/>
        </w:rPr>
        <w:t xml:space="preserve">) = </w:t>
      </w:r>
      <w:r w:rsidR="00853332" w:rsidRPr="002E2882">
        <w:rPr>
          <w:color w:val="000000" w:themeColor="text1"/>
        </w:rPr>
        <w:t>5.04</w:t>
      </w:r>
      <w:r w:rsidR="00312F34" w:rsidRPr="002E2882">
        <w:rPr>
          <w:color w:val="000000" w:themeColor="text1"/>
        </w:rPr>
        <w:t xml:space="preserve">, </w:t>
      </w:r>
      <w:r w:rsidR="00932390" w:rsidRPr="002E2882">
        <w:rPr>
          <w:i/>
          <w:iCs/>
          <w:color w:val="000000" w:themeColor="text1"/>
        </w:rPr>
        <w:t>p = .</w:t>
      </w:r>
      <w:r w:rsidRPr="002E2882">
        <w:rPr>
          <w:color w:val="000000" w:themeColor="text1"/>
        </w:rPr>
        <w:t>169</w:t>
      </w:r>
      <w:r>
        <w:rPr>
          <w:color w:val="000000" w:themeColor="text1"/>
        </w:rPr>
        <w:t>).</w:t>
      </w:r>
      <w:r w:rsidR="005F1C1C">
        <w:rPr>
          <w:color w:val="000000" w:themeColor="text1"/>
        </w:rPr>
        <w:t xml:space="preserve"> </w:t>
      </w:r>
    </w:p>
    <w:p w14:paraId="4D076C0B" w14:textId="11B6C0E2" w:rsidR="00FA53C2" w:rsidRDefault="00FA53C2" w:rsidP="00312F34">
      <w:pPr>
        <w:spacing w:line="480" w:lineRule="auto"/>
        <w:ind w:firstLine="720"/>
        <w:rPr>
          <w:color w:val="000000" w:themeColor="text1"/>
        </w:rPr>
      </w:pPr>
      <w:r>
        <w:rPr>
          <w:color w:val="000000" w:themeColor="text1"/>
        </w:rPr>
        <w:t>Overeating was further assessed across various weight statuses using a series of Kruskal-Wallis tests. Only participants who reported their weight and height were considered for statistical analysis (</w:t>
      </w:r>
      <w:r>
        <w:rPr>
          <w:i/>
          <w:iCs/>
          <w:color w:val="000000" w:themeColor="text1"/>
        </w:rPr>
        <w:t>N</w:t>
      </w:r>
      <w:r>
        <w:rPr>
          <w:color w:val="000000" w:themeColor="text1"/>
        </w:rPr>
        <w:t xml:space="preserve"> = 188). </w:t>
      </w:r>
      <w:r w:rsidR="005559FF">
        <w:rPr>
          <w:color w:val="000000" w:themeColor="text1"/>
        </w:rPr>
        <w:t>The few participants with a BMI &lt;18.5 (</w:t>
      </w:r>
      <w:r w:rsidR="005559FF">
        <w:rPr>
          <w:i/>
          <w:iCs/>
          <w:color w:val="000000" w:themeColor="text1"/>
        </w:rPr>
        <w:t xml:space="preserve">n </w:t>
      </w:r>
      <w:r w:rsidR="005559FF">
        <w:rPr>
          <w:color w:val="000000" w:themeColor="text1"/>
        </w:rPr>
        <w:t xml:space="preserve">= 4) were </w:t>
      </w:r>
      <w:r w:rsidR="006E51E7">
        <w:rPr>
          <w:color w:val="000000" w:themeColor="text1"/>
        </w:rPr>
        <w:t>excluded</w:t>
      </w:r>
      <w:r w:rsidR="005559FF">
        <w:rPr>
          <w:color w:val="000000" w:themeColor="text1"/>
        </w:rPr>
        <w:t xml:space="preserve"> from the analyses. </w:t>
      </w:r>
      <w:r w:rsidR="002E2882" w:rsidRPr="005559FF">
        <w:rPr>
          <w:color w:val="000000" w:themeColor="text1"/>
        </w:rPr>
        <w:t>As</w:t>
      </w:r>
      <w:r w:rsidR="002E2882">
        <w:rPr>
          <w:color w:val="000000" w:themeColor="text1"/>
        </w:rPr>
        <w:t xml:space="preserve"> hypothesized, r</w:t>
      </w:r>
      <w:r>
        <w:rPr>
          <w:color w:val="000000" w:themeColor="text1"/>
        </w:rPr>
        <w:t xml:space="preserve">eports of overeating differed significantly by weight status </w:t>
      </w:r>
      <w:r w:rsidRPr="00853332">
        <w:rPr>
          <w:color w:val="000000" w:themeColor="text1"/>
        </w:rPr>
        <w:t>(</w:t>
      </w:r>
      <w:r w:rsidR="00312F34" w:rsidRPr="00853332">
        <w:rPr>
          <w:color w:val="000000" w:themeColor="text1"/>
        </w:rPr>
        <w:t>χ</w:t>
      </w:r>
      <w:r w:rsidR="00312F34" w:rsidRPr="00853332">
        <w:rPr>
          <w:color w:val="000000" w:themeColor="text1"/>
          <w:vertAlign w:val="superscript"/>
        </w:rPr>
        <w:t>2</w:t>
      </w:r>
      <w:r w:rsidR="00312F34" w:rsidRPr="00853332">
        <w:rPr>
          <w:color w:val="000000" w:themeColor="text1"/>
        </w:rPr>
        <w:t xml:space="preserve">(2) = </w:t>
      </w:r>
      <w:r w:rsidR="00853332" w:rsidRPr="00853332">
        <w:rPr>
          <w:color w:val="000000" w:themeColor="text1"/>
        </w:rPr>
        <w:t>17.37</w:t>
      </w:r>
      <w:r w:rsidR="00312F34" w:rsidRPr="00853332">
        <w:rPr>
          <w:color w:val="000000" w:themeColor="text1"/>
        </w:rPr>
        <w:t>, </w:t>
      </w:r>
      <w:r>
        <w:rPr>
          <w:i/>
          <w:iCs/>
          <w:color w:val="000000" w:themeColor="text1"/>
        </w:rPr>
        <w:t xml:space="preserve">p </w:t>
      </w:r>
      <w:r>
        <w:rPr>
          <w:color w:val="000000" w:themeColor="text1"/>
        </w:rPr>
        <w:t>&lt; .001).</w:t>
      </w:r>
      <w:r w:rsidR="005F1C1C">
        <w:rPr>
          <w:color w:val="000000" w:themeColor="text1"/>
        </w:rPr>
        <w:t xml:space="preserve"> </w:t>
      </w:r>
      <w:r w:rsidRPr="006B1AE3">
        <w:rPr>
          <w:color w:val="000000" w:themeColor="text1"/>
        </w:rPr>
        <w:t>The</w:t>
      </w:r>
      <w:r>
        <w:rPr>
          <w:color w:val="000000" w:themeColor="text1"/>
        </w:rPr>
        <w:t xml:space="preserve"> Mann-Whitney U test was run to determine where the significant differences occurred</w:t>
      </w:r>
      <w:r w:rsidR="00F2128A">
        <w:rPr>
          <w:color w:val="000000" w:themeColor="text1"/>
        </w:rPr>
        <w:t>, and the Bonferroni adjustment was used when assessing these statistics (</w:t>
      </w:r>
      <w:r w:rsidR="00F2128A">
        <w:rPr>
          <w:i/>
          <w:iCs/>
          <w:color w:val="000000" w:themeColor="text1"/>
        </w:rPr>
        <w:t>p</w:t>
      </w:r>
      <w:r w:rsidR="00F2128A">
        <w:rPr>
          <w:color w:val="000000" w:themeColor="text1"/>
        </w:rPr>
        <w:t xml:space="preserve"> &lt; .017)</w:t>
      </w:r>
      <w:r>
        <w:rPr>
          <w:color w:val="000000" w:themeColor="text1"/>
        </w:rPr>
        <w:t>.</w:t>
      </w:r>
      <w:r w:rsidR="005F1C1C">
        <w:rPr>
          <w:color w:val="000000" w:themeColor="text1"/>
        </w:rPr>
        <w:t xml:space="preserve"> </w:t>
      </w:r>
      <w:r w:rsidR="00853332">
        <w:rPr>
          <w:color w:val="000000" w:themeColor="text1"/>
        </w:rPr>
        <w:t>Participants with obesity</w:t>
      </w:r>
      <w:r w:rsidRPr="00F001D6">
        <w:rPr>
          <w:color w:val="000000" w:themeColor="text1"/>
        </w:rPr>
        <w:t xml:space="preserve"> reported more days of overeating (</w:t>
      </w:r>
      <w:proofErr w:type="spellStart"/>
      <w:r w:rsidRPr="00F001D6">
        <w:rPr>
          <w:i/>
          <w:iCs/>
          <w:color w:val="000000" w:themeColor="text1"/>
        </w:rPr>
        <w:t>Mdn</w:t>
      </w:r>
      <w:proofErr w:type="spellEnd"/>
      <w:r w:rsidRPr="00F001D6">
        <w:rPr>
          <w:color w:val="000000" w:themeColor="text1"/>
        </w:rPr>
        <w:t xml:space="preserve"> = 5.00</w:t>
      </w:r>
      <w:r w:rsidR="00062C3E">
        <w:rPr>
          <w:color w:val="000000" w:themeColor="text1"/>
        </w:rPr>
        <w:t xml:space="preserve">; </w:t>
      </w:r>
      <w:r w:rsidRPr="00F001D6">
        <w:rPr>
          <w:i/>
          <w:iCs/>
          <w:color w:val="000000" w:themeColor="text1"/>
        </w:rPr>
        <w:t>U</w:t>
      </w:r>
      <w:r w:rsidRPr="00F001D6">
        <w:rPr>
          <w:color w:val="000000" w:themeColor="text1"/>
        </w:rPr>
        <w:t xml:space="preserve"> = 12</w:t>
      </w:r>
      <w:r w:rsidR="00B8650D">
        <w:rPr>
          <w:color w:val="000000" w:themeColor="text1"/>
        </w:rPr>
        <w:t>63.50</w:t>
      </w:r>
      <w:r w:rsidRPr="00F001D6">
        <w:rPr>
          <w:color w:val="000000" w:themeColor="text1"/>
        </w:rPr>
        <w:t xml:space="preserve">, </w:t>
      </w:r>
      <w:r w:rsidRPr="00F001D6">
        <w:rPr>
          <w:i/>
          <w:iCs/>
          <w:color w:val="000000" w:themeColor="text1"/>
        </w:rPr>
        <w:t xml:space="preserve">p </w:t>
      </w:r>
      <w:r w:rsidRPr="00F001D6">
        <w:rPr>
          <w:color w:val="000000" w:themeColor="text1"/>
        </w:rPr>
        <w:t>&lt; 0.001</w:t>
      </w:r>
      <w:r w:rsidR="00D70192">
        <w:rPr>
          <w:color w:val="000000" w:themeColor="text1"/>
        </w:rPr>
        <w:t>)</w:t>
      </w:r>
      <w:r>
        <w:rPr>
          <w:color w:val="000000" w:themeColor="text1"/>
        </w:rPr>
        <w:t xml:space="preserve"> </w:t>
      </w:r>
      <w:r w:rsidRPr="00F001D6">
        <w:rPr>
          <w:color w:val="000000" w:themeColor="text1"/>
        </w:rPr>
        <w:t>as compared to normal weight participants (</w:t>
      </w:r>
      <w:proofErr w:type="spellStart"/>
      <w:r w:rsidRPr="00F001D6">
        <w:rPr>
          <w:i/>
          <w:iCs/>
          <w:color w:val="000000" w:themeColor="text1"/>
        </w:rPr>
        <w:t>Mdn</w:t>
      </w:r>
      <w:proofErr w:type="spellEnd"/>
      <w:r w:rsidRPr="00F001D6">
        <w:rPr>
          <w:color w:val="000000" w:themeColor="text1"/>
        </w:rPr>
        <w:t xml:space="preserve"> = 1.00). </w:t>
      </w:r>
      <w:r w:rsidR="003E0A38">
        <w:rPr>
          <w:color w:val="000000" w:themeColor="text1"/>
        </w:rPr>
        <w:t>Participants with obesity</w:t>
      </w:r>
      <w:r w:rsidRPr="00F001D6">
        <w:rPr>
          <w:color w:val="000000" w:themeColor="text1"/>
        </w:rPr>
        <w:t xml:space="preserve"> also overate</w:t>
      </w:r>
      <w:r>
        <w:rPr>
          <w:color w:val="000000" w:themeColor="text1"/>
        </w:rPr>
        <w:t xml:space="preserve"> </w:t>
      </w:r>
      <w:r w:rsidRPr="00CF47A3">
        <w:rPr>
          <w:color w:val="000000" w:themeColor="text1"/>
        </w:rPr>
        <w:t>(</w:t>
      </w:r>
      <w:proofErr w:type="spellStart"/>
      <w:r w:rsidRPr="00CF47A3">
        <w:rPr>
          <w:i/>
          <w:iCs/>
          <w:color w:val="000000" w:themeColor="text1"/>
        </w:rPr>
        <w:t>Mdn</w:t>
      </w:r>
      <w:proofErr w:type="spellEnd"/>
      <w:r w:rsidRPr="00CF47A3">
        <w:rPr>
          <w:color w:val="000000" w:themeColor="text1"/>
        </w:rPr>
        <w:t xml:space="preserve"> = 5.00)</w:t>
      </w:r>
      <w:r>
        <w:rPr>
          <w:color w:val="000000" w:themeColor="text1"/>
        </w:rPr>
        <w:t xml:space="preserve"> </w:t>
      </w:r>
      <w:r w:rsidRPr="00F001D6">
        <w:rPr>
          <w:color w:val="000000" w:themeColor="text1"/>
        </w:rPr>
        <w:t xml:space="preserve">significantly more than </w:t>
      </w:r>
      <w:r w:rsidR="003E0A38">
        <w:rPr>
          <w:color w:val="000000" w:themeColor="text1"/>
        </w:rPr>
        <w:t xml:space="preserve">participants </w:t>
      </w:r>
      <w:r w:rsidR="000F4CDE">
        <w:rPr>
          <w:color w:val="000000" w:themeColor="text1"/>
        </w:rPr>
        <w:t>categorized as over</w:t>
      </w:r>
      <w:r w:rsidR="003E0A38">
        <w:rPr>
          <w:color w:val="000000" w:themeColor="text1"/>
        </w:rPr>
        <w:t>weight</w:t>
      </w:r>
      <w:r w:rsidRPr="00F001D6">
        <w:rPr>
          <w:color w:val="000000" w:themeColor="text1"/>
        </w:rPr>
        <w:t xml:space="preserve"> (</w:t>
      </w:r>
      <w:proofErr w:type="spellStart"/>
      <w:r w:rsidRPr="00F001D6">
        <w:rPr>
          <w:i/>
          <w:iCs/>
          <w:color w:val="000000" w:themeColor="text1"/>
        </w:rPr>
        <w:t>Mdn</w:t>
      </w:r>
      <w:proofErr w:type="spellEnd"/>
      <w:r w:rsidRPr="00F001D6">
        <w:rPr>
          <w:i/>
          <w:iCs/>
          <w:color w:val="000000" w:themeColor="text1"/>
        </w:rPr>
        <w:t xml:space="preserve"> </w:t>
      </w:r>
      <w:r w:rsidRPr="00F001D6">
        <w:rPr>
          <w:color w:val="000000" w:themeColor="text1"/>
        </w:rPr>
        <w:t xml:space="preserve">= </w:t>
      </w:r>
      <w:r w:rsidRPr="00F001D6">
        <w:rPr>
          <w:color w:val="000000" w:themeColor="text1"/>
        </w:rPr>
        <w:lastRenderedPageBreak/>
        <w:t>3.00</w:t>
      </w:r>
      <w:r w:rsidR="00D70192">
        <w:rPr>
          <w:color w:val="000000" w:themeColor="text1"/>
        </w:rPr>
        <w:t xml:space="preserve">; </w:t>
      </w:r>
      <w:r w:rsidRPr="00F001D6">
        <w:rPr>
          <w:i/>
          <w:iCs/>
          <w:color w:val="000000" w:themeColor="text1"/>
        </w:rPr>
        <w:t xml:space="preserve">U </w:t>
      </w:r>
      <w:r w:rsidRPr="00F001D6">
        <w:rPr>
          <w:color w:val="000000" w:themeColor="text1"/>
        </w:rPr>
        <w:t xml:space="preserve">= 1495.00, </w:t>
      </w:r>
      <w:r w:rsidR="00932390">
        <w:rPr>
          <w:i/>
          <w:iCs/>
          <w:color w:val="000000" w:themeColor="text1"/>
        </w:rPr>
        <w:t>p = .</w:t>
      </w:r>
      <w:r w:rsidRPr="00F001D6">
        <w:rPr>
          <w:color w:val="000000" w:themeColor="text1"/>
        </w:rPr>
        <w:t>019</w:t>
      </w:r>
      <w:r w:rsidR="00D70192">
        <w:rPr>
          <w:color w:val="000000" w:themeColor="text1"/>
        </w:rPr>
        <w:t>)</w:t>
      </w:r>
      <w:r w:rsidR="00F2128A">
        <w:rPr>
          <w:color w:val="000000" w:themeColor="text1"/>
        </w:rPr>
        <w:t>, but these results were not significant when accounting for the Bonferroni adjustment</w:t>
      </w:r>
      <w:r w:rsidRPr="00F001D6">
        <w:rPr>
          <w:color w:val="000000" w:themeColor="text1"/>
        </w:rPr>
        <w:t>.</w:t>
      </w:r>
      <w:r w:rsidR="00312F34">
        <w:rPr>
          <w:color w:val="000000" w:themeColor="text1"/>
        </w:rPr>
        <w:t xml:space="preserve"> </w:t>
      </w:r>
      <w:r w:rsidR="00F2128A">
        <w:rPr>
          <w:color w:val="000000" w:themeColor="text1"/>
        </w:rPr>
        <w:t>Additionally, no</w:t>
      </w:r>
      <w:r w:rsidR="00312F34" w:rsidRPr="002E2882">
        <w:rPr>
          <w:color w:val="000000" w:themeColor="text1"/>
        </w:rPr>
        <w:t xml:space="preserve"> differences were found between normal weight participants (</w:t>
      </w:r>
      <w:proofErr w:type="spellStart"/>
      <w:r w:rsidR="00312F34" w:rsidRPr="002E2882">
        <w:rPr>
          <w:i/>
          <w:iCs/>
          <w:color w:val="000000" w:themeColor="text1"/>
        </w:rPr>
        <w:t>Mdn</w:t>
      </w:r>
      <w:proofErr w:type="spellEnd"/>
      <w:r w:rsidR="00312F34" w:rsidRPr="002E2882">
        <w:rPr>
          <w:i/>
          <w:iCs/>
          <w:color w:val="000000" w:themeColor="text1"/>
        </w:rPr>
        <w:t xml:space="preserve"> </w:t>
      </w:r>
      <w:r w:rsidR="00312F34" w:rsidRPr="002E2882">
        <w:rPr>
          <w:color w:val="000000" w:themeColor="text1"/>
        </w:rPr>
        <w:t xml:space="preserve">= </w:t>
      </w:r>
      <w:r w:rsidR="002E2882" w:rsidRPr="002E2882">
        <w:rPr>
          <w:color w:val="000000" w:themeColor="text1"/>
        </w:rPr>
        <w:t>1.00</w:t>
      </w:r>
      <w:r w:rsidR="00312F34" w:rsidRPr="002E2882">
        <w:rPr>
          <w:color w:val="000000" w:themeColor="text1"/>
        </w:rPr>
        <w:t xml:space="preserve">) and participants </w:t>
      </w:r>
      <w:r w:rsidR="000F4CDE">
        <w:rPr>
          <w:color w:val="000000" w:themeColor="text1"/>
        </w:rPr>
        <w:t>categorized as</w:t>
      </w:r>
      <w:r w:rsidR="00312F34" w:rsidRPr="002E2882">
        <w:rPr>
          <w:color w:val="000000" w:themeColor="text1"/>
        </w:rPr>
        <w:t xml:space="preserve"> </w:t>
      </w:r>
      <w:r w:rsidR="000F4CDE">
        <w:rPr>
          <w:color w:val="000000" w:themeColor="text1"/>
        </w:rPr>
        <w:t>over</w:t>
      </w:r>
      <w:r w:rsidR="00312F34" w:rsidRPr="002E2882">
        <w:rPr>
          <w:color w:val="000000" w:themeColor="text1"/>
        </w:rPr>
        <w:t>weight (</w:t>
      </w:r>
      <w:proofErr w:type="spellStart"/>
      <w:r w:rsidR="00312F34" w:rsidRPr="002E2882">
        <w:rPr>
          <w:i/>
          <w:iCs/>
          <w:color w:val="000000" w:themeColor="text1"/>
        </w:rPr>
        <w:t>Mdn</w:t>
      </w:r>
      <w:proofErr w:type="spellEnd"/>
      <w:r w:rsidR="00312F34" w:rsidRPr="002E2882">
        <w:rPr>
          <w:i/>
          <w:iCs/>
          <w:color w:val="000000" w:themeColor="text1"/>
        </w:rPr>
        <w:t xml:space="preserve"> </w:t>
      </w:r>
      <w:r w:rsidR="00312F34" w:rsidRPr="002E2882">
        <w:rPr>
          <w:color w:val="000000" w:themeColor="text1"/>
        </w:rPr>
        <w:t xml:space="preserve">= </w:t>
      </w:r>
      <w:r w:rsidR="002E2882" w:rsidRPr="002E2882">
        <w:rPr>
          <w:color w:val="000000" w:themeColor="text1"/>
        </w:rPr>
        <w:t>3.00</w:t>
      </w:r>
      <w:r w:rsidR="00312F34" w:rsidRPr="002E2882">
        <w:rPr>
          <w:color w:val="000000" w:themeColor="text1"/>
        </w:rPr>
        <w:t xml:space="preserve">, </w:t>
      </w:r>
      <w:r w:rsidR="00312F34" w:rsidRPr="002E2882">
        <w:rPr>
          <w:i/>
          <w:iCs/>
          <w:color w:val="000000" w:themeColor="text1"/>
        </w:rPr>
        <w:t xml:space="preserve">U </w:t>
      </w:r>
      <w:r w:rsidR="00312F34" w:rsidRPr="002E2882">
        <w:rPr>
          <w:color w:val="000000" w:themeColor="text1"/>
        </w:rPr>
        <w:t xml:space="preserve">= </w:t>
      </w:r>
      <w:r w:rsidR="00B8650D">
        <w:rPr>
          <w:color w:val="000000" w:themeColor="text1"/>
        </w:rPr>
        <w:t>1203.50</w:t>
      </w:r>
      <w:r w:rsidR="00312F34" w:rsidRPr="002E2882">
        <w:rPr>
          <w:color w:val="000000" w:themeColor="text1"/>
        </w:rPr>
        <w:t xml:space="preserve">, </w:t>
      </w:r>
      <w:r w:rsidR="00312F34" w:rsidRPr="002E2882">
        <w:rPr>
          <w:i/>
          <w:iCs/>
          <w:color w:val="000000" w:themeColor="text1"/>
        </w:rPr>
        <w:t xml:space="preserve">p </w:t>
      </w:r>
      <w:r w:rsidR="00312F34" w:rsidRPr="002E2882">
        <w:rPr>
          <w:color w:val="000000" w:themeColor="text1"/>
        </w:rPr>
        <w:t xml:space="preserve">= </w:t>
      </w:r>
      <w:r w:rsidR="00853332" w:rsidRPr="002E2882">
        <w:rPr>
          <w:color w:val="000000" w:themeColor="text1"/>
        </w:rPr>
        <w:t>.</w:t>
      </w:r>
      <w:r w:rsidR="00B8650D">
        <w:rPr>
          <w:color w:val="000000" w:themeColor="text1"/>
        </w:rPr>
        <w:t>114</w:t>
      </w:r>
      <w:r w:rsidR="00312F34" w:rsidRPr="002E2882">
        <w:rPr>
          <w:color w:val="000000" w:themeColor="text1"/>
        </w:rPr>
        <w:t>)</w:t>
      </w:r>
      <w:r w:rsidR="002E2882">
        <w:rPr>
          <w:color w:val="000000" w:themeColor="text1"/>
        </w:rPr>
        <w:t>.</w:t>
      </w:r>
      <w:r w:rsidR="005F1C1C">
        <w:rPr>
          <w:color w:val="000000" w:themeColor="text1"/>
        </w:rPr>
        <w:t xml:space="preserve"> </w:t>
      </w:r>
    </w:p>
    <w:p w14:paraId="30C8D23D" w14:textId="77777777" w:rsidR="00FA53C2" w:rsidRDefault="00FA53C2" w:rsidP="00FA53C2">
      <w:pPr>
        <w:spacing w:after="240"/>
        <w:rPr>
          <w:color w:val="000000" w:themeColor="text1"/>
        </w:rPr>
      </w:pPr>
      <w:r>
        <w:rPr>
          <w:b/>
          <w:bCs/>
          <w:color w:val="000000" w:themeColor="text1"/>
        </w:rPr>
        <w:t>Binge Eating</w:t>
      </w:r>
    </w:p>
    <w:p w14:paraId="647E2D29" w14:textId="14AC6F8C" w:rsidR="00FA53C2" w:rsidRPr="00312F34" w:rsidRDefault="00FA53C2" w:rsidP="00312F34">
      <w:pPr>
        <w:spacing w:after="240" w:line="480" w:lineRule="auto"/>
        <w:rPr>
          <w:color w:val="000000" w:themeColor="text1"/>
        </w:rPr>
      </w:pPr>
      <w:r>
        <w:rPr>
          <w:color w:val="000000" w:themeColor="text1"/>
        </w:rPr>
        <w:tab/>
        <w:t>The majority (</w:t>
      </w:r>
      <w:r w:rsidR="00312F34">
        <w:rPr>
          <w:color w:val="000000" w:themeColor="text1"/>
        </w:rPr>
        <w:t>n</w:t>
      </w:r>
      <w:r>
        <w:rPr>
          <w:color w:val="000000" w:themeColor="text1"/>
        </w:rPr>
        <w:t xml:space="preserve"> = 137</w:t>
      </w:r>
      <w:r w:rsidR="00FC38E5">
        <w:rPr>
          <w:color w:val="000000" w:themeColor="text1"/>
        </w:rPr>
        <w:t xml:space="preserve">; </w:t>
      </w:r>
      <w:r>
        <w:rPr>
          <w:color w:val="000000" w:themeColor="text1"/>
        </w:rPr>
        <w:t xml:space="preserve">61.7%) </w:t>
      </w:r>
      <w:r w:rsidRPr="005826B1">
        <w:rPr>
          <w:color w:val="000000" w:themeColor="text1"/>
        </w:rPr>
        <w:t>of</w:t>
      </w:r>
      <w:r>
        <w:rPr>
          <w:color w:val="000000" w:themeColor="text1"/>
        </w:rPr>
        <w:t xml:space="preserve"> participants reported feeling out of control during one or more instances of overeating. A chi-squared test was used to assess whether</w:t>
      </w:r>
      <w:r w:rsidR="00327996">
        <w:rPr>
          <w:color w:val="000000" w:themeColor="text1"/>
        </w:rPr>
        <w:t xml:space="preserve"> the research hypothesis was supported that</w:t>
      </w:r>
      <w:r>
        <w:rPr>
          <w:color w:val="000000" w:themeColor="text1"/>
        </w:rPr>
        <w:t xml:space="preserve"> binge eating </w:t>
      </w:r>
      <w:r w:rsidR="000F5222">
        <w:rPr>
          <w:color w:val="000000" w:themeColor="text1"/>
        </w:rPr>
        <w:t>would vary</w:t>
      </w:r>
      <w:r>
        <w:rPr>
          <w:color w:val="000000" w:themeColor="text1"/>
        </w:rPr>
        <w:t xml:space="preserve"> by race/ethnicity</w:t>
      </w:r>
      <w:r w:rsidR="0096533A">
        <w:rPr>
          <w:color w:val="000000" w:themeColor="text1"/>
        </w:rPr>
        <w:t>, and a statistically significant difference was found</w:t>
      </w:r>
      <w:r w:rsidR="0096533A" w:rsidRPr="0096533A">
        <w:rPr>
          <w:i/>
          <w:iCs/>
          <w:color w:val="000000" w:themeColor="text1"/>
        </w:rPr>
        <w:t xml:space="preserve"> </w:t>
      </w:r>
      <w:r w:rsidR="003F3EB9" w:rsidRPr="005826B1">
        <w:rPr>
          <w:i/>
          <w:iCs/>
          <w:color w:val="000000" w:themeColor="text1"/>
        </w:rPr>
        <w:t>X</w:t>
      </w:r>
      <w:r w:rsidR="003F3EB9" w:rsidRPr="005826B1">
        <w:rPr>
          <w:i/>
          <w:iCs/>
          <w:color w:val="000000" w:themeColor="text1"/>
          <w:vertAlign w:val="superscript"/>
        </w:rPr>
        <w:t>2</w:t>
      </w:r>
      <w:r w:rsidR="003F3EB9">
        <w:rPr>
          <w:color w:val="000000" w:themeColor="text1"/>
        </w:rPr>
        <w:t xml:space="preserve">(2, </w:t>
      </w:r>
      <w:r w:rsidR="003F3EB9">
        <w:rPr>
          <w:i/>
          <w:iCs/>
          <w:color w:val="000000" w:themeColor="text1"/>
        </w:rPr>
        <w:t>N</w:t>
      </w:r>
      <w:r w:rsidR="003F3EB9">
        <w:rPr>
          <w:color w:val="000000" w:themeColor="text1"/>
        </w:rPr>
        <w:t xml:space="preserve"> = 222) = 6.42, </w:t>
      </w:r>
      <w:r w:rsidR="003F3EB9">
        <w:rPr>
          <w:i/>
          <w:iCs/>
          <w:color w:val="000000" w:themeColor="text1"/>
        </w:rPr>
        <w:t>p = .</w:t>
      </w:r>
      <w:r w:rsidR="003F3EB9">
        <w:rPr>
          <w:color w:val="000000" w:themeColor="text1"/>
        </w:rPr>
        <w:t>04</w:t>
      </w:r>
      <w:r w:rsidR="0096533A">
        <w:rPr>
          <w:color w:val="000000" w:themeColor="text1"/>
        </w:rPr>
        <w:t xml:space="preserve">. </w:t>
      </w:r>
      <w:r>
        <w:rPr>
          <w:color w:val="000000" w:themeColor="text1"/>
        </w:rPr>
        <w:t>A higher proportion of Hispanic/Latino(a)/Spanish Americans</w:t>
      </w:r>
      <w:r w:rsidR="0096533A">
        <w:rPr>
          <w:color w:val="000000" w:themeColor="text1"/>
        </w:rPr>
        <w:t xml:space="preserve"> (</w:t>
      </w:r>
      <w:r w:rsidR="00312F34">
        <w:rPr>
          <w:color w:val="000000" w:themeColor="text1"/>
        </w:rPr>
        <w:t>68.3</w:t>
      </w:r>
      <w:r w:rsidR="0096533A">
        <w:rPr>
          <w:color w:val="000000" w:themeColor="text1"/>
        </w:rPr>
        <w:t>%)</w:t>
      </w:r>
      <w:r>
        <w:rPr>
          <w:color w:val="000000" w:themeColor="text1"/>
        </w:rPr>
        <w:t xml:space="preserve"> and American Indians</w:t>
      </w:r>
      <w:r w:rsidR="0096533A">
        <w:rPr>
          <w:color w:val="000000" w:themeColor="text1"/>
        </w:rPr>
        <w:t xml:space="preserve"> (</w:t>
      </w:r>
      <w:r w:rsidR="00312F34">
        <w:rPr>
          <w:color w:val="000000" w:themeColor="text1"/>
        </w:rPr>
        <w:t>70.0</w:t>
      </w:r>
      <w:r w:rsidR="0096533A">
        <w:rPr>
          <w:color w:val="000000" w:themeColor="text1"/>
        </w:rPr>
        <w:t>%)</w:t>
      </w:r>
      <w:r>
        <w:rPr>
          <w:color w:val="000000" w:themeColor="text1"/>
        </w:rPr>
        <w:t xml:space="preserve"> reported binge eating compared to African American</w:t>
      </w:r>
      <w:r w:rsidR="00312F34">
        <w:rPr>
          <w:color w:val="000000" w:themeColor="text1"/>
        </w:rPr>
        <w:t>/Black</w:t>
      </w:r>
      <w:r>
        <w:rPr>
          <w:color w:val="000000" w:themeColor="text1"/>
        </w:rPr>
        <w:t xml:space="preserve"> participants</w:t>
      </w:r>
      <w:r w:rsidR="00AA6D07">
        <w:rPr>
          <w:color w:val="000000" w:themeColor="text1"/>
        </w:rPr>
        <w:t xml:space="preserve"> (</w:t>
      </w:r>
      <w:r w:rsidR="00312F34">
        <w:rPr>
          <w:color w:val="000000" w:themeColor="text1"/>
        </w:rPr>
        <w:t>52.5</w:t>
      </w:r>
      <w:r w:rsidR="00AA6D07">
        <w:rPr>
          <w:color w:val="000000" w:themeColor="text1"/>
        </w:rPr>
        <w:t xml:space="preserve">%). </w:t>
      </w:r>
      <w:r>
        <w:rPr>
          <w:color w:val="000000" w:themeColor="text1"/>
        </w:rPr>
        <w:t xml:space="preserve"> A chi-squared test was also used to assess proportional differences in binge eating across</w:t>
      </w:r>
      <w:r w:rsidR="00D44266" w:rsidRPr="00D44266">
        <w:rPr>
          <w:color w:val="000000" w:themeColor="text1"/>
        </w:rPr>
        <w:t xml:space="preserve"> </w:t>
      </w:r>
      <w:r w:rsidR="00D44266">
        <w:rPr>
          <w:color w:val="000000" w:themeColor="text1"/>
        </w:rPr>
        <w:t>weight statu</w:t>
      </w:r>
      <w:r w:rsidR="004F5AC2">
        <w:rPr>
          <w:color w:val="000000" w:themeColor="text1"/>
        </w:rPr>
        <w:t>ses and sexes</w:t>
      </w:r>
      <w:r>
        <w:rPr>
          <w:color w:val="000000" w:themeColor="text1"/>
        </w:rPr>
        <w:t xml:space="preserve">. </w:t>
      </w:r>
      <w:r w:rsidR="00F0425E">
        <w:rPr>
          <w:color w:val="000000" w:themeColor="text1"/>
        </w:rPr>
        <w:t xml:space="preserve">Although </w:t>
      </w:r>
      <w:r>
        <w:rPr>
          <w:color w:val="000000" w:themeColor="text1"/>
        </w:rPr>
        <w:t>binge eating did not differ significantly across weight status</w:t>
      </w:r>
      <w:r w:rsidR="004F5AC2">
        <w:rPr>
          <w:color w:val="000000" w:themeColor="text1"/>
        </w:rPr>
        <w:t>es</w:t>
      </w:r>
      <w:r>
        <w:rPr>
          <w:color w:val="000000" w:themeColor="text1"/>
        </w:rPr>
        <w:t xml:space="preserve"> </w:t>
      </w:r>
      <w:r w:rsidR="00F0425E">
        <w:rPr>
          <w:color w:val="000000" w:themeColor="text1"/>
        </w:rPr>
        <w:t>(</w:t>
      </w:r>
      <w:r w:rsidRPr="005826B1">
        <w:rPr>
          <w:i/>
          <w:iCs/>
          <w:color w:val="000000" w:themeColor="text1"/>
        </w:rPr>
        <w:t>X</w:t>
      </w:r>
      <w:r w:rsidRPr="005826B1">
        <w:rPr>
          <w:i/>
          <w:iCs/>
          <w:color w:val="000000" w:themeColor="text1"/>
          <w:vertAlign w:val="superscript"/>
        </w:rPr>
        <w:t>2</w:t>
      </w:r>
      <w:r>
        <w:rPr>
          <w:color w:val="000000" w:themeColor="text1"/>
        </w:rPr>
        <w:t xml:space="preserve">(3, </w:t>
      </w:r>
      <w:r>
        <w:rPr>
          <w:i/>
          <w:iCs/>
          <w:color w:val="000000" w:themeColor="text1"/>
        </w:rPr>
        <w:t>N</w:t>
      </w:r>
      <w:r>
        <w:rPr>
          <w:color w:val="000000" w:themeColor="text1"/>
        </w:rPr>
        <w:t xml:space="preserve"> = 188) = 7.38, </w:t>
      </w:r>
      <w:r w:rsidR="00932390">
        <w:rPr>
          <w:i/>
          <w:iCs/>
          <w:color w:val="000000" w:themeColor="text1"/>
        </w:rPr>
        <w:t>p = .</w:t>
      </w:r>
      <w:r>
        <w:rPr>
          <w:color w:val="000000" w:themeColor="text1"/>
        </w:rPr>
        <w:t>061</w:t>
      </w:r>
      <w:r w:rsidR="00F0425E">
        <w:rPr>
          <w:color w:val="000000" w:themeColor="text1"/>
        </w:rPr>
        <w:t>)</w:t>
      </w:r>
      <w:r>
        <w:rPr>
          <w:color w:val="000000" w:themeColor="text1"/>
        </w:rPr>
        <w:t>,</w:t>
      </w:r>
      <w:r w:rsidR="00D44266">
        <w:rPr>
          <w:color w:val="000000" w:themeColor="text1"/>
        </w:rPr>
        <w:t xml:space="preserve"> </w:t>
      </w:r>
      <w:r w:rsidR="004F5AC2">
        <w:rPr>
          <w:color w:val="000000" w:themeColor="text1"/>
        </w:rPr>
        <w:t>there was a significant difference between sexes (</w:t>
      </w:r>
      <w:r w:rsidR="004F5AC2" w:rsidRPr="005826B1">
        <w:rPr>
          <w:i/>
          <w:iCs/>
          <w:color w:val="000000" w:themeColor="text1"/>
        </w:rPr>
        <w:t>X</w:t>
      </w:r>
      <w:r w:rsidR="004F5AC2" w:rsidRPr="005826B1">
        <w:rPr>
          <w:i/>
          <w:iCs/>
          <w:color w:val="000000" w:themeColor="text1"/>
          <w:vertAlign w:val="superscript"/>
        </w:rPr>
        <w:t>2</w:t>
      </w:r>
      <w:r w:rsidR="004F5AC2">
        <w:rPr>
          <w:color w:val="000000" w:themeColor="text1"/>
        </w:rPr>
        <w:t xml:space="preserve">(1, </w:t>
      </w:r>
      <w:r w:rsidR="004F5AC2">
        <w:rPr>
          <w:i/>
          <w:iCs/>
          <w:color w:val="000000" w:themeColor="text1"/>
        </w:rPr>
        <w:t>N</w:t>
      </w:r>
      <w:r w:rsidR="004F5AC2">
        <w:rPr>
          <w:color w:val="000000" w:themeColor="text1"/>
        </w:rPr>
        <w:t xml:space="preserve"> = 221) = 4.21, </w:t>
      </w:r>
      <w:r w:rsidR="004F5AC2">
        <w:rPr>
          <w:i/>
          <w:iCs/>
          <w:color w:val="000000" w:themeColor="text1"/>
        </w:rPr>
        <w:t>p = .</w:t>
      </w:r>
      <w:r w:rsidR="004F5AC2">
        <w:rPr>
          <w:color w:val="000000" w:themeColor="text1"/>
        </w:rPr>
        <w:t>04</w:t>
      </w:r>
      <w:r w:rsidR="00B05B28">
        <w:rPr>
          <w:color w:val="000000" w:themeColor="text1"/>
        </w:rPr>
        <w:t>).</w:t>
      </w:r>
      <w:r w:rsidR="004F5AC2">
        <w:rPr>
          <w:color w:val="000000" w:themeColor="text1"/>
        </w:rPr>
        <w:t xml:space="preserve"> </w:t>
      </w:r>
      <w:r w:rsidR="00B05B28">
        <w:rPr>
          <w:color w:val="000000" w:themeColor="text1"/>
        </w:rPr>
        <w:t>A</w:t>
      </w:r>
      <w:r>
        <w:rPr>
          <w:color w:val="000000" w:themeColor="text1"/>
        </w:rPr>
        <w:t xml:space="preserve"> higher proportion of females</w:t>
      </w:r>
      <w:r w:rsidR="00B05B28">
        <w:rPr>
          <w:color w:val="000000" w:themeColor="text1"/>
        </w:rPr>
        <w:t xml:space="preserve"> (</w:t>
      </w:r>
      <w:r w:rsidR="00312F34">
        <w:rPr>
          <w:color w:val="000000" w:themeColor="text1"/>
        </w:rPr>
        <w:t>66.0</w:t>
      </w:r>
      <w:r w:rsidR="00B05B28">
        <w:rPr>
          <w:color w:val="000000" w:themeColor="text1"/>
        </w:rPr>
        <w:t>%)</w:t>
      </w:r>
      <w:r>
        <w:rPr>
          <w:color w:val="000000" w:themeColor="text1"/>
        </w:rPr>
        <w:t xml:space="preserve"> were considered binge eaters compared to males</w:t>
      </w:r>
      <w:r w:rsidR="00B05B28">
        <w:rPr>
          <w:color w:val="000000" w:themeColor="text1"/>
        </w:rPr>
        <w:t xml:space="preserve"> (</w:t>
      </w:r>
      <w:r w:rsidR="00312F34">
        <w:rPr>
          <w:color w:val="000000" w:themeColor="text1"/>
        </w:rPr>
        <w:t>51.5</w:t>
      </w:r>
      <w:r w:rsidR="00B05B28">
        <w:rPr>
          <w:color w:val="000000" w:themeColor="text1"/>
        </w:rPr>
        <w:t>%)</w:t>
      </w:r>
      <w:r>
        <w:rPr>
          <w:color w:val="000000" w:themeColor="text1"/>
        </w:rPr>
        <w:t xml:space="preserve">. </w:t>
      </w:r>
    </w:p>
    <w:p w14:paraId="57975AA8" w14:textId="5D888D59" w:rsidR="00FA53C2" w:rsidRPr="00F001D6" w:rsidRDefault="00FA53C2" w:rsidP="00FA53C2">
      <w:pPr>
        <w:spacing w:line="480" w:lineRule="auto"/>
        <w:rPr>
          <w:b/>
          <w:bCs/>
          <w:color w:val="000000" w:themeColor="text1"/>
        </w:rPr>
      </w:pPr>
      <w:r w:rsidRPr="00F001D6">
        <w:rPr>
          <w:b/>
          <w:bCs/>
          <w:color w:val="000000" w:themeColor="text1"/>
        </w:rPr>
        <w:t xml:space="preserve">Discriminatory Stress </w:t>
      </w:r>
      <w:r w:rsidR="00A759D8">
        <w:rPr>
          <w:b/>
          <w:bCs/>
          <w:color w:val="000000" w:themeColor="text1"/>
        </w:rPr>
        <w:t>and</w:t>
      </w:r>
      <w:r w:rsidR="00A759D8" w:rsidRPr="00F001D6">
        <w:rPr>
          <w:b/>
          <w:bCs/>
          <w:color w:val="000000" w:themeColor="text1"/>
        </w:rPr>
        <w:t xml:space="preserve"> </w:t>
      </w:r>
      <w:r w:rsidRPr="00F001D6">
        <w:rPr>
          <w:b/>
          <w:bCs/>
          <w:color w:val="000000" w:themeColor="text1"/>
        </w:rPr>
        <w:t>Overeating</w:t>
      </w:r>
    </w:p>
    <w:p w14:paraId="647DB3EC" w14:textId="5A7E88EE" w:rsidR="00FA53C2" w:rsidRDefault="00FA53C2" w:rsidP="00FA53C2">
      <w:pPr>
        <w:spacing w:line="480" w:lineRule="auto"/>
        <w:rPr>
          <w:color w:val="000000" w:themeColor="text1"/>
        </w:rPr>
      </w:pPr>
      <w:r w:rsidRPr="00F001D6">
        <w:rPr>
          <w:i/>
          <w:iCs/>
          <w:color w:val="000000" w:themeColor="text1"/>
        </w:rPr>
        <w:tab/>
      </w:r>
      <w:r>
        <w:rPr>
          <w:color w:val="000000" w:themeColor="text1"/>
        </w:rPr>
        <w:t>The relationship between overeating and discriminatory stress was assessed using the Kendall’s Tau correlation. A number of significant correlations supported the central hypothesis that overeating would be positively associated with discriminatory stress. A weak positive correlation was found between overeating and lifetime (</w:t>
      </w:r>
      <w:proofErr w:type="spellStart"/>
      <w:r w:rsidRPr="00F001D6">
        <w:rPr>
          <w:i/>
          <w:iCs/>
          <w:color w:val="000000" w:themeColor="text1"/>
        </w:rPr>
        <w:t>r</w:t>
      </w:r>
      <w:r w:rsidRPr="00F001D6">
        <w:rPr>
          <w:color w:val="000000" w:themeColor="text1"/>
          <w:vertAlign w:val="subscript"/>
        </w:rPr>
        <w:t>τ</w:t>
      </w:r>
      <w:proofErr w:type="spellEnd"/>
      <w:r w:rsidRPr="00F001D6">
        <w:rPr>
          <w:color w:val="000000" w:themeColor="text1"/>
        </w:rPr>
        <w:t xml:space="preserve"> = .192,</w:t>
      </w:r>
      <w:r w:rsidRPr="00F001D6">
        <w:rPr>
          <w:i/>
          <w:iCs/>
          <w:color w:val="000000" w:themeColor="text1"/>
        </w:rPr>
        <w:t> p</w:t>
      </w:r>
      <w:r w:rsidRPr="00F001D6">
        <w:rPr>
          <w:color w:val="000000" w:themeColor="text1"/>
        </w:rPr>
        <w:t xml:space="preserve"> &lt; .001</w:t>
      </w:r>
      <w:r>
        <w:rPr>
          <w:color w:val="000000" w:themeColor="text1"/>
        </w:rPr>
        <w:t>) and recent (</w:t>
      </w:r>
      <w:proofErr w:type="spellStart"/>
      <w:r w:rsidRPr="00F001D6">
        <w:rPr>
          <w:i/>
          <w:iCs/>
          <w:color w:val="000000" w:themeColor="text1"/>
        </w:rPr>
        <w:t>r</w:t>
      </w:r>
      <w:r w:rsidRPr="00F001D6">
        <w:rPr>
          <w:color w:val="000000" w:themeColor="text1"/>
          <w:vertAlign w:val="subscript"/>
        </w:rPr>
        <w:t>τ</w:t>
      </w:r>
      <w:proofErr w:type="spellEnd"/>
      <w:r w:rsidRPr="00F001D6">
        <w:rPr>
          <w:color w:val="000000" w:themeColor="text1"/>
        </w:rPr>
        <w:t xml:space="preserve"> = .155, </w:t>
      </w:r>
      <w:r w:rsidR="00932390">
        <w:rPr>
          <w:i/>
          <w:iCs/>
          <w:color w:val="000000" w:themeColor="text1"/>
        </w:rPr>
        <w:t>p = .</w:t>
      </w:r>
      <w:r w:rsidRPr="00F001D6">
        <w:rPr>
          <w:color w:val="000000" w:themeColor="text1"/>
        </w:rPr>
        <w:t>001</w:t>
      </w:r>
      <w:r>
        <w:rPr>
          <w:color w:val="000000" w:themeColor="text1"/>
        </w:rPr>
        <w:t>) discriminatory encounters, as well as the perceived stressfulness of these encounters (</w:t>
      </w:r>
      <w:proofErr w:type="spellStart"/>
      <w:r w:rsidRPr="00F001D6">
        <w:rPr>
          <w:i/>
          <w:iCs/>
          <w:color w:val="000000" w:themeColor="text1"/>
        </w:rPr>
        <w:t>r</w:t>
      </w:r>
      <w:r w:rsidRPr="00F001D6">
        <w:rPr>
          <w:color w:val="000000" w:themeColor="text1"/>
          <w:vertAlign w:val="subscript"/>
        </w:rPr>
        <w:t>τ</w:t>
      </w:r>
      <w:proofErr w:type="spellEnd"/>
      <w:r w:rsidRPr="00F001D6">
        <w:rPr>
          <w:color w:val="000000" w:themeColor="text1"/>
        </w:rPr>
        <w:t xml:space="preserve"> = .152, </w:t>
      </w:r>
      <w:r w:rsidR="00932390">
        <w:rPr>
          <w:i/>
          <w:iCs/>
          <w:color w:val="000000" w:themeColor="text1"/>
        </w:rPr>
        <w:t>p = .</w:t>
      </w:r>
      <w:r w:rsidRPr="00F001D6">
        <w:rPr>
          <w:color w:val="000000" w:themeColor="text1"/>
        </w:rPr>
        <w:t>001</w:t>
      </w:r>
      <w:r>
        <w:rPr>
          <w:color w:val="000000" w:themeColor="text1"/>
        </w:rPr>
        <w:t>). Those with higher SRE</w:t>
      </w:r>
      <w:r w:rsidR="00AB1BD3">
        <w:rPr>
          <w:color w:val="000000" w:themeColor="text1"/>
        </w:rPr>
        <w:t>-G</w:t>
      </w:r>
      <w:r>
        <w:rPr>
          <w:color w:val="000000" w:themeColor="text1"/>
        </w:rPr>
        <w:t xml:space="preserve"> scores reported more incidences of overeating.</w:t>
      </w:r>
    </w:p>
    <w:p w14:paraId="01DE70B7" w14:textId="77777777" w:rsidR="00F2128A" w:rsidRDefault="00F2128A" w:rsidP="00FA53C2">
      <w:pPr>
        <w:spacing w:line="480" w:lineRule="auto"/>
        <w:jc w:val="center"/>
        <w:rPr>
          <w:b/>
          <w:bCs/>
          <w:color w:val="000000" w:themeColor="text1"/>
        </w:rPr>
      </w:pPr>
    </w:p>
    <w:p w14:paraId="7F306292" w14:textId="4D744DEE" w:rsidR="00FA53C2" w:rsidRDefault="00FA53C2" w:rsidP="00FA53C2">
      <w:pPr>
        <w:spacing w:line="480" w:lineRule="auto"/>
        <w:jc w:val="center"/>
        <w:rPr>
          <w:color w:val="000000" w:themeColor="text1"/>
        </w:rPr>
      </w:pPr>
      <w:r>
        <w:rPr>
          <w:b/>
          <w:bCs/>
          <w:color w:val="000000" w:themeColor="text1"/>
        </w:rPr>
        <w:lastRenderedPageBreak/>
        <w:t>CHAPTER V: DISCUSSION</w:t>
      </w:r>
    </w:p>
    <w:p w14:paraId="7E426F66" w14:textId="52F50E59" w:rsidR="00FA53C2" w:rsidRDefault="00FA53C2" w:rsidP="00FA53C2">
      <w:pPr>
        <w:spacing w:line="480" w:lineRule="auto"/>
        <w:ind w:firstLine="720"/>
        <w:rPr>
          <w:color w:val="000000" w:themeColor="text1"/>
        </w:rPr>
      </w:pPr>
      <w:r w:rsidRPr="00F001D6">
        <w:rPr>
          <w:color w:val="000000" w:themeColor="text1"/>
        </w:rPr>
        <w:t>The purpose of the current study was to investigate the relationship between discriminatory stress and overeating among racial/ethnic minority adults.</w:t>
      </w:r>
      <w:r w:rsidR="005F1C1C">
        <w:rPr>
          <w:color w:val="000000" w:themeColor="text1"/>
        </w:rPr>
        <w:t xml:space="preserve"> </w:t>
      </w:r>
      <w:r w:rsidRPr="00F001D6">
        <w:rPr>
          <w:color w:val="000000" w:themeColor="text1"/>
        </w:rPr>
        <w:t>Research has already evidenced discriminatory stress’ physiological impact on racial/ethnic minority health (</w:t>
      </w:r>
      <w:r>
        <w:rPr>
          <w:color w:val="000000" w:themeColor="text1"/>
        </w:rPr>
        <w:t>Brody et al., 2018; Lee et al., 2017; Simons et al., 2018</w:t>
      </w:r>
      <w:r w:rsidRPr="00F001D6">
        <w:rPr>
          <w:color w:val="000000" w:themeColor="text1"/>
        </w:rPr>
        <w:t xml:space="preserve">). However, its further influence on health behaviors, such as eating habits, would not </w:t>
      </w:r>
      <w:r>
        <w:rPr>
          <w:color w:val="000000" w:themeColor="text1"/>
        </w:rPr>
        <w:t xml:space="preserve">only </w:t>
      </w:r>
      <w:r w:rsidRPr="00F001D6">
        <w:rPr>
          <w:color w:val="000000" w:themeColor="text1"/>
        </w:rPr>
        <w:t>increase the risk for a number of health problems (e.g., cardiovascular disease or diabetes), but it would exacerbate the obesity health disparity and widen the gap in health status between racial/ethnic minorities and the White majority</w:t>
      </w:r>
      <w:r>
        <w:rPr>
          <w:color w:val="000000" w:themeColor="text1"/>
        </w:rPr>
        <w:t xml:space="preserve"> (</w:t>
      </w:r>
      <w:proofErr w:type="spellStart"/>
      <w:r w:rsidR="00E9008E" w:rsidRPr="00E9008E">
        <w:rPr>
          <w:color w:val="000000" w:themeColor="text1"/>
        </w:rPr>
        <w:t>Jastreboff</w:t>
      </w:r>
      <w:proofErr w:type="spellEnd"/>
      <w:r w:rsidRPr="00FF0E1A">
        <w:rPr>
          <w:color w:val="000000" w:themeColor="text1"/>
        </w:rPr>
        <w:t xml:space="preserve"> et al., 2018</w:t>
      </w:r>
      <w:r>
        <w:rPr>
          <w:color w:val="000000" w:themeColor="text1"/>
        </w:rPr>
        <w:t>)</w:t>
      </w:r>
      <w:r w:rsidRPr="00F001D6">
        <w:rPr>
          <w:color w:val="000000" w:themeColor="text1"/>
        </w:rPr>
        <w:t>.</w:t>
      </w:r>
    </w:p>
    <w:p w14:paraId="1E3448A5" w14:textId="05E79670" w:rsidR="009E0832" w:rsidRPr="00F001D6" w:rsidRDefault="009E0832" w:rsidP="00FA53C2">
      <w:pPr>
        <w:spacing w:line="480" w:lineRule="auto"/>
        <w:ind w:firstLine="720"/>
        <w:rPr>
          <w:color w:val="000000" w:themeColor="text1"/>
        </w:rPr>
      </w:pPr>
      <w:r>
        <w:rPr>
          <w:color w:val="000000" w:themeColor="text1"/>
        </w:rPr>
        <w:t>Discrimination was</w:t>
      </w:r>
      <w:r w:rsidR="002E4999">
        <w:rPr>
          <w:color w:val="000000" w:themeColor="text1"/>
        </w:rPr>
        <w:t xml:space="preserve"> a</w:t>
      </w:r>
      <w:r>
        <w:rPr>
          <w:color w:val="000000" w:themeColor="text1"/>
        </w:rPr>
        <w:t xml:space="preserve"> major source of stress for the study sample. More than half of the sample reported encounters with discrimination across each of the settings listed in the Schedule of Racist Events</w:t>
      </w:r>
      <w:r w:rsidR="00AB1BD3">
        <w:rPr>
          <w:color w:val="000000" w:themeColor="text1"/>
        </w:rPr>
        <w:t>-</w:t>
      </w:r>
      <w:r>
        <w:rPr>
          <w:color w:val="000000" w:themeColor="text1"/>
        </w:rPr>
        <w:t>Generic (SRE</w:t>
      </w:r>
      <w:r w:rsidR="00AB1BD3">
        <w:rPr>
          <w:color w:val="000000" w:themeColor="text1"/>
        </w:rPr>
        <w:t>-</w:t>
      </w:r>
      <w:r>
        <w:rPr>
          <w:color w:val="000000" w:themeColor="text1"/>
        </w:rPr>
        <w:t xml:space="preserve">G) to be stressful. Whether participants encountered discrimination from colleagues, neighbors, strangers, etc., these experiences generated feelings of stress. Specifically, participants felt misunderstood and accused/suspected due to their racial/ethnic group, and a significant proportion (32.9%) perceived this to be extremely stressful. In addition to stress, these encounters generated feelings of anger and made participants want to speak out. As the country is </w:t>
      </w:r>
      <w:r w:rsidR="000F5222">
        <w:rPr>
          <w:color w:val="000000" w:themeColor="text1"/>
        </w:rPr>
        <w:t>currently</w:t>
      </w:r>
      <w:r>
        <w:rPr>
          <w:color w:val="000000" w:themeColor="text1"/>
        </w:rPr>
        <w:t xml:space="preserve"> focused on racial injustice due to recent instances of police brutality, racial/ethnic minorities feel very strongly about discrimination, and despite reports of infrequent encounters with discrimination, each instance nevertheless was a potent and stressful experience.</w:t>
      </w:r>
    </w:p>
    <w:p w14:paraId="55B89FB4" w14:textId="3F44E162" w:rsidR="00FA53C2" w:rsidRPr="00F001D6" w:rsidRDefault="00FA53C2" w:rsidP="00FA53C2">
      <w:pPr>
        <w:spacing w:line="480" w:lineRule="auto"/>
        <w:ind w:firstLine="720"/>
        <w:rPr>
          <w:color w:val="000000" w:themeColor="text1"/>
        </w:rPr>
      </w:pPr>
      <w:r w:rsidRPr="00F001D6">
        <w:rPr>
          <w:color w:val="000000" w:themeColor="text1"/>
        </w:rPr>
        <w:t>Racism and discrimination may be unanimously experienced by racial/ethnic minorities, but like their historical journeys for equality, their discriminatory experiences are unique to their race/ethnicity and culture (</w:t>
      </w:r>
      <w:r w:rsidR="00F2128A" w:rsidRPr="00F001D6">
        <w:rPr>
          <w:color w:val="000000" w:themeColor="text1"/>
        </w:rPr>
        <w:t>Clark et al., 1999</w:t>
      </w:r>
      <w:r w:rsidR="00F2128A">
        <w:rPr>
          <w:color w:val="000000" w:themeColor="text1"/>
        </w:rPr>
        <w:t xml:space="preserve">; </w:t>
      </w:r>
      <w:r w:rsidRPr="00F001D6">
        <w:rPr>
          <w:color w:val="000000" w:themeColor="text1"/>
        </w:rPr>
        <w:t xml:space="preserve">Clark &amp; </w:t>
      </w:r>
      <w:proofErr w:type="spellStart"/>
      <w:r w:rsidRPr="00F001D6">
        <w:rPr>
          <w:color w:val="000000" w:themeColor="text1"/>
        </w:rPr>
        <w:t>Winterowd</w:t>
      </w:r>
      <w:proofErr w:type="spellEnd"/>
      <w:r w:rsidRPr="00F001D6">
        <w:rPr>
          <w:color w:val="000000" w:themeColor="text1"/>
        </w:rPr>
        <w:t xml:space="preserve">, 2012; Huynh et al., 2012). </w:t>
      </w:r>
      <w:r w:rsidRPr="00F001D6">
        <w:rPr>
          <w:color w:val="000000" w:themeColor="text1"/>
        </w:rPr>
        <w:lastRenderedPageBreak/>
        <w:t xml:space="preserve">There were several racial/ethnic differences across the </w:t>
      </w:r>
      <w:r>
        <w:rPr>
          <w:color w:val="000000" w:themeColor="text1"/>
        </w:rPr>
        <w:t>SRE</w:t>
      </w:r>
      <w:r w:rsidR="00032124">
        <w:rPr>
          <w:color w:val="000000" w:themeColor="text1"/>
        </w:rPr>
        <w:t>-</w:t>
      </w:r>
      <w:r w:rsidR="003E0A38">
        <w:rPr>
          <w:color w:val="000000" w:themeColor="text1"/>
        </w:rPr>
        <w:t>G</w:t>
      </w:r>
      <w:r w:rsidRPr="00F001D6">
        <w:rPr>
          <w:color w:val="000000" w:themeColor="text1"/>
        </w:rPr>
        <w:t>. </w:t>
      </w:r>
      <w:r w:rsidR="005F1C1C">
        <w:rPr>
          <w:color w:val="000000" w:themeColor="text1"/>
        </w:rPr>
        <w:t>African Americans/Blacks</w:t>
      </w:r>
      <w:r w:rsidRPr="00F001D6">
        <w:rPr>
          <w:color w:val="000000" w:themeColor="text1"/>
        </w:rPr>
        <w:t xml:space="preserve"> reported significantly </w:t>
      </w:r>
      <w:r>
        <w:rPr>
          <w:color w:val="000000" w:themeColor="text1"/>
        </w:rPr>
        <w:t>more encounters with</w:t>
      </w:r>
      <w:r w:rsidRPr="00F001D6">
        <w:rPr>
          <w:color w:val="000000" w:themeColor="text1"/>
        </w:rPr>
        <w:t xml:space="preserve"> discrimination </w:t>
      </w:r>
      <w:r>
        <w:rPr>
          <w:color w:val="000000" w:themeColor="text1"/>
        </w:rPr>
        <w:t xml:space="preserve">over their lifetime and a higher perceived </w:t>
      </w:r>
      <w:r w:rsidRPr="00F001D6">
        <w:rPr>
          <w:color w:val="000000" w:themeColor="text1"/>
        </w:rPr>
        <w:t xml:space="preserve">stressfulness of discriminatory experiences compared to both American Indian and Hispanic/Latino(a)/Spanish participants. These results are not surprising considering the current focus on police brutality against this population. As a result, Black participants may have been more aware of their discriminatory experiences and particularly sensitive to its sting. </w:t>
      </w:r>
      <w:bookmarkStart w:id="0" w:name="_Hlk69752501"/>
      <w:r w:rsidRPr="00F001D6">
        <w:rPr>
          <w:color w:val="000000" w:themeColor="text1"/>
        </w:rPr>
        <w:t xml:space="preserve">However, their encounters with </w:t>
      </w:r>
      <w:r>
        <w:rPr>
          <w:color w:val="000000" w:themeColor="text1"/>
        </w:rPr>
        <w:t xml:space="preserve">recent </w:t>
      </w:r>
      <w:r w:rsidRPr="00F001D6">
        <w:rPr>
          <w:color w:val="000000" w:themeColor="text1"/>
        </w:rPr>
        <w:t xml:space="preserve">discrimination were only higher than Hispanic participants, </w:t>
      </w:r>
      <w:bookmarkEnd w:id="0"/>
      <w:r w:rsidRPr="00F001D6">
        <w:rPr>
          <w:color w:val="000000" w:themeColor="text1"/>
        </w:rPr>
        <w:t>and additionally, there were no differences i</w:t>
      </w:r>
      <w:r>
        <w:rPr>
          <w:color w:val="000000" w:themeColor="text1"/>
        </w:rPr>
        <w:t>n</w:t>
      </w:r>
      <w:r w:rsidRPr="00F001D6">
        <w:rPr>
          <w:color w:val="000000" w:themeColor="text1"/>
        </w:rPr>
        <w:t xml:space="preserve"> </w:t>
      </w:r>
      <w:r>
        <w:rPr>
          <w:color w:val="000000" w:themeColor="text1"/>
        </w:rPr>
        <w:t>reports of recent and lifetime discriminatory events and the perceived stressfulness of these events</w:t>
      </w:r>
      <w:r w:rsidRPr="00F001D6">
        <w:rPr>
          <w:color w:val="000000" w:themeColor="text1"/>
        </w:rPr>
        <w:t xml:space="preserve"> between American Indian and Hispanic participants.</w:t>
      </w:r>
      <w:r w:rsidR="005F1C1C">
        <w:rPr>
          <w:color w:val="000000" w:themeColor="text1"/>
        </w:rPr>
        <w:t xml:space="preserve"> </w:t>
      </w:r>
    </w:p>
    <w:p w14:paraId="26D39BC7" w14:textId="5C312A04" w:rsidR="00FA53C2" w:rsidRPr="00F001D6" w:rsidRDefault="00FA53C2" w:rsidP="00FA53C2">
      <w:pPr>
        <w:spacing w:line="480" w:lineRule="auto"/>
        <w:ind w:firstLine="720"/>
        <w:rPr>
          <w:color w:val="000000" w:themeColor="text1"/>
        </w:rPr>
      </w:pPr>
      <w:r w:rsidRPr="00F001D6">
        <w:rPr>
          <w:color w:val="000000" w:themeColor="text1"/>
        </w:rPr>
        <w:t>Th</w:t>
      </w:r>
      <w:r>
        <w:rPr>
          <w:color w:val="000000" w:themeColor="text1"/>
        </w:rPr>
        <w:t>e current study’s</w:t>
      </w:r>
      <w:r w:rsidRPr="00F001D6">
        <w:rPr>
          <w:color w:val="000000" w:themeColor="text1"/>
        </w:rPr>
        <w:t xml:space="preserve"> findings</w:t>
      </w:r>
      <w:r>
        <w:rPr>
          <w:color w:val="000000" w:themeColor="text1"/>
        </w:rPr>
        <w:t xml:space="preserve"> of higher discriminatory stress among </w:t>
      </w:r>
      <w:r w:rsidR="005F1C1C">
        <w:rPr>
          <w:color w:val="000000" w:themeColor="text1"/>
        </w:rPr>
        <w:t>African Americans/Blacks</w:t>
      </w:r>
      <w:r w:rsidRPr="00F001D6">
        <w:rPr>
          <w:color w:val="000000" w:themeColor="text1"/>
        </w:rPr>
        <w:t xml:space="preserve"> mirror </w:t>
      </w:r>
      <w:proofErr w:type="spellStart"/>
      <w:r w:rsidRPr="00F001D6">
        <w:rPr>
          <w:color w:val="000000" w:themeColor="text1"/>
        </w:rPr>
        <w:t>Utsey</w:t>
      </w:r>
      <w:proofErr w:type="spellEnd"/>
      <w:r w:rsidRPr="00F001D6">
        <w:rPr>
          <w:color w:val="000000" w:themeColor="text1"/>
        </w:rPr>
        <w:t xml:space="preserve"> et al.’s study on race-related stress and ethnicity. Compared to Asian and Latino Americans, </w:t>
      </w:r>
      <w:r w:rsidR="005F1C1C">
        <w:rPr>
          <w:color w:val="000000" w:themeColor="text1"/>
        </w:rPr>
        <w:t>African Americans/Blacks</w:t>
      </w:r>
      <w:r w:rsidRPr="00F001D6">
        <w:rPr>
          <w:color w:val="000000" w:themeColor="text1"/>
        </w:rPr>
        <w:t xml:space="preserve"> reported significantly higher amounts of race-related stress (</w:t>
      </w:r>
      <w:proofErr w:type="spellStart"/>
      <w:r w:rsidRPr="00F001D6">
        <w:rPr>
          <w:color w:val="000000" w:themeColor="text1"/>
        </w:rPr>
        <w:t>Utsey</w:t>
      </w:r>
      <w:proofErr w:type="spellEnd"/>
      <w:r w:rsidRPr="00F001D6">
        <w:rPr>
          <w:color w:val="000000" w:themeColor="text1"/>
        </w:rPr>
        <w:t xml:space="preserve"> et al., 2002). The current study’s </w:t>
      </w:r>
      <w:r>
        <w:rPr>
          <w:color w:val="000000" w:themeColor="text1"/>
        </w:rPr>
        <w:t>results</w:t>
      </w:r>
      <w:r w:rsidRPr="00F001D6">
        <w:rPr>
          <w:color w:val="000000" w:themeColor="text1"/>
        </w:rPr>
        <w:t xml:space="preserve"> are also similar to Lang who found racial/ethnic differences for each </w:t>
      </w:r>
      <w:r w:rsidRPr="003E0A38">
        <w:rPr>
          <w:color w:val="000000" w:themeColor="text1"/>
        </w:rPr>
        <w:t>SRE</w:t>
      </w:r>
      <w:r w:rsidR="00032124">
        <w:rPr>
          <w:color w:val="000000" w:themeColor="text1"/>
        </w:rPr>
        <w:t>-</w:t>
      </w:r>
      <w:r w:rsidR="003E0A38" w:rsidRPr="003E0A38">
        <w:rPr>
          <w:color w:val="000000" w:themeColor="text1"/>
        </w:rPr>
        <w:t>G</w:t>
      </w:r>
      <w:r w:rsidRPr="003E0A38">
        <w:rPr>
          <w:color w:val="000000" w:themeColor="text1"/>
        </w:rPr>
        <w:t xml:space="preserve"> subscale</w:t>
      </w:r>
      <w:r w:rsidRPr="00F001D6">
        <w:rPr>
          <w:color w:val="000000" w:themeColor="text1"/>
        </w:rPr>
        <w:t xml:space="preserve"> (2001). In contrast, though, American Indians reported the </w:t>
      </w:r>
      <w:r>
        <w:rPr>
          <w:color w:val="000000" w:themeColor="text1"/>
        </w:rPr>
        <w:t>most encounters of discrimination in regard to the past year and across their entire lifetime</w:t>
      </w:r>
      <w:r w:rsidRPr="00F001D6">
        <w:rPr>
          <w:color w:val="000000" w:themeColor="text1"/>
        </w:rPr>
        <w:t>, and despite differing from Anglo American participants in their appraisal of these experiences, appraisal did not differ across each racial/ethnic minority. Lang suggested that although each group may have differing experiences and frequencies of racism, discrimination negatively impacts all racial/ethnic minorities.</w:t>
      </w:r>
    </w:p>
    <w:p w14:paraId="291C3B60" w14:textId="5071D0D7" w:rsidR="00B518B3" w:rsidRDefault="00FA53C2" w:rsidP="00B518B3">
      <w:pPr>
        <w:spacing w:line="480" w:lineRule="auto"/>
        <w:ind w:firstLine="720"/>
        <w:rPr>
          <w:color w:val="000000" w:themeColor="text1"/>
        </w:rPr>
      </w:pPr>
      <w:r w:rsidRPr="00F001D6">
        <w:rPr>
          <w:color w:val="000000" w:themeColor="text1"/>
        </w:rPr>
        <w:t>Differences in discriminatory stress were also examined between males and females, but the sexes only differed in their reports of discrimination from the past year. According to the theory of intersectionality, an individual’s demographic and personal characteristics interact to determine one’s discriminatory experiences (</w:t>
      </w:r>
      <w:r w:rsidR="003E0A38">
        <w:rPr>
          <w:color w:val="000000" w:themeColor="text1"/>
        </w:rPr>
        <w:t>American Psychological Association [APA],</w:t>
      </w:r>
      <w:r w:rsidRPr="00F001D6">
        <w:rPr>
          <w:color w:val="000000" w:themeColor="text1"/>
        </w:rPr>
        <w:t xml:space="preserve"> 2017; </w:t>
      </w:r>
      <w:r w:rsidRPr="00F001D6">
        <w:rPr>
          <w:color w:val="000000" w:themeColor="text1"/>
        </w:rPr>
        <w:lastRenderedPageBreak/>
        <w:t xml:space="preserve">Hernandez </w:t>
      </w:r>
      <w:r w:rsidR="003E0A38">
        <w:rPr>
          <w:color w:val="000000" w:themeColor="text1"/>
        </w:rPr>
        <w:t>&amp;</w:t>
      </w:r>
      <w:proofErr w:type="spellStart"/>
      <w:r w:rsidRPr="00F001D6">
        <w:rPr>
          <w:color w:val="000000" w:themeColor="text1"/>
        </w:rPr>
        <w:t>Villados</w:t>
      </w:r>
      <w:proofErr w:type="spellEnd"/>
      <w:r w:rsidRPr="00F001D6">
        <w:rPr>
          <w:color w:val="000000" w:themeColor="text1"/>
        </w:rPr>
        <w:t xml:space="preserve">, 2020). Female participants may encounter more microaggressions than their male counterparts because in addition to being a racial/ethnic minority, they are also a sexual minority. Female participants in Jones’ and </w:t>
      </w:r>
      <w:proofErr w:type="spellStart"/>
      <w:r w:rsidRPr="00F001D6">
        <w:rPr>
          <w:color w:val="000000" w:themeColor="text1"/>
        </w:rPr>
        <w:t>Galliher’s</w:t>
      </w:r>
      <w:proofErr w:type="spellEnd"/>
      <w:r w:rsidRPr="00F001D6">
        <w:rPr>
          <w:color w:val="000000" w:themeColor="text1"/>
        </w:rPr>
        <w:t xml:space="preserve"> </w:t>
      </w:r>
      <w:r w:rsidR="00587C94" w:rsidRPr="00F001D6">
        <w:rPr>
          <w:color w:val="000000" w:themeColor="text1"/>
        </w:rPr>
        <w:t>(2015)</w:t>
      </w:r>
      <w:r w:rsidR="00587C94">
        <w:rPr>
          <w:color w:val="000000" w:themeColor="text1"/>
        </w:rPr>
        <w:t xml:space="preserve"> </w:t>
      </w:r>
      <w:r w:rsidRPr="00F001D6">
        <w:rPr>
          <w:color w:val="000000" w:themeColor="text1"/>
        </w:rPr>
        <w:t xml:space="preserve">study reported higher (insignificant) amounts of microaggressions than males. Recent efforts such as the </w:t>
      </w:r>
      <w:proofErr w:type="gramStart"/>
      <w:r w:rsidRPr="00F001D6">
        <w:rPr>
          <w:color w:val="000000" w:themeColor="text1"/>
        </w:rPr>
        <w:t>Me Too</w:t>
      </w:r>
      <w:proofErr w:type="gramEnd"/>
      <w:r w:rsidRPr="00F001D6">
        <w:rPr>
          <w:color w:val="000000" w:themeColor="text1"/>
        </w:rPr>
        <w:t xml:space="preserve"> Movement have encouraged women to unite and speak out against sexism and sexual injustice. This shift in female advocacy has caused many to acknowledge the sexist discrimination in their own lives, and it may have contributed to female participants’ higher reports of </w:t>
      </w:r>
      <w:r w:rsidR="003E0A38">
        <w:rPr>
          <w:color w:val="000000" w:themeColor="text1"/>
        </w:rPr>
        <w:t>discrimination from the past year</w:t>
      </w:r>
      <w:r w:rsidRPr="00F001D6">
        <w:rPr>
          <w:color w:val="000000" w:themeColor="text1"/>
        </w:rPr>
        <w:t>.</w:t>
      </w:r>
      <w:r w:rsidR="005F1C1C">
        <w:rPr>
          <w:color w:val="000000" w:themeColor="text1"/>
        </w:rPr>
        <w:t xml:space="preserve"> </w:t>
      </w:r>
      <w:r w:rsidRPr="00F001D6">
        <w:rPr>
          <w:color w:val="000000" w:themeColor="text1"/>
        </w:rPr>
        <w:t xml:space="preserve">Despite this significant difference, there were no other differences in the </w:t>
      </w:r>
      <w:r w:rsidR="003E0A38">
        <w:rPr>
          <w:color w:val="000000" w:themeColor="text1"/>
        </w:rPr>
        <w:t xml:space="preserve">discriminatory experiences across one’s lifetime and perceived stressfulness of discrimination </w:t>
      </w:r>
      <w:r w:rsidRPr="00F001D6">
        <w:rPr>
          <w:color w:val="000000" w:themeColor="text1"/>
        </w:rPr>
        <w:t>between males and females. </w:t>
      </w:r>
    </w:p>
    <w:p w14:paraId="253EAC1C" w14:textId="6525B1B2" w:rsidR="00FA53C2" w:rsidRPr="00F001D6" w:rsidRDefault="00FA53C2" w:rsidP="00B518B3">
      <w:pPr>
        <w:spacing w:line="480" w:lineRule="auto"/>
        <w:ind w:firstLine="720"/>
        <w:rPr>
          <w:color w:val="000000" w:themeColor="text1"/>
        </w:rPr>
      </w:pPr>
      <w:r w:rsidRPr="00F001D6">
        <w:rPr>
          <w:color w:val="000000" w:themeColor="text1"/>
        </w:rPr>
        <w:t xml:space="preserve">Other studies have also failed to establish a difference in discriminatory stress across levels of education, gender differences, and income stratifications (Lang, 2001; Simons et al., 2018). The current study supported these studies, finding no differences for any of the </w:t>
      </w:r>
      <w:r w:rsidR="003E0A38">
        <w:rPr>
          <w:color w:val="000000" w:themeColor="text1"/>
        </w:rPr>
        <w:t>SRE</w:t>
      </w:r>
      <w:r w:rsidR="00032124">
        <w:rPr>
          <w:color w:val="000000" w:themeColor="text1"/>
        </w:rPr>
        <w:t>-</w:t>
      </w:r>
      <w:r w:rsidR="003E0A38">
        <w:rPr>
          <w:color w:val="000000" w:themeColor="text1"/>
        </w:rPr>
        <w:t>G</w:t>
      </w:r>
      <w:r w:rsidRPr="00F001D6">
        <w:rPr>
          <w:color w:val="000000" w:themeColor="text1"/>
        </w:rPr>
        <w:t xml:space="preserve"> subscales among various weight statuses and levels of education. </w:t>
      </w:r>
      <w:r>
        <w:rPr>
          <w:color w:val="000000" w:themeColor="text1"/>
        </w:rPr>
        <w:t xml:space="preserve">However, differences in discriminatory stress have been established between racial/ethnic groups (Gong et al., 2017; Lang, 2001; </w:t>
      </w:r>
      <w:proofErr w:type="spellStart"/>
      <w:r>
        <w:rPr>
          <w:color w:val="000000" w:themeColor="text1"/>
        </w:rPr>
        <w:t>Utsey</w:t>
      </w:r>
      <w:proofErr w:type="spellEnd"/>
      <w:r>
        <w:rPr>
          <w:color w:val="000000" w:themeColor="text1"/>
        </w:rPr>
        <w:t xml:space="preserve"> et al., 2002). </w:t>
      </w:r>
      <w:r w:rsidRPr="00F001D6">
        <w:rPr>
          <w:color w:val="000000" w:themeColor="text1"/>
        </w:rPr>
        <w:t>These results imply that race/ethnicity may be one of the key determinants of discrimination.</w:t>
      </w:r>
      <w:r>
        <w:rPr>
          <w:color w:val="000000" w:themeColor="text1"/>
        </w:rPr>
        <w:t xml:space="preserve"> Certain races may be at more risk for encountering discrimination more frequently, which could magnify the role these experiences play in impairing the health status of racial/ethnic minorities. </w:t>
      </w:r>
    </w:p>
    <w:p w14:paraId="705D71C1" w14:textId="246268C6" w:rsidR="00FA53C2" w:rsidRDefault="00FA53C2" w:rsidP="00FA53C2">
      <w:pPr>
        <w:spacing w:line="480" w:lineRule="auto"/>
        <w:ind w:firstLine="720"/>
        <w:rPr>
          <w:color w:val="000000" w:themeColor="text1"/>
        </w:rPr>
      </w:pPr>
      <w:r w:rsidRPr="00F001D6">
        <w:rPr>
          <w:color w:val="000000" w:themeColor="text1"/>
        </w:rPr>
        <w:t xml:space="preserve">In addition to discriminatory stress, the current </w:t>
      </w:r>
      <w:r>
        <w:rPr>
          <w:color w:val="000000" w:themeColor="text1"/>
        </w:rPr>
        <w:t xml:space="preserve">study </w:t>
      </w:r>
      <w:r w:rsidRPr="00F001D6">
        <w:rPr>
          <w:color w:val="000000" w:themeColor="text1"/>
        </w:rPr>
        <w:t xml:space="preserve">also sought to investigate differences in </w:t>
      </w:r>
      <w:r>
        <w:rPr>
          <w:color w:val="000000" w:themeColor="text1"/>
        </w:rPr>
        <w:t>overeating</w:t>
      </w:r>
      <w:r w:rsidRPr="00F001D6">
        <w:rPr>
          <w:color w:val="000000" w:themeColor="text1"/>
        </w:rPr>
        <w:t xml:space="preserve"> across races/ethnicities, sexes, and weight statuses. Previous studies have found no difference in binge eating among racial/ethnic minorities (Kelly et al., 2015; </w:t>
      </w:r>
      <w:proofErr w:type="spellStart"/>
      <w:r w:rsidRPr="00F001D6">
        <w:rPr>
          <w:color w:val="000000" w:themeColor="text1"/>
        </w:rPr>
        <w:t>Reslan</w:t>
      </w:r>
      <w:proofErr w:type="spellEnd"/>
      <w:r w:rsidRPr="00F001D6">
        <w:rPr>
          <w:color w:val="000000" w:themeColor="text1"/>
        </w:rPr>
        <w:t xml:space="preserve"> and Saules, 2013; Thurston et al., 2018; White and </w:t>
      </w:r>
      <w:proofErr w:type="spellStart"/>
      <w:r w:rsidRPr="00F001D6">
        <w:rPr>
          <w:color w:val="000000" w:themeColor="text1"/>
        </w:rPr>
        <w:t>Grilo</w:t>
      </w:r>
      <w:proofErr w:type="spellEnd"/>
      <w:r w:rsidRPr="00F001D6">
        <w:rPr>
          <w:color w:val="000000" w:themeColor="text1"/>
        </w:rPr>
        <w:t>, 2011).</w:t>
      </w:r>
      <w:r w:rsidR="005F1C1C">
        <w:rPr>
          <w:color w:val="000000" w:themeColor="text1"/>
        </w:rPr>
        <w:t xml:space="preserve"> </w:t>
      </w:r>
      <w:r w:rsidRPr="00F001D6">
        <w:rPr>
          <w:color w:val="000000" w:themeColor="text1"/>
        </w:rPr>
        <w:t xml:space="preserve">However, research has </w:t>
      </w:r>
      <w:r w:rsidRPr="00F001D6">
        <w:rPr>
          <w:color w:val="000000" w:themeColor="text1"/>
        </w:rPr>
        <w:lastRenderedPageBreak/>
        <w:t xml:space="preserve">evidenced a higher incidence of binge eating among racial/ethnic minorities compared to the White majority (Harrington et al., 2006; </w:t>
      </w:r>
      <w:proofErr w:type="spellStart"/>
      <w:r w:rsidRPr="00F001D6">
        <w:rPr>
          <w:color w:val="000000" w:themeColor="text1"/>
        </w:rPr>
        <w:t>Reslan</w:t>
      </w:r>
      <w:proofErr w:type="spellEnd"/>
      <w:r w:rsidRPr="00F001D6">
        <w:rPr>
          <w:color w:val="000000" w:themeColor="text1"/>
        </w:rPr>
        <w:t xml:space="preserve"> and Saules, 2013). </w:t>
      </w:r>
      <w:r>
        <w:rPr>
          <w:color w:val="000000" w:themeColor="text1"/>
        </w:rPr>
        <w:t>Although overeating was statistically similar among the racial/ethnic minorities of this study, their reports may be higher than their White counterparts.</w:t>
      </w:r>
    </w:p>
    <w:p w14:paraId="4BE1F32C" w14:textId="1FA3F62B" w:rsidR="00FA53C2" w:rsidRDefault="00FA53C2" w:rsidP="00FA53C2">
      <w:pPr>
        <w:pStyle w:val="NormalWeb"/>
        <w:spacing w:line="480" w:lineRule="auto"/>
        <w:ind w:firstLine="720"/>
        <w:rPr>
          <w:color w:val="000000"/>
        </w:rPr>
      </w:pPr>
      <w:r w:rsidRPr="00F001D6">
        <w:rPr>
          <w:color w:val="000000" w:themeColor="text1"/>
        </w:rPr>
        <w:t xml:space="preserve">Although </w:t>
      </w:r>
      <w:r>
        <w:rPr>
          <w:color w:val="000000" w:themeColor="text1"/>
        </w:rPr>
        <w:t>overeating</w:t>
      </w:r>
      <w:r w:rsidRPr="00F001D6">
        <w:rPr>
          <w:color w:val="000000" w:themeColor="text1"/>
        </w:rPr>
        <w:t xml:space="preserve"> did not differ between males and females, overeating differed across various weight statuses. </w:t>
      </w:r>
      <w:r w:rsidRPr="00F2128A">
        <w:rPr>
          <w:color w:val="000000" w:themeColor="text1"/>
        </w:rPr>
        <w:t xml:space="preserve">Those </w:t>
      </w:r>
      <w:r w:rsidR="00F2128A" w:rsidRPr="00F2128A">
        <w:rPr>
          <w:color w:val="000000" w:themeColor="text1"/>
        </w:rPr>
        <w:t>who have obesity</w:t>
      </w:r>
      <w:r w:rsidRPr="00F2128A">
        <w:rPr>
          <w:color w:val="000000" w:themeColor="text1"/>
        </w:rPr>
        <w:t xml:space="preserve"> tend to overeat more than normal weight individuals (</w:t>
      </w:r>
      <w:proofErr w:type="spellStart"/>
      <w:r w:rsidRPr="00F2128A">
        <w:rPr>
          <w:color w:val="000000" w:themeColor="text1"/>
        </w:rPr>
        <w:t>G</w:t>
      </w:r>
      <w:r w:rsidR="00E9008E" w:rsidRPr="00F2128A">
        <w:rPr>
          <w:color w:val="000000" w:themeColor="text1"/>
        </w:rPr>
        <w:t>ö</w:t>
      </w:r>
      <w:r w:rsidRPr="00F2128A">
        <w:rPr>
          <w:color w:val="000000" w:themeColor="text1"/>
        </w:rPr>
        <w:t>rlach</w:t>
      </w:r>
      <w:proofErr w:type="spellEnd"/>
      <w:r w:rsidRPr="00F2128A">
        <w:rPr>
          <w:color w:val="000000" w:themeColor="text1"/>
        </w:rPr>
        <w:t xml:space="preserve"> et al., 2016</w:t>
      </w:r>
      <w:r w:rsidRPr="00F001D6">
        <w:rPr>
          <w:color w:val="000000" w:themeColor="text1"/>
        </w:rPr>
        <w:t>). </w:t>
      </w:r>
      <w:r w:rsidR="00E9008E">
        <w:rPr>
          <w:color w:val="000000" w:themeColor="text1"/>
        </w:rPr>
        <w:t>Participants with obesity</w:t>
      </w:r>
      <w:r w:rsidRPr="00F001D6">
        <w:rPr>
          <w:color w:val="000000" w:themeColor="text1"/>
        </w:rPr>
        <w:t xml:space="preserve"> reported significantly more incidences of overeating compared to </w:t>
      </w:r>
      <w:r w:rsidR="00E9008E">
        <w:rPr>
          <w:color w:val="000000" w:themeColor="text1"/>
        </w:rPr>
        <w:t>participants at a normal weight and those with excess weight</w:t>
      </w:r>
      <w:r w:rsidR="00F2128A">
        <w:rPr>
          <w:color w:val="000000" w:themeColor="text1"/>
        </w:rPr>
        <w:t>, but the difference in overeating between those with obesity and excess weight were not significant when accounting for the Bonferroni adjustment</w:t>
      </w:r>
      <w:r w:rsidRPr="00F001D6">
        <w:rPr>
          <w:color w:val="000000" w:themeColor="text1"/>
        </w:rPr>
        <w:t>.</w:t>
      </w:r>
      <w:r w:rsidR="00F2128A">
        <w:rPr>
          <w:color w:val="000000" w:themeColor="text1"/>
        </w:rPr>
        <w:t xml:space="preserve"> T</w:t>
      </w:r>
      <w:r w:rsidRPr="00F001D6">
        <w:rPr>
          <w:color w:val="000000" w:themeColor="text1"/>
        </w:rPr>
        <w:t>here were</w:t>
      </w:r>
      <w:r w:rsidR="00F2128A">
        <w:rPr>
          <w:color w:val="000000" w:themeColor="text1"/>
        </w:rPr>
        <w:t xml:space="preserve"> also</w:t>
      </w:r>
      <w:r w:rsidRPr="00F001D6">
        <w:rPr>
          <w:color w:val="000000" w:themeColor="text1"/>
        </w:rPr>
        <w:t xml:space="preserve"> no differences in </w:t>
      </w:r>
      <w:r w:rsidR="00F2128A">
        <w:rPr>
          <w:color w:val="000000" w:themeColor="text1"/>
        </w:rPr>
        <w:t>overeating</w:t>
      </w:r>
      <w:r w:rsidRPr="00F001D6">
        <w:rPr>
          <w:color w:val="000000" w:themeColor="text1"/>
        </w:rPr>
        <w:t xml:space="preserve"> between </w:t>
      </w:r>
      <w:r w:rsidR="00E9008E">
        <w:rPr>
          <w:color w:val="000000" w:themeColor="text1"/>
        </w:rPr>
        <w:t>individuals with a normal weight compared to those with excess weight</w:t>
      </w:r>
      <w:r w:rsidRPr="00F001D6">
        <w:rPr>
          <w:color w:val="000000" w:themeColor="text1"/>
        </w:rPr>
        <w:t xml:space="preserve">. In a study investigating differences in hormonal responses to food cues and stress, only </w:t>
      </w:r>
      <w:r w:rsidR="007663B8">
        <w:rPr>
          <w:color w:val="000000" w:themeColor="text1"/>
        </w:rPr>
        <w:t xml:space="preserve">participants with excess weight or obesity </w:t>
      </w:r>
      <w:r w:rsidRPr="00F001D6">
        <w:rPr>
          <w:color w:val="000000" w:themeColor="text1"/>
        </w:rPr>
        <w:t xml:space="preserve">exhibited increased food craving in response to stress (Sinha et al., 2019). These hormonal changes </w:t>
      </w:r>
      <w:proofErr w:type="gramStart"/>
      <w:r w:rsidRPr="00F001D6">
        <w:rPr>
          <w:color w:val="000000" w:themeColor="text1"/>
        </w:rPr>
        <w:t>cause</w:t>
      </w:r>
      <w:proofErr w:type="gramEnd"/>
      <w:r w:rsidRPr="00F001D6">
        <w:rPr>
          <w:color w:val="000000" w:themeColor="text1"/>
        </w:rPr>
        <w:t xml:space="preserve"> </w:t>
      </w:r>
      <w:r w:rsidR="007663B8">
        <w:rPr>
          <w:color w:val="000000" w:themeColor="text1"/>
        </w:rPr>
        <w:t xml:space="preserve">individuals affected by obesity or excess weight </w:t>
      </w:r>
      <w:r w:rsidRPr="00F001D6">
        <w:rPr>
          <w:color w:val="000000" w:themeColor="text1"/>
        </w:rPr>
        <w:t xml:space="preserve">to be more susceptible to eating in the absence of hunger, and </w:t>
      </w:r>
      <w:r w:rsidR="007663B8">
        <w:rPr>
          <w:color w:val="000000" w:themeColor="text1"/>
        </w:rPr>
        <w:t>individuals with obesity</w:t>
      </w:r>
      <w:r w:rsidRPr="00F001D6">
        <w:rPr>
          <w:color w:val="000000" w:themeColor="text1"/>
        </w:rPr>
        <w:t xml:space="preserve"> may be more likely to use overeating or binge eating </w:t>
      </w:r>
      <w:r>
        <w:rPr>
          <w:color w:val="000000" w:themeColor="text1"/>
        </w:rPr>
        <w:t xml:space="preserve">as </w:t>
      </w:r>
      <w:r w:rsidRPr="00F001D6">
        <w:rPr>
          <w:color w:val="000000" w:themeColor="text1"/>
        </w:rPr>
        <w:t>a coping mechanism for discrimination. </w:t>
      </w:r>
      <w:r>
        <w:rPr>
          <w:color w:val="000000"/>
        </w:rPr>
        <w:t>Not only does overeating increase the risk for obesity, but it also exacerbates the health of these populations (</w:t>
      </w:r>
      <w:r w:rsidR="00327996">
        <w:rPr>
          <w:color w:val="000000"/>
        </w:rPr>
        <w:t>Kumanyika</w:t>
      </w:r>
      <w:r>
        <w:rPr>
          <w:color w:val="000000"/>
        </w:rPr>
        <w:t xml:space="preserve"> et al., 2012).</w:t>
      </w:r>
      <w:r w:rsidR="005F1C1C">
        <w:rPr>
          <w:color w:val="000000"/>
        </w:rPr>
        <w:t xml:space="preserve"> </w:t>
      </w:r>
      <w:r>
        <w:rPr>
          <w:color w:val="000000"/>
        </w:rPr>
        <w:t>When excess calories are continually consumed, the body is forced to store the energy as fat. Excess adipose can increase the risk for insulin resistance, cardiovascular disease, and even some forms of cancer (</w:t>
      </w:r>
      <w:proofErr w:type="spellStart"/>
      <w:r w:rsidR="00E9008E" w:rsidRPr="00BA246A">
        <w:rPr>
          <w:color w:val="000000"/>
        </w:rPr>
        <w:t>Jastreboff</w:t>
      </w:r>
      <w:proofErr w:type="spellEnd"/>
      <w:r>
        <w:rPr>
          <w:color w:val="000000"/>
        </w:rPr>
        <w:t xml:space="preserve"> et al., 2018).</w:t>
      </w:r>
    </w:p>
    <w:p w14:paraId="363AB4C7" w14:textId="775BA218" w:rsidR="00FA53C2" w:rsidRPr="00CF47A3" w:rsidRDefault="00FA53C2" w:rsidP="00FA53C2">
      <w:pPr>
        <w:pStyle w:val="NormalWeb"/>
        <w:spacing w:line="480" w:lineRule="auto"/>
        <w:ind w:firstLine="720"/>
        <w:rPr>
          <w:color w:val="000000"/>
        </w:rPr>
      </w:pPr>
      <w:r>
        <w:rPr>
          <w:color w:val="000000"/>
        </w:rPr>
        <w:t xml:space="preserve">Fortunately, research has evidenced the benefits of small, lifestyle changes in improving the health </w:t>
      </w:r>
      <w:r w:rsidR="007663B8">
        <w:rPr>
          <w:color w:val="000000"/>
        </w:rPr>
        <w:t>those affected by obesity</w:t>
      </w:r>
      <w:r>
        <w:rPr>
          <w:color w:val="000000"/>
        </w:rPr>
        <w:t>.</w:t>
      </w:r>
      <w:r w:rsidR="005F1C1C">
        <w:rPr>
          <w:color w:val="000000"/>
        </w:rPr>
        <w:t xml:space="preserve"> </w:t>
      </w:r>
      <w:r>
        <w:rPr>
          <w:color w:val="000000"/>
        </w:rPr>
        <w:t xml:space="preserve">A randomized control trial comparing a dieting regime to a non-diet alternative which focused on intuitive eating and positive body image found </w:t>
      </w:r>
      <w:r>
        <w:rPr>
          <w:color w:val="000000"/>
        </w:rPr>
        <w:lastRenderedPageBreak/>
        <w:t>improvements in both groups’ cholesterol, blood lipids, and blood pressure after six months (Bacon et al., 2002). Participants in a clinical trial which focused on increasing fruit and vegetable intake exhibited significant improvements in blood pressure despite a lack of weight loss (Appel et al., 1997). However, modest weight loss of only 5</w:t>
      </w:r>
      <w:r w:rsidR="007663B8">
        <w:rPr>
          <w:color w:val="000000" w:themeColor="text1"/>
        </w:rPr>
        <w:t>–</w:t>
      </w:r>
      <w:r>
        <w:rPr>
          <w:color w:val="000000"/>
        </w:rPr>
        <w:t>10% of initial body weight has been evidenced to improve glycemic control, blood pressure, and blood cholesterol levels (Goldstein, 1992). Small lifestyle changes (e.g., increasing fruit and vegetable intake or focusing on internal hunger and satiety cues) can reap massive benefits.</w:t>
      </w:r>
    </w:p>
    <w:p w14:paraId="05360F50" w14:textId="5A106A6C" w:rsidR="00FA53C2" w:rsidRDefault="00FA53C2" w:rsidP="00FA53C2">
      <w:pPr>
        <w:spacing w:line="480" w:lineRule="auto"/>
        <w:ind w:firstLine="720"/>
        <w:rPr>
          <w:color w:val="000000" w:themeColor="text1"/>
        </w:rPr>
      </w:pPr>
      <w:r>
        <w:rPr>
          <w:color w:val="000000" w:themeColor="text1"/>
        </w:rPr>
        <w:t xml:space="preserve">In addition to overeating, participants were asked to recall the number of days they felt a loss of control over their eating on days that they overate. More than half of </w:t>
      </w:r>
      <w:r w:rsidR="00901D7F">
        <w:rPr>
          <w:color w:val="000000" w:themeColor="text1"/>
        </w:rPr>
        <w:t>the sample</w:t>
      </w:r>
      <w:r>
        <w:rPr>
          <w:color w:val="000000" w:themeColor="text1"/>
        </w:rPr>
        <w:t xml:space="preserve"> experienced this loss of control on one or more occasions of overeating and were therefore considered binge eaters. However, the proportion of bingeing did not vary by weight status but was prevalent across normal, overweight, and obese participants alike. </w:t>
      </w:r>
      <w:proofErr w:type="spellStart"/>
      <w:r>
        <w:rPr>
          <w:color w:val="000000" w:themeColor="text1"/>
        </w:rPr>
        <w:t>Didie</w:t>
      </w:r>
      <w:proofErr w:type="spellEnd"/>
      <w:r>
        <w:rPr>
          <w:color w:val="000000" w:themeColor="text1"/>
        </w:rPr>
        <w:t xml:space="preserve"> and Fitzgibbon</w:t>
      </w:r>
      <w:r w:rsidR="003D1EED">
        <w:rPr>
          <w:color w:val="000000" w:themeColor="text1"/>
        </w:rPr>
        <w:t xml:space="preserve"> (2005)</w:t>
      </w:r>
      <w:r>
        <w:rPr>
          <w:color w:val="000000" w:themeColor="text1"/>
        </w:rPr>
        <w:t xml:space="preserve"> found similar results in a study examining binge eating disorder. Influential factors of binge eating did not vary by weight status. Although binge eating increases the risk for obesity, it is not only characteristic of the obese population but may be prevalent across a variety of weight statuses.</w:t>
      </w:r>
    </w:p>
    <w:p w14:paraId="05F61B73" w14:textId="37E609B4" w:rsidR="00FA53C2" w:rsidRDefault="00FA53C2" w:rsidP="00FA53C2">
      <w:pPr>
        <w:spacing w:line="480" w:lineRule="auto"/>
        <w:ind w:firstLine="720"/>
        <w:rPr>
          <w:color w:val="000000" w:themeColor="text1"/>
        </w:rPr>
      </w:pPr>
      <w:r>
        <w:rPr>
          <w:color w:val="000000" w:themeColor="text1"/>
        </w:rPr>
        <w:t>Despite a lack of weight status differences, binge eating was proportionally different among the sexes and the racial/ethnic groups. A larger proportion of females were considered binge eaters compared to males. In a sample of adults from a cross-sectional study, female participants had more food cravings than their male counterparts (Chao et al, 2016). There may be physiological differences that put females at higher risk for engagement in binge eating.</w:t>
      </w:r>
      <w:r w:rsidR="005F1C1C">
        <w:rPr>
          <w:color w:val="000000" w:themeColor="text1"/>
        </w:rPr>
        <w:t xml:space="preserve"> </w:t>
      </w:r>
      <w:r>
        <w:rPr>
          <w:color w:val="000000" w:themeColor="text1"/>
        </w:rPr>
        <w:t xml:space="preserve">Similarly, there was a larger proportion of binge eaters among American Indians and Hispanic/Latino(a)/Spanish Americans compared to </w:t>
      </w:r>
      <w:r w:rsidR="005F1C1C">
        <w:rPr>
          <w:color w:val="000000" w:themeColor="text1"/>
        </w:rPr>
        <w:t>African Americans/Blacks</w:t>
      </w:r>
      <w:r>
        <w:rPr>
          <w:color w:val="000000" w:themeColor="text1"/>
        </w:rPr>
        <w:t xml:space="preserve"> in the current </w:t>
      </w:r>
      <w:r>
        <w:rPr>
          <w:color w:val="000000" w:themeColor="text1"/>
        </w:rPr>
        <w:lastRenderedPageBreak/>
        <w:t>study.</w:t>
      </w:r>
      <w:r w:rsidR="005F1C1C">
        <w:rPr>
          <w:color w:val="000000" w:themeColor="text1"/>
        </w:rPr>
        <w:t xml:space="preserve"> </w:t>
      </w:r>
      <w:r>
        <w:rPr>
          <w:color w:val="000000" w:themeColor="text1"/>
        </w:rPr>
        <w:t xml:space="preserve">Previous research has failed to find racial/ethnic differences in binge eating (Chao et al., 2016; </w:t>
      </w:r>
      <w:proofErr w:type="spellStart"/>
      <w:r>
        <w:rPr>
          <w:color w:val="000000" w:themeColor="text1"/>
        </w:rPr>
        <w:t>Reslan</w:t>
      </w:r>
      <w:proofErr w:type="spellEnd"/>
      <w:r>
        <w:rPr>
          <w:color w:val="000000" w:themeColor="text1"/>
        </w:rPr>
        <w:t xml:space="preserve"> </w:t>
      </w:r>
      <w:r w:rsidR="007663B8">
        <w:rPr>
          <w:color w:val="000000" w:themeColor="text1"/>
        </w:rPr>
        <w:t>&amp;</w:t>
      </w:r>
      <w:r>
        <w:rPr>
          <w:color w:val="000000" w:themeColor="text1"/>
        </w:rPr>
        <w:t xml:space="preserve"> Saules, 2011). However, in other studies, </w:t>
      </w:r>
      <w:r w:rsidR="005F1C1C">
        <w:rPr>
          <w:color w:val="000000" w:themeColor="text1"/>
        </w:rPr>
        <w:t>African Americans/Blacks</w:t>
      </w:r>
      <w:r>
        <w:rPr>
          <w:color w:val="000000" w:themeColor="text1"/>
        </w:rPr>
        <w:t xml:space="preserve"> were at a decreased risk for binge eating compared to Caucasian participants (Harrington et al., 2006; </w:t>
      </w:r>
      <w:proofErr w:type="spellStart"/>
      <w:r>
        <w:rPr>
          <w:color w:val="000000" w:themeColor="text1"/>
        </w:rPr>
        <w:t>Reslan</w:t>
      </w:r>
      <w:proofErr w:type="spellEnd"/>
      <w:r>
        <w:rPr>
          <w:color w:val="000000" w:themeColor="text1"/>
        </w:rPr>
        <w:t xml:space="preserve"> </w:t>
      </w:r>
      <w:r w:rsidR="007663B8">
        <w:rPr>
          <w:color w:val="000000" w:themeColor="text1"/>
        </w:rPr>
        <w:t>&amp;</w:t>
      </w:r>
      <w:r>
        <w:rPr>
          <w:color w:val="000000" w:themeColor="text1"/>
        </w:rPr>
        <w:t xml:space="preserve"> Saules, 2011). Dietary restraint may be a key factor in contributing to binge eating engagement, and this behavior is not typically characteristic of </w:t>
      </w:r>
      <w:r w:rsidR="005F1C1C">
        <w:rPr>
          <w:color w:val="000000" w:themeColor="text1"/>
        </w:rPr>
        <w:t>African Americans/Blacks</w:t>
      </w:r>
      <w:r>
        <w:rPr>
          <w:color w:val="000000" w:themeColor="text1"/>
        </w:rPr>
        <w:t xml:space="preserve"> (Harrington et al., 2006). This may act as a protective factor to reduce incidences of binge eating among </w:t>
      </w:r>
      <w:r w:rsidR="005F1C1C">
        <w:rPr>
          <w:color w:val="000000" w:themeColor="text1"/>
        </w:rPr>
        <w:t>African Americans/Blacks</w:t>
      </w:r>
      <w:r>
        <w:rPr>
          <w:color w:val="000000" w:themeColor="text1"/>
        </w:rPr>
        <w:t xml:space="preserve"> compared to other racial/ethnic groups.</w:t>
      </w:r>
    </w:p>
    <w:p w14:paraId="4D87C4C5" w14:textId="2108595D" w:rsidR="00FA53C2" w:rsidRDefault="00FA53C2" w:rsidP="00FA53C2">
      <w:pPr>
        <w:spacing w:line="480" w:lineRule="auto"/>
        <w:ind w:firstLine="720"/>
        <w:rPr>
          <w:color w:val="000000" w:themeColor="text1"/>
        </w:rPr>
      </w:pPr>
      <w:r>
        <w:rPr>
          <w:color w:val="000000" w:themeColor="text1"/>
        </w:rPr>
        <w:t>Nevertheless, binge eating was seen across a variety of participant demographics and was prevalent among the current study’s sample. If left untreated, not only can binge eating develop into an eating disorder, there are other health consequences that can detriment a binger’s health status. In addition to increasing the risk for obesity, binge eating can increase the risk for major medical disorders, depression, anxiety, and body dissatisfaction (</w:t>
      </w:r>
      <w:proofErr w:type="spellStart"/>
      <w:r>
        <w:rPr>
          <w:color w:val="000000" w:themeColor="text1"/>
        </w:rPr>
        <w:t>Bulik</w:t>
      </w:r>
      <w:proofErr w:type="spellEnd"/>
      <w:r>
        <w:rPr>
          <w:color w:val="000000" w:themeColor="text1"/>
        </w:rPr>
        <w:t xml:space="preserve"> et al., 2002; Wilson et al., 199</w:t>
      </w:r>
      <w:r w:rsidR="00327996">
        <w:rPr>
          <w:color w:val="000000" w:themeColor="text1"/>
        </w:rPr>
        <w:t>3</w:t>
      </w:r>
      <w:r>
        <w:rPr>
          <w:color w:val="000000" w:themeColor="text1"/>
        </w:rPr>
        <w:t>. Considering the clinical implications, more research should investigate potential prevalence differences among these subpopulations in order to create more effective interventions to mitigate binge eating’s impact on racial/ethnic minority health.</w:t>
      </w:r>
    </w:p>
    <w:p w14:paraId="6C94AA08" w14:textId="721ED61F" w:rsidR="00FA53C2" w:rsidRPr="00F001D6" w:rsidRDefault="00FA53C2" w:rsidP="00FA53C2">
      <w:pPr>
        <w:spacing w:line="480" w:lineRule="auto"/>
        <w:ind w:firstLine="720"/>
        <w:rPr>
          <w:color w:val="000000" w:themeColor="text1"/>
        </w:rPr>
      </w:pPr>
      <w:r w:rsidRPr="00F001D6">
        <w:rPr>
          <w:color w:val="000000" w:themeColor="text1"/>
        </w:rPr>
        <w:t xml:space="preserve">Despite the number of significant differences found in the current study, the central aim was to establish a relationship between overeating and discriminatory stress, and as hypothesized, </w:t>
      </w:r>
      <w:r>
        <w:rPr>
          <w:color w:val="000000" w:themeColor="text1"/>
        </w:rPr>
        <w:t>overeating was</w:t>
      </w:r>
      <w:r w:rsidRPr="00F001D6">
        <w:rPr>
          <w:color w:val="000000" w:themeColor="text1"/>
        </w:rPr>
        <w:t xml:space="preserve"> positively associated with each </w:t>
      </w:r>
      <w:r w:rsidR="007663B8">
        <w:rPr>
          <w:color w:val="000000" w:themeColor="text1"/>
        </w:rPr>
        <w:t>SRE</w:t>
      </w:r>
      <w:r w:rsidR="006D241A">
        <w:rPr>
          <w:color w:val="000000" w:themeColor="text1"/>
        </w:rPr>
        <w:t>-</w:t>
      </w:r>
      <w:r w:rsidR="007663B8">
        <w:rPr>
          <w:color w:val="000000" w:themeColor="text1"/>
        </w:rPr>
        <w:t>G</w:t>
      </w:r>
      <w:r w:rsidRPr="00F001D6">
        <w:rPr>
          <w:color w:val="000000" w:themeColor="text1"/>
        </w:rPr>
        <w:t xml:space="preserve"> subscale. These associations were modest, but similar research has found s</w:t>
      </w:r>
      <w:r w:rsidR="00E81CEF">
        <w:rPr>
          <w:color w:val="000000" w:themeColor="text1"/>
        </w:rPr>
        <w:t>imilar</w:t>
      </w:r>
      <w:r w:rsidRPr="00F001D6">
        <w:rPr>
          <w:color w:val="000000" w:themeColor="text1"/>
        </w:rPr>
        <w:t xml:space="preserve"> associations as well</w:t>
      </w:r>
      <w:r>
        <w:rPr>
          <w:color w:val="000000" w:themeColor="text1"/>
        </w:rPr>
        <w:t xml:space="preserve"> when assessing the relationship between binge eating and discriminatory stress</w:t>
      </w:r>
      <w:r w:rsidRPr="00F001D6">
        <w:rPr>
          <w:color w:val="000000" w:themeColor="text1"/>
        </w:rPr>
        <w:t>. Among a sample of African American women, discriminatory stress was significantly related to binge eating (</w:t>
      </w:r>
      <w:r w:rsidRPr="00F001D6">
        <w:rPr>
          <w:i/>
          <w:iCs/>
          <w:color w:val="000000" w:themeColor="text1"/>
        </w:rPr>
        <w:t>r</w:t>
      </w:r>
      <w:r w:rsidRPr="00F001D6">
        <w:rPr>
          <w:color w:val="000000" w:themeColor="text1"/>
        </w:rPr>
        <w:t xml:space="preserve"> = 0.22</w:t>
      </w:r>
      <w:r w:rsidR="007663B8">
        <w:rPr>
          <w:color w:val="000000" w:themeColor="text1"/>
        </w:rPr>
        <w:t xml:space="preserve">, </w:t>
      </w:r>
      <w:r w:rsidR="007663B8">
        <w:rPr>
          <w:i/>
          <w:iCs/>
          <w:color w:val="000000" w:themeColor="text1"/>
        </w:rPr>
        <w:t xml:space="preserve">p </w:t>
      </w:r>
      <w:r w:rsidR="007663B8">
        <w:rPr>
          <w:color w:val="000000" w:themeColor="text1"/>
        </w:rPr>
        <w:t>&lt; .05</w:t>
      </w:r>
      <w:r w:rsidRPr="00F001D6">
        <w:rPr>
          <w:color w:val="000000" w:themeColor="text1"/>
        </w:rPr>
        <w:t xml:space="preserve">; Harrington et al., 2006). These results were replicated among a sample of Latina </w:t>
      </w:r>
      <w:r w:rsidRPr="00F001D6">
        <w:rPr>
          <w:color w:val="000000" w:themeColor="text1"/>
        </w:rPr>
        <w:lastRenderedPageBreak/>
        <w:t>women (</w:t>
      </w:r>
      <w:r w:rsidRPr="00F001D6">
        <w:rPr>
          <w:i/>
          <w:iCs/>
          <w:color w:val="000000" w:themeColor="text1"/>
        </w:rPr>
        <w:t>r</w:t>
      </w:r>
      <w:r>
        <w:rPr>
          <w:i/>
          <w:iCs/>
          <w:color w:val="000000" w:themeColor="text1"/>
        </w:rPr>
        <w:t xml:space="preserve"> </w:t>
      </w:r>
      <w:r w:rsidRPr="00F001D6">
        <w:rPr>
          <w:i/>
          <w:iCs/>
          <w:color w:val="000000" w:themeColor="text1"/>
        </w:rPr>
        <w:t xml:space="preserve">= </w:t>
      </w:r>
      <w:r w:rsidRPr="00F001D6">
        <w:rPr>
          <w:color w:val="000000" w:themeColor="text1"/>
        </w:rPr>
        <w:t>0.34) and American Indian women (</w:t>
      </w:r>
      <w:r w:rsidRPr="007663B8">
        <w:rPr>
          <w:i/>
          <w:iCs/>
          <w:color w:val="000000" w:themeColor="text1"/>
        </w:rPr>
        <w:t>r</w:t>
      </w:r>
      <w:r w:rsidRPr="007663B8">
        <w:rPr>
          <w:color w:val="000000" w:themeColor="text1"/>
        </w:rPr>
        <w:t xml:space="preserve"> = .26</w:t>
      </w:r>
      <w:r w:rsidR="007663B8">
        <w:rPr>
          <w:color w:val="000000" w:themeColor="text1"/>
        </w:rPr>
        <w:t xml:space="preserve">, </w:t>
      </w:r>
      <w:r w:rsidR="007663B8">
        <w:rPr>
          <w:i/>
          <w:iCs/>
          <w:color w:val="000000" w:themeColor="text1"/>
        </w:rPr>
        <w:t xml:space="preserve">p </w:t>
      </w:r>
      <w:r w:rsidR="007663B8">
        <w:rPr>
          <w:color w:val="000000" w:themeColor="text1"/>
        </w:rPr>
        <w:t>&lt; .01</w:t>
      </w:r>
      <w:r w:rsidRPr="00F001D6">
        <w:rPr>
          <w:color w:val="000000" w:themeColor="text1"/>
        </w:rPr>
        <w:t xml:space="preserve">; Clark </w:t>
      </w:r>
      <w:r w:rsidR="007663B8">
        <w:rPr>
          <w:color w:val="000000" w:themeColor="text1"/>
        </w:rPr>
        <w:t>&amp;</w:t>
      </w:r>
      <w:r w:rsidRPr="00F001D6">
        <w:rPr>
          <w:color w:val="000000" w:themeColor="text1"/>
        </w:rPr>
        <w:t xml:space="preserve"> </w:t>
      </w:r>
      <w:proofErr w:type="spellStart"/>
      <w:r w:rsidRPr="00F001D6">
        <w:rPr>
          <w:color w:val="000000" w:themeColor="text1"/>
        </w:rPr>
        <w:t>Winterowd</w:t>
      </w:r>
      <w:proofErr w:type="spellEnd"/>
      <w:r w:rsidRPr="00F001D6">
        <w:rPr>
          <w:color w:val="000000" w:themeColor="text1"/>
        </w:rPr>
        <w:t xml:space="preserve">, 2012; </w:t>
      </w:r>
      <w:r w:rsidR="00932390">
        <w:rPr>
          <w:color w:val="000000" w:themeColor="text1"/>
        </w:rPr>
        <w:t>Higgins-</w:t>
      </w:r>
      <w:proofErr w:type="spellStart"/>
      <w:r w:rsidR="00932390">
        <w:rPr>
          <w:color w:val="000000" w:themeColor="text1"/>
        </w:rPr>
        <w:t>Neyland</w:t>
      </w:r>
      <w:proofErr w:type="spellEnd"/>
      <w:r w:rsidRPr="00F001D6">
        <w:rPr>
          <w:color w:val="000000" w:themeColor="text1"/>
        </w:rPr>
        <w:t xml:space="preserve"> </w:t>
      </w:r>
      <w:r w:rsidR="007663B8">
        <w:rPr>
          <w:color w:val="000000" w:themeColor="text1"/>
        </w:rPr>
        <w:t>&amp;</w:t>
      </w:r>
      <w:r w:rsidRPr="00F001D6">
        <w:rPr>
          <w:color w:val="000000" w:themeColor="text1"/>
        </w:rPr>
        <w:t xml:space="preserve"> </w:t>
      </w:r>
      <w:proofErr w:type="spellStart"/>
      <w:r w:rsidRPr="00F001D6">
        <w:rPr>
          <w:color w:val="000000" w:themeColor="text1"/>
        </w:rPr>
        <w:t>Bardone</w:t>
      </w:r>
      <w:proofErr w:type="spellEnd"/>
      <w:r w:rsidRPr="00F001D6">
        <w:rPr>
          <w:color w:val="000000" w:themeColor="text1"/>
        </w:rPr>
        <w:t>-Cone, 2017).</w:t>
      </w:r>
      <w:r w:rsidR="005F1C1C">
        <w:rPr>
          <w:color w:val="000000" w:themeColor="text1"/>
        </w:rPr>
        <w:t xml:space="preserve"> </w:t>
      </w:r>
      <w:r w:rsidRPr="00F001D6">
        <w:rPr>
          <w:color w:val="000000" w:themeColor="text1"/>
        </w:rPr>
        <w:t> </w:t>
      </w:r>
    </w:p>
    <w:p w14:paraId="1E4BE766" w14:textId="77777777" w:rsidR="00FA53C2" w:rsidRPr="00CF47A3" w:rsidRDefault="00FA53C2" w:rsidP="00FA53C2">
      <w:pPr>
        <w:spacing w:line="480" w:lineRule="auto"/>
        <w:ind w:firstLine="720"/>
        <w:rPr>
          <w:color w:val="000000" w:themeColor="text1"/>
        </w:rPr>
      </w:pPr>
      <w:r w:rsidRPr="00F001D6">
        <w:rPr>
          <w:color w:val="000000" w:themeColor="text1"/>
        </w:rPr>
        <w:t>Previous research and the current study illustrate that as discriminatory stress increases, both overeating and binge eating incidences moderately increase as well among racial/ethnic minorities. These implications may seem minor but taken in aggregation with the other detrimental effects of discrimination (e.g., chronic inflammation, insulin resistance, altered telomere length, etc.) these small impacts on eating habits can have major consequences, and it may be another contributing factor to the widening gap in health between racial/ethnic minorities and the White majority</w:t>
      </w:r>
      <w:r>
        <w:rPr>
          <w:color w:val="000000" w:themeColor="text1"/>
        </w:rPr>
        <w:t xml:space="preserve"> (Brody et al., 2018; Lee et al., 2017; Simons et al., 2018).</w:t>
      </w:r>
    </w:p>
    <w:p w14:paraId="60F8FC82" w14:textId="77777777" w:rsidR="00FA53C2" w:rsidRPr="00F001D6" w:rsidRDefault="00FA53C2" w:rsidP="00FA53C2">
      <w:pPr>
        <w:spacing w:line="480" w:lineRule="auto"/>
        <w:rPr>
          <w:b/>
          <w:bCs/>
          <w:color w:val="000000" w:themeColor="text1"/>
        </w:rPr>
      </w:pPr>
      <w:r w:rsidRPr="00F001D6">
        <w:rPr>
          <w:b/>
          <w:bCs/>
          <w:color w:val="000000" w:themeColor="text1"/>
        </w:rPr>
        <w:t>Clinical Significance</w:t>
      </w:r>
    </w:p>
    <w:p w14:paraId="4AFBF9DE" w14:textId="5A82313E" w:rsidR="00FA53C2" w:rsidRPr="00F001D6" w:rsidRDefault="00FA53C2" w:rsidP="00FA53C2">
      <w:pPr>
        <w:spacing w:line="480" w:lineRule="auto"/>
      </w:pPr>
      <w:r w:rsidRPr="00F001D6">
        <w:rPr>
          <w:color w:val="000000" w:themeColor="text1"/>
        </w:rPr>
        <w:tab/>
      </w:r>
      <w:r>
        <w:rPr>
          <w:color w:val="000000"/>
        </w:rPr>
        <w:t>Extensive research has been dedicated to understanding overeating and binge eating among Caucasian women (</w:t>
      </w:r>
      <w:proofErr w:type="spellStart"/>
      <w:r>
        <w:rPr>
          <w:color w:val="000000"/>
        </w:rPr>
        <w:t>Christaki</w:t>
      </w:r>
      <w:proofErr w:type="spellEnd"/>
      <w:r>
        <w:rPr>
          <w:color w:val="000000"/>
        </w:rPr>
        <w:t xml:space="preserve"> et al., 2013; Manzoni et al., 2009; </w:t>
      </w:r>
      <w:proofErr w:type="spellStart"/>
      <w:r>
        <w:rPr>
          <w:color w:val="000000"/>
        </w:rPr>
        <w:t>Vieten</w:t>
      </w:r>
      <w:proofErr w:type="spellEnd"/>
      <w:r>
        <w:rPr>
          <w:color w:val="000000"/>
        </w:rPr>
        <w:t xml:space="preserve"> et al., 2018; Webber et al., 2018). Limited research has investigated these behaviors racial/ethnic minority women (Clark et al., 2012; Harrington et al., 2006; </w:t>
      </w:r>
      <w:r w:rsidR="00932390">
        <w:rPr>
          <w:color w:val="000000"/>
        </w:rPr>
        <w:t>Higgins-</w:t>
      </w:r>
      <w:proofErr w:type="spellStart"/>
      <w:r w:rsidR="00932390">
        <w:rPr>
          <w:color w:val="000000"/>
        </w:rPr>
        <w:t>Neyland</w:t>
      </w:r>
      <w:proofErr w:type="spellEnd"/>
      <w:r>
        <w:rPr>
          <w:color w:val="000000"/>
        </w:rPr>
        <w:t xml:space="preserve"> and </w:t>
      </w:r>
      <w:proofErr w:type="spellStart"/>
      <w:r>
        <w:rPr>
          <w:color w:val="000000"/>
        </w:rPr>
        <w:t>Bardone</w:t>
      </w:r>
      <w:proofErr w:type="spellEnd"/>
      <w:r>
        <w:rPr>
          <w:color w:val="000000"/>
        </w:rPr>
        <w:t>-Cone, 2017). The current study adds to the literature by establishing relationships between overeating and discriminatory stress among a sample of racial/ethnic minority men and women.</w:t>
      </w:r>
      <w:r w:rsidR="005F1C1C">
        <w:rPr>
          <w:color w:val="000000"/>
        </w:rPr>
        <w:t xml:space="preserve"> </w:t>
      </w:r>
    </w:p>
    <w:p w14:paraId="3FAD900B" w14:textId="77777777" w:rsidR="00FA53C2" w:rsidRPr="00F001D6" w:rsidRDefault="00FA53C2" w:rsidP="00FA53C2">
      <w:pPr>
        <w:spacing w:line="480" w:lineRule="auto"/>
        <w:ind w:firstLine="720"/>
        <w:rPr>
          <w:color w:val="000000" w:themeColor="text1"/>
        </w:rPr>
      </w:pPr>
      <w:r w:rsidRPr="00F001D6">
        <w:rPr>
          <w:color w:val="000000" w:themeColor="text1"/>
        </w:rPr>
        <w:t xml:space="preserve">In addition to physiological factors, discrimination may also be impacting eating habits and increasing the risk for overeating and therefore obesity. Associations between overeating and discriminatory stress were present among participants of a variety of weight statuses. Even those at a healthy weight could be at risk for obesity and other health-related complications. This potential influence on health behaviors would further exacerbate racial/ethnic health disparities and </w:t>
      </w:r>
      <w:r w:rsidRPr="00D73F66">
        <w:rPr>
          <w:color w:val="000000" w:themeColor="text1"/>
        </w:rPr>
        <w:t xml:space="preserve">worsen </w:t>
      </w:r>
      <w:r w:rsidRPr="00F001D6">
        <w:rPr>
          <w:color w:val="000000" w:themeColor="text1"/>
        </w:rPr>
        <w:t xml:space="preserve">the health status of these populations. It is therefore crucial that health promotion </w:t>
      </w:r>
      <w:r w:rsidRPr="00F001D6">
        <w:rPr>
          <w:color w:val="000000" w:themeColor="text1"/>
        </w:rPr>
        <w:lastRenderedPageBreak/>
        <w:t xml:space="preserve">efforts are mobilized to </w:t>
      </w:r>
      <w:r>
        <w:rPr>
          <w:color w:val="000000" w:themeColor="text1"/>
        </w:rPr>
        <w:t xml:space="preserve">impede </w:t>
      </w:r>
      <w:r w:rsidRPr="00F001D6">
        <w:rPr>
          <w:color w:val="000000" w:themeColor="text1"/>
        </w:rPr>
        <w:t>discrimination and to help racial/ethnic minorities effectively cope with the prejudice.</w:t>
      </w:r>
    </w:p>
    <w:p w14:paraId="007BBA09" w14:textId="2F79C3F9" w:rsidR="00FA53C2" w:rsidRPr="00F001D6" w:rsidRDefault="00FA53C2" w:rsidP="00FA53C2">
      <w:pPr>
        <w:spacing w:line="480" w:lineRule="auto"/>
        <w:rPr>
          <w:color w:val="000000" w:themeColor="text1"/>
        </w:rPr>
      </w:pPr>
      <w:r w:rsidRPr="00F001D6">
        <w:rPr>
          <w:color w:val="000000" w:themeColor="text1"/>
        </w:rPr>
        <w:tab/>
        <w:t xml:space="preserve">Although anti-discrimination efforts continue to emerge, discrimination is pervasively engrained into American society (Ford &amp; </w:t>
      </w:r>
      <w:proofErr w:type="spellStart"/>
      <w:r w:rsidR="00F2128A" w:rsidRPr="000409D6">
        <w:t>Airhihenbuwa</w:t>
      </w:r>
      <w:proofErr w:type="spellEnd"/>
      <w:r w:rsidRPr="00F001D6">
        <w:rPr>
          <w:color w:val="000000" w:themeColor="text1"/>
        </w:rPr>
        <w:t>, 2010b). It will take time to eradicate the structural and societal implications of racism. Along with anti-discrimination, health promotion should focus on promoting effective coping strategies for racial/ethnic minorities to mitigate discrimination and its negative impacts on their health. A number of strategies have proven to be efficacious in appraising and dealing with discriminatory stress including active coping, social support, and cultural promotion.</w:t>
      </w:r>
    </w:p>
    <w:p w14:paraId="259C9C0D" w14:textId="6D7CEF72" w:rsidR="00FA53C2" w:rsidRPr="00F001D6" w:rsidRDefault="00FA53C2" w:rsidP="00FA53C2">
      <w:pPr>
        <w:spacing w:line="480" w:lineRule="auto"/>
        <w:rPr>
          <w:color w:val="000000" w:themeColor="text1"/>
        </w:rPr>
      </w:pPr>
      <w:r w:rsidRPr="00F001D6">
        <w:rPr>
          <w:color w:val="000000" w:themeColor="text1"/>
        </w:rPr>
        <w:tab/>
        <w:t xml:space="preserve">It is important to acknowledge the deleterious impact of discrimination in order to mitigate its impacts on mental health. Several studies have illustrated the importance of active coping mechanisms and their advantage over passive coping. Hernandez and </w:t>
      </w:r>
      <w:proofErr w:type="spellStart"/>
      <w:r w:rsidRPr="00F001D6">
        <w:rPr>
          <w:color w:val="000000" w:themeColor="text1"/>
        </w:rPr>
        <w:t>Villodos</w:t>
      </w:r>
      <w:proofErr w:type="spellEnd"/>
      <w:r w:rsidRPr="00F001D6">
        <w:rPr>
          <w:color w:val="000000" w:themeColor="text1"/>
        </w:rPr>
        <w:t xml:space="preserve"> </w:t>
      </w:r>
      <w:r w:rsidR="003D1EED">
        <w:rPr>
          <w:color w:val="000000" w:themeColor="text1"/>
        </w:rPr>
        <w:t xml:space="preserve">(2020) </w:t>
      </w:r>
      <w:r w:rsidRPr="00F001D6">
        <w:rPr>
          <w:color w:val="000000" w:themeColor="text1"/>
        </w:rPr>
        <w:t>tested a form of active coping among a sample of Chicano(a) and Latino(a) college students. Reflective coping involves assessing the stressor and planning strategies to resolve the situation (e.g., role playing or reflection). </w:t>
      </w:r>
      <w:r w:rsidRPr="00F001D6">
        <w:rPr>
          <w:color w:val="000000" w:themeColor="text1"/>
          <w:shd w:val="clear" w:color="auto" w:fill="FFFFFF"/>
        </w:rPr>
        <w:t xml:space="preserve">Unlike reactive or suppressive coping, reflective coping was associated with improved mental health for participants (Hernandez &amp; </w:t>
      </w:r>
      <w:proofErr w:type="spellStart"/>
      <w:r w:rsidRPr="00F001D6">
        <w:rPr>
          <w:color w:val="000000" w:themeColor="text1"/>
          <w:shd w:val="clear" w:color="auto" w:fill="FFFFFF"/>
        </w:rPr>
        <w:t>Villodos</w:t>
      </w:r>
      <w:proofErr w:type="spellEnd"/>
      <w:r w:rsidRPr="00F001D6">
        <w:rPr>
          <w:color w:val="000000" w:themeColor="text1"/>
          <w:shd w:val="clear" w:color="auto" w:fill="FFFFFF"/>
        </w:rPr>
        <w:t>, 2020). Similarly, active coping acted as a moderator to buffer the negative impacts of discrimination on social exclusion faced by a group of African immigrant participants (</w:t>
      </w:r>
      <w:proofErr w:type="spellStart"/>
      <w:r w:rsidRPr="00F001D6">
        <w:rPr>
          <w:color w:val="000000" w:themeColor="text1"/>
          <w:shd w:val="clear" w:color="auto" w:fill="FFFFFF"/>
        </w:rPr>
        <w:t>Saasa</w:t>
      </w:r>
      <w:proofErr w:type="spellEnd"/>
      <w:r w:rsidRPr="00F001D6">
        <w:rPr>
          <w:color w:val="000000" w:themeColor="text1"/>
          <w:shd w:val="clear" w:color="auto" w:fill="FFFFFF"/>
        </w:rPr>
        <w:t>, 2019). Instrumental support was used in which the participants confided their stressors in others. In addition to active coping, this technique can be further categorized as social support.</w:t>
      </w:r>
    </w:p>
    <w:p w14:paraId="041B5BB8" w14:textId="08A82657" w:rsidR="00FA53C2" w:rsidRPr="00F001D6" w:rsidRDefault="00FA53C2" w:rsidP="00FA53C2">
      <w:pPr>
        <w:spacing w:line="480" w:lineRule="auto"/>
        <w:rPr>
          <w:color w:val="000000" w:themeColor="text1"/>
        </w:rPr>
      </w:pPr>
      <w:r w:rsidRPr="00F001D6">
        <w:rPr>
          <w:color w:val="000000" w:themeColor="text1"/>
          <w:shd w:val="clear" w:color="auto" w:fill="FFFFFF"/>
        </w:rPr>
        <w:tab/>
        <w:t xml:space="preserve">Social support may also be key among these populations because of their value for family and collectivism (Beltran et al., 2011; Fu et al., 2014; Garza et al., 2011; Kline et al., 2007; </w:t>
      </w:r>
      <w:proofErr w:type="spellStart"/>
      <w:r w:rsidRPr="00F001D6">
        <w:rPr>
          <w:color w:val="000000" w:themeColor="text1"/>
          <w:shd w:val="clear" w:color="auto" w:fill="FFFFFF"/>
        </w:rPr>
        <w:t>Michielutte</w:t>
      </w:r>
      <w:proofErr w:type="spellEnd"/>
      <w:r w:rsidRPr="00F001D6">
        <w:rPr>
          <w:color w:val="000000" w:themeColor="text1"/>
          <w:shd w:val="clear" w:color="auto" w:fill="FFFFFF"/>
        </w:rPr>
        <w:t xml:space="preserve"> et al., 1994). Collective efficacy (the use of community ties for external support and </w:t>
      </w:r>
      <w:r w:rsidRPr="00F001D6">
        <w:rPr>
          <w:color w:val="000000" w:themeColor="text1"/>
          <w:shd w:val="clear" w:color="auto" w:fill="FFFFFF"/>
        </w:rPr>
        <w:lastRenderedPageBreak/>
        <w:t>appraisal of stressors) was protective against race-related stress among a sample of African American adults (</w:t>
      </w:r>
      <w:proofErr w:type="spellStart"/>
      <w:r w:rsidRPr="00F001D6">
        <w:rPr>
          <w:color w:val="000000" w:themeColor="text1"/>
          <w:shd w:val="clear" w:color="auto" w:fill="FFFFFF"/>
        </w:rPr>
        <w:t>D</w:t>
      </w:r>
      <w:r w:rsidR="007663B8">
        <w:rPr>
          <w:color w:val="000000" w:themeColor="text1"/>
          <w:shd w:val="clear" w:color="auto" w:fill="FFFFFF"/>
        </w:rPr>
        <w:t>r</w:t>
      </w:r>
      <w:r w:rsidRPr="00F001D6">
        <w:rPr>
          <w:color w:val="000000" w:themeColor="text1"/>
          <w:shd w:val="clear" w:color="auto" w:fill="FFFFFF"/>
        </w:rPr>
        <w:t>iscroll</w:t>
      </w:r>
      <w:proofErr w:type="spellEnd"/>
      <w:r w:rsidRPr="00F001D6">
        <w:rPr>
          <w:color w:val="000000" w:themeColor="text1"/>
          <w:shd w:val="clear" w:color="auto" w:fill="FFFFFF"/>
        </w:rPr>
        <w:t xml:space="preserve"> et al., 20</w:t>
      </w:r>
      <w:r w:rsidRPr="00FF0E1A">
        <w:rPr>
          <w:color w:val="000000" w:themeColor="text1"/>
          <w:shd w:val="clear" w:color="auto" w:fill="FFFFFF"/>
        </w:rPr>
        <w:t>15</w:t>
      </w:r>
      <w:r w:rsidRPr="00F001D6">
        <w:rPr>
          <w:color w:val="000000" w:themeColor="text1"/>
          <w:shd w:val="clear" w:color="auto" w:fill="FFFFFF"/>
        </w:rPr>
        <w:t>). Rodriguez et al.</w:t>
      </w:r>
      <w:r w:rsidR="003D1EED">
        <w:rPr>
          <w:color w:val="000000" w:themeColor="text1"/>
          <w:shd w:val="clear" w:color="auto" w:fill="FFFFFF"/>
        </w:rPr>
        <w:t xml:space="preserve"> (2016)</w:t>
      </w:r>
      <w:r w:rsidRPr="00F001D6">
        <w:rPr>
          <w:color w:val="000000" w:themeColor="text1"/>
          <w:shd w:val="clear" w:color="auto" w:fill="FFFFFF"/>
        </w:rPr>
        <w:t>, found that Hispanic American participants with higher levels of social support reported less discrimination, and ethnic identity commitment (sense of belonging to a particular ethnic group) acted as a protective mechanism of discrimination among Latino adults in Torres’ and Ong’s study (2010). By relying and focusing on social networks and group ties, racial/ethnic minorities can lean on one other for collective support to attenuate discrimination’s potent sting and to buffer its impact on their health.</w:t>
      </w:r>
    </w:p>
    <w:p w14:paraId="289A5B47" w14:textId="75C03BFB" w:rsidR="00FA53C2" w:rsidRPr="00F001D6" w:rsidRDefault="00FA53C2" w:rsidP="00FA53C2">
      <w:pPr>
        <w:spacing w:line="480" w:lineRule="auto"/>
        <w:rPr>
          <w:color w:val="000000" w:themeColor="text1"/>
        </w:rPr>
      </w:pPr>
      <w:r w:rsidRPr="00F001D6">
        <w:rPr>
          <w:color w:val="000000" w:themeColor="text1"/>
          <w:shd w:val="clear" w:color="auto" w:fill="FFFFFF"/>
        </w:rPr>
        <w:tab/>
        <w:t>Although forms of active coping, including social support, are effective and important, they remain futile without cultural promotion. Health promotion efforts have emphasized the use of tailoring and specificity when creating programs for various populations, and these strategies may be even more vital among racial/ethnic minorities. Discrimination</w:t>
      </w:r>
      <w:r w:rsidR="005C7445">
        <w:rPr>
          <w:color w:val="000000" w:themeColor="text1"/>
          <w:shd w:val="clear" w:color="auto" w:fill="FFFFFF"/>
        </w:rPr>
        <w:t>,</w:t>
      </w:r>
      <w:r w:rsidRPr="00F001D6">
        <w:rPr>
          <w:color w:val="000000" w:themeColor="text1"/>
          <w:shd w:val="clear" w:color="auto" w:fill="FFFFFF"/>
        </w:rPr>
        <w:t xml:space="preserve"> in essence</w:t>
      </w:r>
      <w:r w:rsidR="005C7445">
        <w:rPr>
          <w:color w:val="000000" w:themeColor="text1"/>
          <w:shd w:val="clear" w:color="auto" w:fill="FFFFFF"/>
        </w:rPr>
        <w:t>,</w:t>
      </w:r>
      <w:r w:rsidRPr="00F001D6">
        <w:rPr>
          <w:color w:val="000000" w:themeColor="text1"/>
          <w:shd w:val="clear" w:color="auto" w:fill="FFFFFF"/>
        </w:rPr>
        <w:t xml:space="preserve"> is suppressing minority cultures while elevating the White majority. Consequently, a critical part in combating this prejudice is to foster and promote the values and customs of these oppressed groups.</w:t>
      </w:r>
    </w:p>
    <w:p w14:paraId="44AC822E" w14:textId="3699800D" w:rsidR="00FA53C2" w:rsidRPr="00F001D6" w:rsidRDefault="00FA53C2" w:rsidP="00FA53C2">
      <w:pPr>
        <w:spacing w:line="480" w:lineRule="auto"/>
        <w:rPr>
          <w:color w:val="000000" w:themeColor="text1"/>
        </w:rPr>
      </w:pPr>
      <w:r w:rsidRPr="00F001D6">
        <w:rPr>
          <w:color w:val="000000" w:themeColor="text1"/>
          <w:shd w:val="clear" w:color="auto" w:fill="FFFFFF"/>
        </w:rPr>
        <w:tab/>
        <w:t xml:space="preserve">Compared to participants who were not exposed to cultural messages (e.g., racial pride) or cultural history as adolescents, frequent, discriminatory encounters did not impact the resilience of African American young adult participants who reported more experiences with cultural racial socialization (Brown &amp; </w:t>
      </w:r>
      <w:proofErr w:type="spellStart"/>
      <w:r w:rsidRPr="00F001D6">
        <w:rPr>
          <w:color w:val="000000" w:themeColor="text1"/>
          <w:shd w:val="clear" w:color="auto" w:fill="FFFFFF"/>
        </w:rPr>
        <w:t>Tylka</w:t>
      </w:r>
      <w:proofErr w:type="spellEnd"/>
      <w:r w:rsidRPr="00F001D6">
        <w:rPr>
          <w:color w:val="000000" w:themeColor="text1"/>
          <w:shd w:val="clear" w:color="auto" w:fill="FFFFFF"/>
        </w:rPr>
        <w:t xml:space="preserve">, 2011). Specifically, Brown and </w:t>
      </w:r>
      <w:proofErr w:type="spellStart"/>
      <w:r w:rsidRPr="00F001D6">
        <w:rPr>
          <w:color w:val="000000" w:themeColor="text1"/>
          <w:shd w:val="clear" w:color="auto" w:fill="FFFFFF"/>
        </w:rPr>
        <w:t>Tylka</w:t>
      </w:r>
      <w:proofErr w:type="spellEnd"/>
      <w:r w:rsidR="00F4547A">
        <w:rPr>
          <w:color w:val="000000" w:themeColor="text1"/>
          <w:shd w:val="clear" w:color="auto" w:fill="FFFFFF"/>
        </w:rPr>
        <w:t xml:space="preserve"> </w:t>
      </w:r>
      <w:r w:rsidR="00F4547A" w:rsidRPr="00F001D6">
        <w:rPr>
          <w:color w:val="000000" w:themeColor="text1"/>
          <w:shd w:val="clear" w:color="auto" w:fill="FFFFFF"/>
        </w:rPr>
        <w:t>(2011)</w:t>
      </w:r>
      <w:r w:rsidRPr="00F001D6">
        <w:rPr>
          <w:color w:val="000000" w:themeColor="text1"/>
          <w:shd w:val="clear" w:color="auto" w:fill="FFFFFF"/>
        </w:rPr>
        <w:t xml:space="preserve"> emphasized messages that educate African American youth on cultural legacy and the long-fought battle for equality</w:t>
      </w:r>
      <w:r>
        <w:rPr>
          <w:color w:val="000000" w:themeColor="text1"/>
          <w:shd w:val="clear" w:color="auto" w:fill="FFFFFF"/>
        </w:rPr>
        <w:t>. T</w:t>
      </w:r>
      <w:r w:rsidRPr="00F001D6">
        <w:rPr>
          <w:color w:val="000000" w:themeColor="text1"/>
          <w:shd w:val="clear" w:color="auto" w:fill="FFFFFF"/>
        </w:rPr>
        <w:t>he researchers believed that these forms of cultural racial socialization would be powerful combatants to help adolescents overcome discrimination into adulthood.</w:t>
      </w:r>
    </w:p>
    <w:p w14:paraId="290AF691" w14:textId="77777777" w:rsidR="00FA53C2" w:rsidRPr="00F001D6" w:rsidRDefault="00FA53C2" w:rsidP="00FA53C2">
      <w:pPr>
        <w:spacing w:line="480" w:lineRule="auto"/>
        <w:rPr>
          <w:color w:val="000000" w:themeColor="text1"/>
        </w:rPr>
      </w:pPr>
      <w:r w:rsidRPr="00F001D6">
        <w:rPr>
          <w:color w:val="000000" w:themeColor="text1"/>
          <w:shd w:val="clear" w:color="auto" w:fill="FFFFFF"/>
        </w:rPr>
        <w:lastRenderedPageBreak/>
        <w:tab/>
      </w:r>
      <w:proofErr w:type="spellStart"/>
      <w:r w:rsidRPr="00F001D6">
        <w:rPr>
          <w:color w:val="000000" w:themeColor="text1"/>
          <w:shd w:val="clear" w:color="auto" w:fill="FFFFFF"/>
        </w:rPr>
        <w:t>Berkel</w:t>
      </w:r>
      <w:proofErr w:type="spellEnd"/>
      <w:r w:rsidRPr="00F001D6">
        <w:rPr>
          <w:color w:val="000000" w:themeColor="text1"/>
          <w:shd w:val="clear" w:color="auto" w:fill="FFFFFF"/>
        </w:rPr>
        <w:t xml:space="preserve"> et al., conducted a similar study to investigate the impacts of Mexican American values on discriminatory stress (2010). Adolescents who reported more ethnic pride as a result of parental teachings of cultural values (e.g., </w:t>
      </w:r>
      <w:proofErr w:type="spellStart"/>
      <w:r w:rsidRPr="00F001D6">
        <w:rPr>
          <w:color w:val="000000" w:themeColor="text1"/>
          <w:shd w:val="clear" w:color="auto" w:fill="FFFFFF"/>
        </w:rPr>
        <w:t>familialism</w:t>
      </w:r>
      <w:proofErr w:type="spellEnd"/>
      <w:r w:rsidRPr="00F001D6">
        <w:rPr>
          <w:color w:val="000000" w:themeColor="text1"/>
          <w:shd w:val="clear" w:color="auto" w:fill="FFFFFF"/>
        </w:rPr>
        <w:t xml:space="preserve"> or religiosity) were less likely to experience mental health symptoms as a result of discrimination (</w:t>
      </w:r>
      <w:proofErr w:type="spellStart"/>
      <w:r w:rsidRPr="00F001D6">
        <w:rPr>
          <w:color w:val="000000" w:themeColor="text1"/>
          <w:shd w:val="clear" w:color="auto" w:fill="FFFFFF"/>
        </w:rPr>
        <w:t>Berkel</w:t>
      </w:r>
      <w:proofErr w:type="spellEnd"/>
      <w:r w:rsidRPr="00F001D6">
        <w:rPr>
          <w:color w:val="000000" w:themeColor="text1"/>
          <w:shd w:val="clear" w:color="auto" w:fill="FFFFFF"/>
        </w:rPr>
        <w:t xml:space="preserve"> et al., 2010). Similarly, a program with cultural and language education produced quality of life improvements among both college and community members of the Miami tribe (Shea et al., 2019). Culture and tradition may be protective against prejudice and may help to alleviate some of its associated stress. Considering the significant role race/ethnicity played in determining the current study and previous studies’ discriminatory stress levels among participants, culturally tailored programs are essential for helping these populations effectively cope with and combat discrimination.</w:t>
      </w:r>
    </w:p>
    <w:p w14:paraId="24A1DE5C" w14:textId="77777777" w:rsidR="00FA53C2" w:rsidRPr="00F001D6" w:rsidRDefault="00FA53C2" w:rsidP="00FA53C2">
      <w:pPr>
        <w:spacing w:line="480" w:lineRule="auto"/>
        <w:rPr>
          <w:b/>
          <w:bCs/>
          <w:color w:val="000000" w:themeColor="text1"/>
        </w:rPr>
      </w:pPr>
      <w:r w:rsidRPr="00F001D6">
        <w:rPr>
          <w:b/>
          <w:bCs/>
          <w:color w:val="000000" w:themeColor="text1"/>
        </w:rPr>
        <w:t>Limitations</w:t>
      </w:r>
    </w:p>
    <w:p w14:paraId="70DC4669" w14:textId="77777777" w:rsidR="00FA53C2" w:rsidRPr="00F001D6" w:rsidRDefault="00FA53C2" w:rsidP="00FA53C2">
      <w:pPr>
        <w:spacing w:line="480" w:lineRule="auto"/>
        <w:rPr>
          <w:color w:val="000000" w:themeColor="text1"/>
        </w:rPr>
      </w:pPr>
      <w:r w:rsidRPr="00F001D6">
        <w:rPr>
          <w:color w:val="000000" w:themeColor="text1"/>
        </w:rPr>
        <w:tab/>
        <w:t xml:space="preserve">Despite these notable findings, the current study was limited in a number of ways. The study was cross-sectional in nature, and therefore, only associations can be established. The survey was online and self-report, which could give way to either overreporting or underreporting discriminatory stress or eating behaviors. The sample was also less diverse than anticipated. The majority of participants were </w:t>
      </w:r>
      <w:r>
        <w:rPr>
          <w:color w:val="000000" w:themeColor="text1"/>
        </w:rPr>
        <w:t xml:space="preserve">highly educated, </w:t>
      </w:r>
      <w:r w:rsidRPr="00F001D6">
        <w:rPr>
          <w:color w:val="000000" w:themeColor="text1"/>
        </w:rPr>
        <w:t>Black female</w:t>
      </w:r>
      <w:r>
        <w:rPr>
          <w:color w:val="000000" w:themeColor="text1"/>
        </w:rPr>
        <w:t>s</w:t>
      </w:r>
      <w:r w:rsidRPr="00F001D6">
        <w:rPr>
          <w:color w:val="000000" w:themeColor="text1"/>
        </w:rPr>
        <w:t>. </w:t>
      </w:r>
      <w:r>
        <w:rPr>
          <w:color w:val="000000" w:themeColor="text1"/>
        </w:rPr>
        <w:t>Consequently, t</w:t>
      </w:r>
      <w:r w:rsidRPr="00F001D6">
        <w:rPr>
          <w:color w:val="000000" w:themeColor="text1"/>
        </w:rPr>
        <w:t>hese findings may be less generalizable.</w:t>
      </w:r>
    </w:p>
    <w:p w14:paraId="4D8625ED" w14:textId="33BF6E11" w:rsidR="00FA53C2" w:rsidRDefault="00FA53C2" w:rsidP="00FA53C2">
      <w:pPr>
        <w:spacing w:line="480" w:lineRule="auto"/>
        <w:ind w:firstLine="720"/>
        <w:rPr>
          <w:color w:val="000000" w:themeColor="text1"/>
        </w:rPr>
      </w:pPr>
      <w:r w:rsidRPr="00F001D6">
        <w:rPr>
          <w:color w:val="000000" w:themeColor="text1"/>
        </w:rPr>
        <w:t>Recruitment was also conducted during the COVID-19 Pandemic. Consequently, in-person recruitment was unfeasible, and methods of contacting potential participants were severely limited. </w:t>
      </w:r>
      <w:r>
        <w:rPr>
          <w:color w:val="000000" w:themeColor="text1"/>
        </w:rPr>
        <w:t xml:space="preserve">Racial/ethnic minorities are a challenging population to recruit regardless of the circumstances. Well-established recruitment methods that are effective for other groups (e.g., White, middle class Americans) may not work as well for racial/ethnic minorities, particularly those of a lower socioeconomic status. The COVID-19 Pandemic intensified these obstacles of </w:t>
      </w:r>
      <w:r>
        <w:rPr>
          <w:color w:val="000000" w:themeColor="text1"/>
        </w:rPr>
        <w:lastRenderedPageBreak/>
        <w:t>recruitment by hindering in-person contact. Recruitment was reduced to online or telephone communication, which impeded connections with the target population that are particularly important with this group of people who are hesitant to trust researchers due to negative, historical experiences. The sample was highly educated since college groups and clubs were the most receptive to recruitment since many had been educated on the value of research. Without connecting with the community, socially disadvantaged populations are less likely to participate, and many of these groups also may not have had access to online recruitment methods.</w:t>
      </w:r>
      <w:r w:rsidR="005F1C1C">
        <w:rPr>
          <w:color w:val="000000" w:themeColor="text1"/>
        </w:rPr>
        <w:t xml:space="preserve"> </w:t>
      </w:r>
      <w:r>
        <w:rPr>
          <w:color w:val="000000" w:themeColor="text1"/>
        </w:rPr>
        <w:t>Additionally, scores for discriminatory events from the past year may have been lower than normal due to social isolation and work from home that would have decreased potential encounters with racism.</w:t>
      </w:r>
    </w:p>
    <w:p w14:paraId="2E69D1A3" w14:textId="2F8BF199" w:rsidR="00FA53C2" w:rsidRPr="00F001D6" w:rsidRDefault="00FA53C2" w:rsidP="00FA53C2">
      <w:pPr>
        <w:spacing w:line="480" w:lineRule="auto"/>
        <w:ind w:firstLine="720"/>
        <w:rPr>
          <w:color w:val="000000" w:themeColor="text1"/>
        </w:rPr>
      </w:pPr>
      <w:r w:rsidRPr="00F001D6">
        <w:rPr>
          <w:color w:val="000000" w:themeColor="text1"/>
        </w:rPr>
        <w:t xml:space="preserve">The study was also commenced during 2020 when several racial events ensued. </w:t>
      </w:r>
      <w:r>
        <w:rPr>
          <w:color w:val="000000" w:themeColor="text1"/>
        </w:rPr>
        <w:t>However, the events also acted as a catalyst and encouraged many others to speak out against racial injustice and describe their experiences with racism by participating in the current study. Discriminatory stress scores may have been higher than normal, though, due to heightened attention to discrimination.</w:t>
      </w:r>
      <w:r w:rsidR="005F1C1C">
        <w:rPr>
          <w:color w:val="000000" w:themeColor="text1"/>
        </w:rPr>
        <w:t xml:space="preserve"> </w:t>
      </w:r>
      <w:r w:rsidR="007663B8">
        <w:rPr>
          <w:color w:val="000000" w:themeColor="text1"/>
        </w:rPr>
        <w:t xml:space="preserve">Combined with the social isolation of COVID, there were many extreme outliers for reports of discrimination (some over-estimated discriminatory experiences; while, others under-estimated these experiences). </w:t>
      </w:r>
      <w:r>
        <w:rPr>
          <w:color w:val="000000" w:themeColor="text1"/>
        </w:rPr>
        <w:t>Additionally, the recent events drove the study to completion. With</w:t>
      </w:r>
      <w:r w:rsidRPr="00F001D6">
        <w:rPr>
          <w:color w:val="000000" w:themeColor="text1"/>
        </w:rPr>
        <w:t xml:space="preserve"> racism and prejudice exacerbated, racial/ethnic disparities are heightened, which increases the need for the current study and others of the like to uncover the root of these inequities.</w:t>
      </w:r>
      <w:r w:rsidRPr="00F001D6">
        <w:rPr>
          <w:color w:val="000000" w:themeColor="text1"/>
        </w:rPr>
        <w:tab/>
      </w:r>
    </w:p>
    <w:p w14:paraId="2C9C1A35" w14:textId="77777777" w:rsidR="00FA53C2" w:rsidRPr="00F001D6" w:rsidRDefault="00FA53C2" w:rsidP="00FA53C2">
      <w:pPr>
        <w:spacing w:line="480" w:lineRule="auto"/>
        <w:rPr>
          <w:b/>
          <w:bCs/>
          <w:color w:val="000000" w:themeColor="text1"/>
        </w:rPr>
      </w:pPr>
      <w:r w:rsidRPr="00F001D6">
        <w:rPr>
          <w:b/>
          <w:bCs/>
          <w:color w:val="000000" w:themeColor="text1"/>
        </w:rPr>
        <w:t>Conclusions</w:t>
      </w:r>
    </w:p>
    <w:p w14:paraId="7BA61B5F" w14:textId="5AAF427B" w:rsidR="00FA53C2" w:rsidRDefault="00FA53C2" w:rsidP="00FA53C2">
      <w:pPr>
        <w:spacing w:line="480" w:lineRule="auto"/>
        <w:rPr>
          <w:color w:val="000000" w:themeColor="text1"/>
        </w:rPr>
      </w:pPr>
      <w:r w:rsidRPr="00F001D6">
        <w:rPr>
          <w:color w:val="000000" w:themeColor="text1"/>
        </w:rPr>
        <w:tab/>
        <w:t>The current study sought to investigate the relationship between overeating and discriminatory stress among racial/ethnic minority adults.</w:t>
      </w:r>
      <w:r w:rsidR="005F1C1C">
        <w:rPr>
          <w:color w:val="000000" w:themeColor="text1"/>
        </w:rPr>
        <w:t xml:space="preserve"> </w:t>
      </w:r>
      <w:r>
        <w:rPr>
          <w:color w:val="000000" w:themeColor="text1"/>
        </w:rPr>
        <w:t xml:space="preserve">Overeating was significantly related to </w:t>
      </w:r>
      <w:r>
        <w:rPr>
          <w:color w:val="000000" w:themeColor="text1"/>
        </w:rPr>
        <w:lastRenderedPageBreak/>
        <w:t>discriminatory stress.</w:t>
      </w:r>
      <w:r w:rsidR="005F1C1C">
        <w:rPr>
          <w:color w:val="000000" w:themeColor="text1"/>
        </w:rPr>
        <w:t xml:space="preserve"> </w:t>
      </w:r>
      <w:r>
        <w:rPr>
          <w:color w:val="000000" w:themeColor="text1"/>
        </w:rPr>
        <w:t>As discriminatory stress increased, incidences of overeating subsequently increased as well.</w:t>
      </w:r>
      <w:r w:rsidR="005F1C1C">
        <w:rPr>
          <w:color w:val="000000" w:themeColor="text1"/>
        </w:rPr>
        <w:t xml:space="preserve"> </w:t>
      </w:r>
      <w:r>
        <w:rPr>
          <w:color w:val="000000" w:themeColor="text1"/>
        </w:rPr>
        <w:t>This study illustrates another potential link to the obesity health disparity that can be used to create more effective interventions to improve the health of racial/ethnic minority populations.</w:t>
      </w:r>
      <w:r w:rsidR="005F1C1C">
        <w:rPr>
          <w:color w:val="000000" w:themeColor="text1"/>
        </w:rPr>
        <w:t xml:space="preserve"> </w:t>
      </w:r>
      <w:r>
        <w:rPr>
          <w:color w:val="000000" w:themeColor="text1"/>
        </w:rPr>
        <w:t>Future studies should investigate this relationship using longitudinal measurements (e.g., food diaries) or more concrete data collection techniques to measure overeating.</w:t>
      </w:r>
      <w:r w:rsidR="005F1C1C">
        <w:rPr>
          <w:color w:val="000000" w:themeColor="text1"/>
        </w:rPr>
        <w:t xml:space="preserve"> </w:t>
      </w:r>
      <w:r>
        <w:rPr>
          <w:color w:val="000000" w:themeColor="text1"/>
        </w:rPr>
        <w:t>In addition, it would be beneficial to recruit a more diverse sample of racial/ethnic minorities with equal representation across groups, sexes, and educational levels in order to increase the generalizability of the results.</w:t>
      </w:r>
    </w:p>
    <w:p w14:paraId="0D675E67" w14:textId="77777777" w:rsidR="00FA53C2" w:rsidRDefault="00FA53C2" w:rsidP="005C550F">
      <w:pPr>
        <w:jc w:val="center"/>
        <w:rPr>
          <w:b/>
          <w:bCs/>
        </w:rPr>
      </w:pPr>
    </w:p>
    <w:p w14:paraId="111BC5E4" w14:textId="77777777" w:rsidR="00345D52" w:rsidRDefault="00345D52" w:rsidP="005C550F">
      <w:pPr>
        <w:jc w:val="center"/>
        <w:rPr>
          <w:b/>
          <w:bCs/>
        </w:rPr>
      </w:pPr>
    </w:p>
    <w:p w14:paraId="5C34BF48" w14:textId="77777777" w:rsidR="00345D52" w:rsidRDefault="00345D52" w:rsidP="005C550F">
      <w:pPr>
        <w:jc w:val="center"/>
        <w:rPr>
          <w:b/>
          <w:bCs/>
        </w:rPr>
      </w:pPr>
    </w:p>
    <w:p w14:paraId="4C17B9EE" w14:textId="77777777" w:rsidR="00345D52" w:rsidRDefault="00345D52" w:rsidP="005C550F">
      <w:pPr>
        <w:jc w:val="center"/>
        <w:rPr>
          <w:b/>
          <w:bCs/>
        </w:rPr>
      </w:pPr>
    </w:p>
    <w:p w14:paraId="788590A4" w14:textId="32D578F7" w:rsidR="00345D52" w:rsidRDefault="00345D52" w:rsidP="005C550F">
      <w:pPr>
        <w:jc w:val="center"/>
        <w:rPr>
          <w:b/>
          <w:bCs/>
        </w:rPr>
      </w:pPr>
    </w:p>
    <w:p w14:paraId="428E5E58" w14:textId="6AC61BCD" w:rsidR="00673142" w:rsidRDefault="00673142" w:rsidP="005C550F">
      <w:pPr>
        <w:jc w:val="center"/>
        <w:rPr>
          <w:b/>
          <w:bCs/>
        </w:rPr>
      </w:pPr>
    </w:p>
    <w:p w14:paraId="4D256C67" w14:textId="2FBC78AC" w:rsidR="00673142" w:rsidRDefault="00673142" w:rsidP="005C550F">
      <w:pPr>
        <w:jc w:val="center"/>
        <w:rPr>
          <w:b/>
          <w:bCs/>
        </w:rPr>
      </w:pPr>
    </w:p>
    <w:p w14:paraId="6C6E1C5F" w14:textId="57436A10" w:rsidR="00673142" w:rsidRDefault="00673142" w:rsidP="005C550F">
      <w:pPr>
        <w:jc w:val="center"/>
        <w:rPr>
          <w:b/>
          <w:bCs/>
        </w:rPr>
      </w:pPr>
    </w:p>
    <w:p w14:paraId="5048C3E6" w14:textId="12903177" w:rsidR="00673142" w:rsidRDefault="00673142" w:rsidP="005C550F">
      <w:pPr>
        <w:jc w:val="center"/>
        <w:rPr>
          <w:b/>
          <w:bCs/>
        </w:rPr>
      </w:pPr>
    </w:p>
    <w:p w14:paraId="40C64CB7" w14:textId="1279E1F3" w:rsidR="00673142" w:rsidRDefault="00673142" w:rsidP="005C550F">
      <w:pPr>
        <w:jc w:val="center"/>
        <w:rPr>
          <w:b/>
          <w:bCs/>
        </w:rPr>
      </w:pPr>
    </w:p>
    <w:p w14:paraId="68DDD61B" w14:textId="216BB7CE" w:rsidR="00673142" w:rsidRDefault="00673142" w:rsidP="005C550F">
      <w:pPr>
        <w:jc w:val="center"/>
        <w:rPr>
          <w:b/>
          <w:bCs/>
        </w:rPr>
      </w:pPr>
    </w:p>
    <w:p w14:paraId="3C772630" w14:textId="4200DCCC" w:rsidR="00673142" w:rsidRDefault="00673142" w:rsidP="005C550F">
      <w:pPr>
        <w:jc w:val="center"/>
        <w:rPr>
          <w:b/>
          <w:bCs/>
        </w:rPr>
      </w:pPr>
    </w:p>
    <w:p w14:paraId="36236463" w14:textId="06CF017C" w:rsidR="00673142" w:rsidRDefault="00673142" w:rsidP="005C550F">
      <w:pPr>
        <w:jc w:val="center"/>
        <w:rPr>
          <w:b/>
          <w:bCs/>
        </w:rPr>
      </w:pPr>
    </w:p>
    <w:p w14:paraId="4E78AB84" w14:textId="0658CD02" w:rsidR="00673142" w:rsidRDefault="00673142" w:rsidP="005C550F">
      <w:pPr>
        <w:jc w:val="center"/>
        <w:rPr>
          <w:b/>
          <w:bCs/>
        </w:rPr>
      </w:pPr>
    </w:p>
    <w:p w14:paraId="17BD8857" w14:textId="77777777" w:rsidR="00673142" w:rsidRDefault="00673142" w:rsidP="005C550F">
      <w:pPr>
        <w:jc w:val="center"/>
        <w:rPr>
          <w:b/>
          <w:bCs/>
        </w:rPr>
      </w:pPr>
    </w:p>
    <w:p w14:paraId="59CE38D2" w14:textId="5E32F78E" w:rsidR="00F70451" w:rsidRDefault="00F70451" w:rsidP="005C550F">
      <w:pPr>
        <w:jc w:val="center"/>
        <w:rPr>
          <w:b/>
          <w:bCs/>
        </w:rPr>
      </w:pPr>
    </w:p>
    <w:p w14:paraId="644FE7F6" w14:textId="6882BF5A" w:rsidR="00C77591" w:rsidRDefault="00C77591" w:rsidP="005C550F">
      <w:pPr>
        <w:jc w:val="center"/>
        <w:rPr>
          <w:b/>
          <w:bCs/>
        </w:rPr>
      </w:pPr>
    </w:p>
    <w:p w14:paraId="7AF3CA9D" w14:textId="399BC858" w:rsidR="00C77591" w:rsidRDefault="00C77591" w:rsidP="005C550F">
      <w:pPr>
        <w:jc w:val="center"/>
        <w:rPr>
          <w:b/>
          <w:bCs/>
        </w:rPr>
      </w:pPr>
    </w:p>
    <w:p w14:paraId="2861B388" w14:textId="473140E5" w:rsidR="00327996" w:rsidRDefault="00327996" w:rsidP="005C550F">
      <w:pPr>
        <w:jc w:val="center"/>
        <w:rPr>
          <w:b/>
          <w:bCs/>
        </w:rPr>
      </w:pPr>
    </w:p>
    <w:p w14:paraId="47937EE3" w14:textId="0077A150" w:rsidR="00327996" w:rsidRDefault="00327996" w:rsidP="005C550F">
      <w:pPr>
        <w:jc w:val="center"/>
        <w:rPr>
          <w:b/>
          <w:bCs/>
        </w:rPr>
      </w:pPr>
    </w:p>
    <w:p w14:paraId="08741B2F" w14:textId="6943987D" w:rsidR="00327996" w:rsidRDefault="00327996" w:rsidP="005C550F">
      <w:pPr>
        <w:jc w:val="center"/>
        <w:rPr>
          <w:b/>
          <w:bCs/>
        </w:rPr>
      </w:pPr>
    </w:p>
    <w:p w14:paraId="613DE483" w14:textId="1E7469BB" w:rsidR="00327996" w:rsidRDefault="00327996" w:rsidP="005C550F">
      <w:pPr>
        <w:jc w:val="center"/>
        <w:rPr>
          <w:b/>
          <w:bCs/>
        </w:rPr>
      </w:pPr>
    </w:p>
    <w:p w14:paraId="7308F33D" w14:textId="39684FDD" w:rsidR="00327996" w:rsidRDefault="00327996" w:rsidP="005C550F">
      <w:pPr>
        <w:jc w:val="center"/>
        <w:rPr>
          <w:b/>
          <w:bCs/>
        </w:rPr>
      </w:pPr>
    </w:p>
    <w:p w14:paraId="71CCAFEB" w14:textId="5485B405" w:rsidR="00327996" w:rsidRDefault="00327996" w:rsidP="005C550F">
      <w:pPr>
        <w:jc w:val="center"/>
        <w:rPr>
          <w:b/>
          <w:bCs/>
        </w:rPr>
      </w:pPr>
    </w:p>
    <w:p w14:paraId="28580227" w14:textId="53575FF1" w:rsidR="00327996" w:rsidRDefault="00327996" w:rsidP="005C550F">
      <w:pPr>
        <w:jc w:val="center"/>
        <w:rPr>
          <w:b/>
          <w:bCs/>
        </w:rPr>
      </w:pPr>
    </w:p>
    <w:p w14:paraId="5A088F38" w14:textId="156B3C0D" w:rsidR="00327996" w:rsidRDefault="00327996" w:rsidP="005C550F">
      <w:pPr>
        <w:jc w:val="center"/>
        <w:rPr>
          <w:b/>
          <w:bCs/>
        </w:rPr>
      </w:pPr>
    </w:p>
    <w:p w14:paraId="4DEB76FE" w14:textId="5D40D7EC" w:rsidR="00327996" w:rsidRDefault="00327996" w:rsidP="005C550F">
      <w:pPr>
        <w:jc w:val="center"/>
        <w:rPr>
          <w:b/>
          <w:bCs/>
        </w:rPr>
      </w:pPr>
    </w:p>
    <w:p w14:paraId="1BA856EC" w14:textId="241B5B93" w:rsidR="00327996" w:rsidRDefault="00327996" w:rsidP="005C550F">
      <w:pPr>
        <w:jc w:val="center"/>
        <w:rPr>
          <w:b/>
          <w:bCs/>
        </w:rPr>
      </w:pPr>
    </w:p>
    <w:p w14:paraId="4894E6F3" w14:textId="136CDC3C" w:rsidR="00327996" w:rsidRDefault="00327996" w:rsidP="005C550F">
      <w:pPr>
        <w:jc w:val="center"/>
        <w:rPr>
          <w:b/>
          <w:bCs/>
        </w:rPr>
      </w:pPr>
    </w:p>
    <w:p w14:paraId="1AAD4DBD" w14:textId="77777777" w:rsidR="00F70451" w:rsidRDefault="00F70451" w:rsidP="005C550F">
      <w:pPr>
        <w:jc w:val="center"/>
        <w:rPr>
          <w:b/>
          <w:bCs/>
        </w:rPr>
      </w:pPr>
    </w:p>
    <w:p w14:paraId="717332F9" w14:textId="26C03FD1" w:rsidR="00927DF8" w:rsidRDefault="005C550F" w:rsidP="005C550F">
      <w:pPr>
        <w:jc w:val="center"/>
        <w:rPr>
          <w:b/>
          <w:bCs/>
        </w:rPr>
      </w:pPr>
      <w:r w:rsidRPr="00F508C3">
        <w:rPr>
          <w:b/>
          <w:bCs/>
        </w:rPr>
        <w:lastRenderedPageBreak/>
        <w:t>References</w:t>
      </w:r>
    </w:p>
    <w:p w14:paraId="385D0879" w14:textId="77777777" w:rsidR="007663B8" w:rsidRPr="00F508C3" w:rsidRDefault="007663B8" w:rsidP="005C550F">
      <w:pPr>
        <w:jc w:val="center"/>
        <w:rPr>
          <w:b/>
          <w:bCs/>
        </w:rPr>
      </w:pPr>
    </w:p>
    <w:p w14:paraId="7EF26064" w14:textId="4802886F" w:rsidR="001250A5" w:rsidRPr="003F3EB9" w:rsidRDefault="001250A5" w:rsidP="005F1C1C">
      <w:pPr>
        <w:pStyle w:val="Bibliography"/>
        <w:spacing w:line="480" w:lineRule="auto"/>
      </w:pPr>
      <w:r w:rsidRPr="003F3EB9">
        <w:t>American Psychological Association</w:t>
      </w:r>
      <w:r w:rsidR="004B4817" w:rsidRPr="003F3EB9">
        <w:t xml:space="preserve"> </w:t>
      </w:r>
      <w:r w:rsidRPr="003F3EB9">
        <w:t xml:space="preserve">(2012). </w:t>
      </w:r>
      <w:r w:rsidRPr="003F3EB9">
        <w:rPr>
          <w:i/>
          <w:iCs/>
        </w:rPr>
        <w:t>Stress in America™: Our health at risk</w:t>
      </w:r>
      <w:r w:rsidRPr="003F3EB9">
        <w:t xml:space="preserve">. </w:t>
      </w:r>
      <w:r w:rsidR="001727FE" w:rsidRPr="003F3EB9">
        <w:tab/>
      </w:r>
      <w:r w:rsidRPr="003F3EB9">
        <w:t>https://www.apa.org/news/press/releases/stress/2011/final-2011.pdf</w:t>
      </w:r>
    </w:p>
    <w:p w14:paraId="45AE8853" w14:textId="584FD5FE" w:rsidR="00FA53C2" w:rsidRPr="003F3EB9" w:rsidRDefault="00FA53C2" w:rsidP="005F1C1C">
      <w:pPr>
        <w:spacing w:line="480" w:lineRule="auto"/>
        <w:rPr>
          <w:color w:val="000000" w:themeColor="text1"/>
        </w:rPr>
      </w:pPr>
      <w:r w:rsidRPr="003F3EB9">
        <w:rPr>
          <w:color w:val="000000" w:themeColor="text1"/>
        </w:rPr>
        <w:t>American Psycholog</w:t>
      </w:r>
      <w:r w:rsidR="007663B8" w:rsidRPr="003F3EB9">
        <w:rPr>
          <w:color w:val="000000" w:themeColor="text1"/>
        </w:rPr>
        <w:t xml:space="preserve">ical </w:t>
      </w:r>
      <w:r w:rsidRPr="003F3EB9">
        <w:rPr>
          <w:color w:val="000000" w:themeColor="text1"/>
        </w:rPr>
        <w:t xml:space="preserve">Association (2017). </w:t>
      </w:r>
      <w:r w:rsidRPr="003F3EB9">
        <w:rPr>
          <w:i/>
          <w:iCs/>
          <w:color w:val="000000" w:themeColor="text1"/>
        </w:rPr>
        <w:t xml:space="preserve">Multicultural guidelines: An ecological approach </w:t>
      </w:r>
      <w:r w:rsidR="00327996" w:rsidRPr="003F3EB9">
        <w:rPr>
          <w:i/>
          <w:iCs/>
          <w:color w:val="000000" w:themeColor="text1"/>
        </w:rPr>
        <w:tab/>
      </w:r>
      <w:r w:rsidRPr="003F3EB9">
        <w:rPr>
          <w:i/>
          <w:iCs/>
          <w:color w:val="000000" w:themeColor="text1"/>
        </w:rPr>
        <w:t>to context, identity, and intersectionality.</w:t>
      </w:r>
      <w:r w:rsidR="005F1C1C" w:rsidRPr="003F3EB9">
        <w:rPr>
          <w:i/>
          <w:iCs/>
          <w:color w:val="000000" w:themeColor="text1"/>
        </w:rPr>
        <w:t xml:space="preserve"> </w:t>
      </w:r>
      <w:r w:rsidRPr="003F3EB9">
        <w:rPr>
          <w:color w:val="000000" w:themeColor="text1"/>
        </w:rPr>
        <w:tab/>
      </w:r>
      <w:r w:rsidRPr="003F3EB9">
        <w:rPr>
          <w:rFonts w:ascii="TimesNewRomanPSMT" w:hAnsi="TimesNewRomanPSMT"/>
        </w:rPr>
        <w:t>http://www.apa.org/about/policy/multicultural-guidelines.pdf</w:t>
      </w:r>
    </w:p>
    <w:p w14:paraId="3368E107" w14:textId="783B034C" w:rsidR="001250A5" w:rsidRPr="003F3EB9" w:rsidRDefault="001250A5" w:rsidP="005F1C1C">
      <w:pPr>
        <w:pStyle w:val="Bibliography"/>
        <w:spacing w:line="480" w:lineRule="auto"/>
      </w:pPr>
      <w:r w:rsidRPr="003F3EB9">
        <w:t>American Psychological Association</w:t>
      </w:r>
      <w:r w:rsidR="004B4817" w:rsidRPr="003F3EB9">
        <w:t xml:space="preserve"> </w:t>
      </w:r>
      <w:r w:rsidRPr="003F3EB9">
        <w:t xml:space="preserve">(2019). </w:t>
      </w:r>
      <w:r w:rsidRPr="003F3EB9">
        <w:rPr>
          <w:i/>
          <w:iCs/>
        </w:rPr>
        <w:t>Stress in America™ 2019</w:t>
      </w:r>
      <w:r w:rsidRPr="003F3EB9">
        <w:t>.</w:t>
      </w:r>
      <w:r w:rsidR="004B4817" w:rsidRPr="003F3EB9">
        <w:tab/>
      </w:r>
      <w:r w:rsidR="00327996" w:rsidRPr="003F3EB9">
        <w:t>https://www.apa.org/news/press/releases/stress/2019/stress-america-2019.pdf</w:t>
      </w:r>
    </w:p>
    <w:p w14:paraId="3669DABC" w14:textId="62CFAAFE" w:rsidR="00FA53C2" w:rsidRDefault="001250A5" w:rsidP="005F1C1C">
      <w:pPr>
        <w:spacing w:line="480" w:lineRule="auto"/>
      </w:pPr>
      <w:r w:rsidRPr="00F508C3">
        <w:t xml:space="preserve">American Psychological Association (2020). </w:t>
      </w:r>
      <w:r w:rsidR="00327996">
        <w:rPr>
          <w:i/>
          <w:iCs/>
        </w:rPr>
        <w:t>APA Style</w:t>
      </w:r>
      <w:r w:rsidRPr="00F508C3">
        <w:t>.</w:t>
      </w:r>
      <w:r w:rsidR="00327996">
        <w:t xml:space="preserve"> </w:t>
      </w:r>
      <w:r w:rsidRPr="00F508C3">
        <w:t>https://apastyle.apa.org/style-grammar-</w:t>
      </w:r>
      <w:r w:rsidR="00327996">
        <w:tab/>
      </w:r>
      <w:r w:rsidRPr="00F508C3">
        <w:t>guidelines/bias-free-language/racial-ethnic-</w:t>
      </w:r>
      <w:r w:rsidRPr="00F508C3">
        <w:tab/>
        <w:t>minorities</w:t>
      </w:r>
    </w:p>
    <w:p w14:paraId="5A54B9C2" w14:textId="1E6F7F0D" w:rsidR="005C550F" w:rsidRPr="00F508C3" w:rsidRDefault="005C550F" w:rsidP="005F1C1C">
      <w:pPr>
        <w:spacing w:line="480" w:lineRule="auto"/>
      </w:pPr>
      <w:proofErr w:type="spellStart"/>
      <w:r w:rsidRPr="005C550F">
        <w:t>Apolzan</w:t>
      </w:r>
      <w:proofErr w:type="spellEnd"/>
      <w:r w:rsidRPr="005C550F">
        <w:t xml:space="preserve">, J. W., Bray, G. A., Hamilton, M. T., </w:t>
      </w:r>
      <w:proofErr w:type="spellStart"/>
      <w:r w:rsidRPr="005C550F">
        <w:t>Zderic</w:t>
      </w:r>
      <w:proofErr w:type="spellEnd"/>
      <w:r w:rsidRPr="005C550F">
        <w:t xml:space="preserve">, T. W., Han, H., Champagne, C. M., </w:t>
      </w:r>
    </w:p>
    <w:p w14:paraId="361A4834" w14:textId="77777777" w:rsidR="005C550F" w:rsidRPr="00F508C3" w:rsidRDefault="005C550F" w:rsidP="005F1C1C">
      <w:pPr>
        <w:spacing w:line="480" w:lineRule="auto"/>
      </w:pPr>
      <w:r w:rsidRPr="00F508C3">
        <w:tab/>
      </w:r>
      <w:r w:rsidRPr="005C550F">
        <w:t xml:space="preserve">Shepard, D., &amp; Martin, C. K. (2014). Short-term overeating results in incomplete energy </w:t>
      </w:r>
    </w:p>
    <w:p w14:paraId="3E2AC23F" w14:textId="77777777" w:rsidR="005C550F" w:rsidRPr="00F508C3" w:rsidRDefault="005C550F" w:rsidP="005F1C1C">
      <w:pPr>
        <w:spacing w:line="480" w:lineRule="auto"/>
      </w:pPr>
      <w:r w:rsidRPr="00F508C3">
        <w:tab/>
      </w:r>
      <w:r w:rsidRPr="005C550F">
        <w:t xml:space="preserve">intake compensation regardless of energy density or macronutrient composition: </w:t>
      </w:r>
    </w:p>
    <w:p w14:paraId="452E3D9B" w14:textId="77777777" w:rsidR="005C550F" w:rsidRPr="00F508C3" w:rsidRDefault="005C550F" w:rsidP="005F1C1C">
      <w:pPr>
        <w:spacing w:line="480" w:lineRule="auto"/>
      </w:pPr>
      <w:r w:rsidRPr="00F508C3">
        <w:tab/>
      </w:r>
      <w:r w:rsidRPr="005C550F">
        <w:t xml:space="preserve">Overeating, </w:t>
      </w:r>
      <w:r w:rsidRPr="00F508C3">
        <w:t>e</w:t>
      </w:r>
      <w:r w:rsidRPr="005C550F">
        <w:t xml:space="preserve">nergy </w:t>
      </w:r>
      <w:r w:rsidRPr="00F508C3">
        <w:t>d</w:t>
      </w:r>
      <w:r w:rsidRPr="005C550F">
        <w:t xml:space="preserve">ensity, and </w:t>
      </w:r>
      <w:r w:rsidRPr="00F508C3">
        <w:t>h</w:t>
      </w:r>
      <w:r w:rsidRPr="005C550F">
        <w:t>igh-</w:t>
      </w:r>
      <w:r w:rsidRPr="00F508C3">
        <w:t>f</w:t>
      </w:r>
      <w:r w:rsidRPr="005C550F">
        <w:t xml:space="preserve">at </w:t>
      </w:r>
      <w:r w:rsidRPr="00F508C3">
        <w:t>d</w:t>
      </w:r>
      <w:r w:rsidRPr="005C550F">
        <w:t xml:space="preserve">iet. </w:t>
      </w:r>
      <w:r w:rsidRPr="005C550F">
        <w:rPr>
          <w:i/>
          <w:iCs/>
        </w:rPr>
        <w:t>Obesity</w:t>
      </w:r>
      <w:r w:rsidRPr="005C550F">
        <w:t xml:space="preserve">, </w:t>
      </w:r>
      <w:r w:rsidRPr="005C550F">
        <w:rPr>
          <w:i/>
          <w:iCs/>
        </w:rPr>
        <w:t>22</w:t>
      </w:r>
      <w:r w:rsidRPr="005C550F">
        <w:t xml:space="preserve">(1), 119–130. </w:t>
      </w:r>
    </w:p>
    <w:p w14:paraId="27DE7683" w14:textId="010EDC82" w:rsidR="005C550F" w:rsidRDefault="005C550F" w:rsidP="005F1C1C">
      <w:pPr>
        <w:spacing w:line="480" w:lineRule="auto"/>
      </w:pPr>
      <w:r w:rsidRPr="00F508C3">
        <w:tab/>
      </w:r>
      <w:r w:rsidR="00F70451" w:rsidRPr="00F70451">
        <w:t>https://doi.org/10.1002/oby.20587</w:t>
      </w:r>
    </w:p>
    <w:p w14:paraId="1DC05641" w14:textId="069E3284" w:rsidR="00FA53C2" w:rsidRDefault="00FA53C2" w:rsidP="005F1C1C">
      <w:pPr>
        <w:spacing w:line="480" w:lineRule="auto"/>
      </w:pPr>
      <w:r>
        <w:t xml:space="preserve">Appel, L. J., Moore, T. J., </w:t>
      </w:r>
      <w:proofErr w:type="spellStart"/>
      <w:r>
        <w:t>Obarzanek</w:t>
      </w:r>
      <w:proofErr w:type="spellEnd"/>
      <w:r>
        <w:t xml:space="preserve">, E., Vollmer, W. M., </w:t>
      </w:r>
      <w:proofErr w:type="spellStart"/>
      <w:r>
        <w:t>Svetkey</w:t>
      </w:r>
      <w:proofErr w:type="spellEnd"/>
      <w:r>
        <w:t xml:space="preserve">, L. P., Sacks, F. M., Bray, G. </w:t>
      </w:r>
      <w:r>
        <w:tab/>
        <w:t xml:space="preserve">A., Vogt, T. M., Cutler, J. A., </w:t>
      </w:r>
      <w:proofErr w:type="spellStart"/>
      <w:r>
        <w:t>Windhauser</w:t>
      </w:r>
      <w:proofErr w:type="spellEnd"/>
      <w:r>
        <w:t xml:space="preserve">, M. M., Lin, P., Karanja, N., Simons-Morton, </w:t>
      </w:r>
      <w:r>
        <w:tab/>
        <w:t xml:space="preserve">D., McCullough, M., Swain, J., Steele, P., Evans, M. A., Miller, E. R., </w:t>
      </w:r>
      <w:r w:rsidR="00252C01">
        <w:t xml:space="preserve">&amp; </w:t>
      </w:r>
      <w:r>
        <w:t xml:space="preserve">Harsha, D. W. </w:t>
      </w:r>
      <w:r>
        <w:tab/>
        <w:t xml:space="preserve">(1997). A clinical trial of the effects of dietary patterns on blood pressure. </w:t>
      </w:r>
      <w:r>
        <w:rPr>
          <w:i/>
          <w:iCs/>
        </w:rPr>
        <w:t xml:space="preserve">The New </w:t>
      </w:r>
      <w:r>
        <w:rPr>
          <w:i/>
          <w:iCs/>
        </w:rPr>
        <w:tab/>
        <w:t>England Journal of Medicine, 336</w:t>
      </w:r>
      <w:r>
        <w:t>(16), 1117</w:t>
      </w:r>
      <w:r w:rsidRPr="00FF0E1A">
        <w:t>–</w:t>
      </w:r>
      <w:r>
        <w:t xml:space="preserve">1124. </w:t>
      </w:r>
      <w:r w:rsidR="00F70451" w:rsidRPr="00F70451">
        <w:t>https://doi.org</w:t>
      </w:r>
      <w:r w:rsidR="00F70451">
        <w:t>/</w:t>
      </w:r>
      <w:r w:rsidR="00F70451" w:rsidRPr="00F70451">
        <w:t>223956591</w:t>
      </w:r>
    </w:p>
    <w:p w14:paraId="2A280DCA" w14:textId="111AB7DB" w:rsidR="00F70451" w:rsidRDefault="00FA53C2" w:rsidP="005F1C1C">
      <w:pPr>
        <w:spacing w:line="480" w:lineRule="auto"/>
      </w:pPr>
      <w:r>
        <w:t xml:space="preserve">Bacon, L., </w:t>
      </w:r>
      <w:proofErr w:type="spellStart"/>
      <w:r>
        <w:t>Keim</w:t>
      </w:r>
      <w:proofErr w:type="spellEnd"/>
      <w:r>
        <w:t xml:space="preserve">, N. L., Van Loan, M. D., </w:t>
      </w:r>
      <w:proofErr w:type="spellStart"/>
      <w:r>
        <w:t>Derricote</w:t>
      </w:r>
      <w:proofErr w:type="spellEnd"/>
      <w:r>
        <w:t xml:space="preserve">, M., Gale, B., Kazaks, A., </w:t>
      </w:r>
      <w:r w:rsidR="00252C01">
        <w:t xml:space="preserve">&amp; </w:t>
      </w:r>
      <w:r>
        <w:t xml:space="preserve">Stern, J. S. </w:t>
      </w:r>
      <w:r>
        <w:tab/>
        <w:t xml:space="preserve">(2002). Evaluating a ‘non-diet’ wellness intervention for improvement of metabolic </w:t>
      </w:r>
      <w:r>
        <w:lastRenderedPageBreak/>
        <w:tab/>
        <w:t xml:space="preserve">fitness, psychological well-being and eating and activity behaviors. </w:t>
      </w:r>
      <w:r>
        <w:rPr>
          <w:i/>
          <w:iCs/>
        </w:rPr>
        <w:t xml:space="preserve">International Journal </w:t>
      </w:r>
      <w:r>
        <w:rPr>
          <w:i/>
          <w:iCs/>
        </w:rPr>
        <w:tab/>
        <w:t>of Obesity, 26</w:t>
      </w:r>
      <w:r>
        <w:t>(6), 854</w:t>
      </w:r>
      <w:r w:rsidRPr="00FF0E1A">
        <w:t>–</w:t>
      </w:r>
      <w:r>
        <w:t xml:space="preserve">865. </w:t>
      </w:r>
      <w:r w:rsidR="00F70451" w:rsidRPr="00F70451">
        <w:t>https://doi.org</w:t>
      </w:r>
      <w:r w:rsidR="00F70451">
        <w:t>/</w:t>
      </w:r>
      <w:r w:rsidR="00F70451" w:rsidRPr="00F70451">
        <w:t>10.1038/sj.ijo.0802012</w:t>
      </w:r>
    </w:p>
    <w:p w14:paraId="0605441B" w14:textId="4102F970" w:rsidR="005C550F" w:rsidRPr="00F508C3" w:rsidRDefault="005C550F" w:rsidP="005F1C1C">
      <w:pPr>
        <w:spacing w:line="480" w:lineRule="auto"/>
      </w:pPr>
      <w:r w:rsidRPr="005C550F">
        <w:t>Belcourt-</w:t>
      </w:r>
      <w:proofErr w:type="spellStart"/>
      <w:r w:rsidRPr="005C550F">
        <w:t>Dittloff</w:t>
      </w:r>
      <w:proofErr w:type="spellEnd"/>
      <w:r w:rsidRPr="005C550F">
        <w:t xml:space="preserve">, A., &amp; Stewart, J. (2000). Historical racism: Implications for Native Americans. </w:t>
      </w:r>
    </w:p>
    <w:p w14:paraId="1C755516" w14:textId="7B304D60" w:rsidR="005C550F" w:rsidRDefault="005C550F" w:rsidP="005F1C1C">
      <w:pPr>
        <w:spacing w:line="480" w:lineRule="auto"/>
      </w:pPr>
      <w:r w:rsidRPr="00F508C3">
        <w:tab/>
      </w:r>
      <w:r w:rsidRPr="005C550F">
        <w:rPr>
          <w:i/>
          <w:iCs/>
        </w:rPr>
        <w:t>American Psychologist</w:t>
      </w:r>
      <w:r w:rsidRPr="005C550F">
        <w:t xml:space="preserve">, </w:t>
      </w:r>
      <w:r w:rsidRPr="005C550F">
        <w:rPr>
          <w:i/>
          <w:iCs/>
        </w:rPr>
        <w:t>55</w:t>
      </w:r>
      <w:r w:rsidRPr="005C550F">
        <w:t>(10), 1166–1167.</w:t>
      </w:r>
      <w:r w:rsidRPr="00F508C3">
        <w:t xml:space="preserve"> </w:t>
      </w:r>
      <w:r w:rsidR="00F70451">
        <w:tab/>
      </w:r>
      <w:r w:rsidR="00F70451" w:rsidRPr="00F70451">
        <w:t>https://doi.org/10.1037/0003-</w:t>
      </w:r>
      <w:r w:rsidR="00F70451">
        <w:tab/>
      </w:r>
      <w:r w:rsidR="00F70451" w:rsidRPr="00F70451">
        <w:t>066X.55.10.1166</w:t>
      </w:r>
    </w:p>
    <w:p w14:paraId="2B0551FB" w14:textId="77777777" w:rsidR="00FA53C2" w:rsidRPr="001727FE" w:rsidRDefault="00FA53C2" w:rsidP="005F1C1C">
      <w:pPr>
        <w:spacing w:line="480" w:lineRule="auto"/>
      </w:pPr>
      <w:r w:rsidRPr="001727FE">
        <w:t xml:space="preserve">Beltran, A., </w:t>
      </w:r>
      <w:proofErr w:type="spellStart"/>
      <w:r w:rsidRPr="001727FE">
        <w:t>Hingle</w:t>
      </w:r>
      <w:proofErr w:type="spellEnd"/>
      <w:r w:rsidRPr="001727FE">
        <w:t xml:space="preserve">, M. D., </w:t>
      </w:r>
      <w:proofErr w:type="spellStart"/>
      <w:r w:rsidRPr="001727FE">
        <w:t>Knesek</w:t>
      </w:r>
      <w:proofErr w:type="spellEnd"/>
      <w:r w:rsidRPr="001727FE">
        <w:t>, J., O’Connor, T., Baranowski, J., Thompson, D., &amp; </w:t>
      </w:r>
    </w:p>
    <w:p w14:paraId="0626CDFF" w14:textId="76B8F1D8" w:rsidR="00FA53C2" w:rsidRPr="00FF0E1A" w:rsidRDefault="00FA53C2" w:rsidP="005F1C1C">
      <w:pPr>
        <w:spacing w:line="480" w:lineRule="auto"/>
      </w:pPr>
      <w:r w:rsidRPr="001727FE">
        <w:tab/>
        <w:t xml:space="preserve">Baranowski, T. (2011). Identifying and clarifying values and reason statements that </w:t>
      </w:r>
      <w:r w:rsidRPr="001727FE">
        <w:tab/>
        <w:t xml:space="preserve">promote effective food parenting practices, using intensive interviews. </w:t>
      </w:r>
      <w:r w:rsidRPr="001727FE">
        <w:rPr>
          <w:i/>
          <w:iCs/>
        </w:rPr>
        <w:t xml:space="preserve">Journal of </w:t>
      </w:r>
      <w:r w:rsidRPr="001727FE">
        <w:rPr>
          <w:i/>
          <w:iCs/>
        </w:rPr>
        <w:tab/>
        <w:t>Nutrition Education and Behavior, 43</w:t>
      </w:r>
      <w:r w:rsidRPr="001727FE">
        <w:t>(6), 531–535.</w:t>
      </w:r>
      <w:r w:rsidR="001727FE">
        <w:t xml:space="preserve"> </w:t>
      </w:r>
      <w:r w:rsidR="001727FE">
        <w:tab/>
      </w:r>
      <w:r w:rsidR="001727FE" w:rsidRPr="001727FE">
        <w:t>https://doi</w:t>
      </w:r>
      <w:r w:rsidR="001727FE">
        <w:t>.</w:t>
      </w:r>
      <w:r w:rsidR="001727FE" w:rsidRPr="001727FE">
        <w:t>org./10.1016/j.jneb.2011.03.140</w:t>
      </w:r>
    </w:p>
    <w:p w14:paraId="19B971E0" w14:textId="057A0C9D" w:rsidR="00FA53C2" w:rsidRPr="00FF0E1A" w:rsidRDefault="00FA53C2" w:rsidP="005F1C1C">
      <w:pPr>
        <w:spacing w:line="480" w:lineRule="auto"/>
      </w:pPr>
      <w:proofErr w:type="spellStart"/>
      <w:r w:rsidRPr="00FF0E1A">
        <w:t>Berkel</w:t>
      </w:r>
      <w:proofErr w:type="spellEnd"/>
      <w:r w:rsidRPr="00FF0E1A">
        <w:t xml:space="preserve">, C., Knight, G. P., </w:t>
      </w:r>
      <w:proofErr w:type="spellStart"/>
      <w:r w:rsidRPr="00FF0E1A">
        <w:t>Zeiders</w:t>
      </w:r>
      <w:proofErr w:type="spellEnd"/>
      <w:r w:rsidRPr="00FF0E1A">
        <w:t xml:space="preserve">, K. H., Tein, J., </w:t>
      </w:r>
      <w:proofErr w:type="spellStart"/>
      <w:r w:rsidRPr="00FF0E1A">
        <w:t>Roosa</w:t>
      </w:r>
      <w:proofErr w:type="spellEnd"/>
      <w:r w:rsidRPr="00FF0E1A">
        <w:t xml:space="preserve">, M. W., Gonzales, N. A., </w:t>
      </w:r>
      <w:r w:rsidR="004012BB">
        <w:t xml:space="preserve">&amp; </w:t>
      </w:r>
      <w:r w:rsidRPr="00FF0E1A">
        <w:t>Saenz, D. </w:t>
      </w:r>
    </w:p>
    <w:p w14:paraId="7FAD00D1" w14:textId="6EE2DD62" w:rsidR="00FA53C2" w:rsidRPr="005C550F" w:rsidRDefault="00FA53C2" w:rsidP="005F1C1C">
      <w:pPr>
        <w:spacing w:line="480" w:lineRule="auto"/>
      </w:pPr>
      <w:r>
        <w:tab/>
      </w:r>
      <w:r w:rsidRPr="00FF0E1A">
        <w:t xml:space="preserve">(2010). Discrimination and adjustment for Mexican American adolescents: A </w:t>
      </w:r>
      <w:r>
        <w:tab/>
      </w:r>
      <w:r w:rsidRPr="00FF0E1A">
        <w:t xml:space="preserve">prospective examination of the benefits of culturally related values. </w:t>
      </w:r>
      <w:r w:rsidRPr="00FF0E1A">
        <w:rPr>
          <w:i/>
          <w:iCs/>
        </w:rPr>
        <w:t>Journal of Research</w:t>
      </w:r>
      <w:r>
        <w:rPr>
          <w:i/>
          <w:iCs/>
        </w:rPr>
        <w:t xml:space="preserve"> </w:t>
      </w:r>
      <w:r>
        <w:rPr>
          <w:i/>
          <w:iCs/>
        </w:rPr>
        <w:tab/>
      </w:r>
      <w:r w:rsidRPr="00FF0E1A">
        <w:rPr>
          <w:i/>
          <w:iCs/>
        </w:rPr>
        <w:t>on Adolescence, 20</w:t>
      </w:r>
      <w:r w:rsidRPr="00FF0E1A">
        <w:t xml:space="preserve">(4), 893–915. </w:t>
      </w:r>
      <w:r w:rsidR="00F70451" w:rsidRPr="00F70451">
        <w:t>https://doi.org/10.1111/j.1532-7795.2010.00668.x</w:t>
      </w:r>
    </w:p>
    <w:p w14:paraId="01F9E95F" w14:textId="634DFACC" w:rsidR="00BE0A1D" w:rsidRPr="00F508C3" w:rsidRDefault="00BE0A1D" w:rsidP="005F1C1C">
      <w:pPr>
        <w:spacing w:line="480" w:lineRule="auto"/>
      </w:pPr>
      <w:proofErr w:type="spellStart"/>
      <w:r w:rsidRPr="00F508C3">
        <w:t>Boutelle</w:t>
      </w:r>
      <w:proofErr w:type="spellEnd"/>
      <w:r w:rsidRPr="00F508C3">
        <w:t xml:space="preserve">, K. N., Zucker, N. L., Peterson, C. B., Rydell, S. A., </w:t>
      </w:r>
      <w:proofErr w:type="spellStart"/>
      <w:r w:rsidRPr="00F508C3">
        <w:t>Cafri</w:t>
      </w:r>
      <w:proofErr w:type="spellEnd"/>
      <w:r w:rsidRPr="00F508C3">
        <w:t xml:space="preserve">, G., &amp; </w:t>
      </w:r>
      <w:proofErr w:type="spellStart"/>
      <w:r w:rsidRPr="00F508C3">
        <w:t>Harnack</w:t>
      </w:r>
      <w:proofErr w:type="spellEnd"/>
      <w:r w:rsidRPr="00F508C3">
        <w:t>, L. (2011).</w:t>
      </w:r>
      <w:r w:rsidR="005F1C1C">
        <w:t xml:space="preserve"> </w:t>
      </w:r>
      <w:r w:rsidRPr="00F508C3">
        <w:tab/>
        <w:t xml:space="preserve">Two novel treatments to reduce overeating in overweight children: A randomized </w:t>
      </w:r>
      <w:r w:rsidRPr="00F508C3">
        <w:tab/>
        <w:t xml:space="preserve">controlled trial. </w:t>
      </w:r>
      <w:r w:rsidRPr="00F508C3">
        <w:rPr>
          <w:i/>
        </w:rPr>
        <w:t>Journal of Consulting and Clinical Psychology, 79</w:t>
      </w:r>
      <w:r w:rsidRPr="00F508C3">
        <w:t xml:space="preserve">(6), 759–771. </w:t>
      </w:r>
      <w:r w:rsidR="00F70451">
        <w:tab/>
      </w:r>
      <w:r w:rsidR="00F70451" w:rsidRPr="00F70451">
        <w:t>https://doi.org</w:t>
      </w:r>
      <w:r w:rsidR="00F70451">
        <w:t>/</w:t>
      </w:r>
      <w:r w:rsidRPr="00F508C3">
        <w:t>10.1037/a0025713</w:t>
      </w:r>
    </w:p>
    <w:p w14:paraId="0301AB18" w14:textId="77777777" w:rsidR="007663B8" w:rsidRPr="00F508C3" w:rsidRDefault="007663B8" w:rsidP="007663B8">
      <w:pPr>
        <w:spacing w:line="480" w:lineRule="auto"/>
      </w:pPr>
      <w:r w:rsidRPr="005C550F">
        <w:t xml:space="preserve">Brody, G. H., Yu, T., Chen, E., Ehrlich, K. B., &amp; Miller, G. E. (2018). Racial discrimination, </w:t>
      </w:r>
    </w:p>
    <w:p w14:paraId="720D7AC7" w14:textId="77777777" w:rsidR="007663B8" w:rsidRPr="005C550F" w:rsidRDefault="007663B8" w:rsidP="007663B8">
      <w:pPr>
        <w:spacing w:line="480" w:lineRule="auto"/>
      </w:pPr>
      <w:r w:rsidRPr="00F508C3">
        <w:tab/>
      </w:r>
      <w:r w:rsidRPr="005C550F">
        <w:t xml:space="preserve">body mass index, and insulin resistance: A longitudinal analysis. </w:t>
      </w:r>
      <w:r w:rsidRPr="005C550F">
        <w:rPr>
          <w:i/>
          <w:iCs/>
        </w:rPr>
        <w:t>Health Psychology</w:t>
      </w:r>
      <w:r w:rsidRPr="005C550F">
        <w:t xml:space="preserve">, </w:t>
      </w:r>
      <w:r w:rsidRPr="00F508C3">
        <w:tab/>
      </w:r>
      <w:r w:rsidRPr="005C550F">
        <w:rPr>
          <w:i/>
          <w:iCs/>
        </w:rPr>
        <w:t>37</w:t>
      </w:r>
      <w:r w:rsidRPr="005C550F">
        <w:t xml:space="preserve">(12), 1107–1114. </w:t>
      </w:r>
      <w:r w:rsidRPr="00F70451">
        <w:t>https://doi.org</w:t>
      </w:r>
      <w:r>
        <w:t>/</w:t>
      </w:r>
      <w:r w:rsidRPr="005C550F">
        <w:t>10.1037/hea0000674</w:t>
      </w:r>
    </w:p>
    <w:p w14:paraId="0A2C13F1" w14:textId="6B6DDB2E" w:rsidR="007663B8" w:rsidRPr="00FF0E1A" w:rsidRDefault="007663B8" w:rsidP="007663B8">
      <w:pPr>
        <w:spacing w:line="480" w:lineRule="auto"/>
        <w:rPr>
          <w:color w:val="000000"/>
        </w:rPr>
      </w:pPr>
      <w:r w:rsidRPr="00FF0E1A">
        <w:rPr>
          <w:color w:val="000000"/>
        </w:rPr>
        <w:t xml:space="preserve">Brown, D. L. </w:t>
      </w:r>
      <w:r w:rsidR="00F2128A">
        <w:rPr>
          <w:color w:val="000000"/>
        </w:rPr>
        <w:t xml:space="preserve">&amp; </w:t>
      </w:r>
      <w:proofErr w:type="spellStart"/>
      <w:r w:rsidRPr="00FF0E1A">
        <w:rPr>
          <w:color w:val="000000"/>
        </w:rPr>
        <w:t>Tylka</w:t>
      </w:r>
      <w:proofErr w:type="spellEnd"/>
      <w:r w:rsidRPr="00FF0E1A">
        <w:rPr>
          <w:color w:val="000000"/>
        </w:rPr>
        <w:t>, T. L. (2011). Racial discrimination and resilience in African American </w:t>
      </w:r>
    </w:p>
    <w:p w14:paraId="5805C177" w14:textId="77777777" w:rsidR="007663B8" w:rsidRPr="00FF0E1A" w:rsidRDefault="007663B8" w:rsidP="007663B8">
      <w:pPr>
        <w:spacing w:line="480" w:lineRule="auto"/>
        <w:ind w:firstLine="720"/>
        <w:rPr>
          <w:color w:val="000000"/>
        </w:rPr>
      </w:pPr>
      <w:r w:rsidRPr="00FF0E1A">
        <w:rPr>
          <w:color w:val="000000"/>
        </w:rPr>
        <w:t xml:space="preserve">young adults: Examining racial socialization as a moderator. </w:t>
      </w:r>
      <w:r w:rsidRPr="00FF0E1A">
        <w:rPr>
          <w:i/>
          <w:iCs/>
          <w:color w:val="000000"/>
        </w:rPr>
        <w:t>Journal of Black </w:t>
      </w:r>
    </w:p>
    <w:p w14:paraId="2763C55D" w14:textId="77777777" w:rsidR="007663B8" w:rsidRDefault="007663B8" w:rsidP="007663B8">
      <w:pPr>
        <w:pStyle w:val="Bibliography"/>
        <w:spacing w:line="480" w:lineRule="auto"/>
        <w:rPr>
          <w:color w:val="000000"/>
          <w:shd w:val="clear" w:color="auto" w:fill="FFFFFF"/>
        </w:rPr>
      </w:pPr>
      <w:r>
        <w:rPr>
          <w:i/>
          <w:iCs/>
          <w:color w:val="000000"/>
        </w:rPr>
        <w:lastRenderedPageBreak/>
        <w:tab/>
      </w:r>
      <w:r w:rsidRPr="00FF0E1A">
        <w:rPr>
          <w:i/>
          <w:iCs/>
          <w:color w:val="000000"/>
        </w:rPr>
        <w:t>Psychology, 37</w:t>
      </w:r>
      <w:r w:rsidRPr="00FF0E1A">
        <w:rPr>
          <w:color w:val="000000"/>
        </w:rPr>
        <w:t>(3), 259</w:t>
      </w:r>
      <w:r w:rsidRPr="00FF0E1A">
        <w:rPr>
          <w:color w:val="000000"/>
          <w:shd w:val="clear" w:color="auto" w:fill="FFFFFF"/>
        </w:rPr>
        <w:t xml:space="preserve">–285. </w:t>
      </w:r>
      <w:r w:rsidRPr="00F70451">
        <w:t>https://doi.org</w:t>
      </w:r>
      <w:r>
        <w:t>/</w:t>
      </w:r>
      <w:r w:rsidRPr="00FF0E1A">
        <w:rPr>
          <w:color w:val="000000"/>
          <w:shd w:val="clear" w:color="auto" w:fill="FFFFFF"/>
        </w:rPr>
        <w:t>10.1177/0095798410390689</w:t>
      </w:r>
    </w:p>
    <w:p w14:paraId="3677C643" w14:textId="3DBFBA43" w:rsidR="007663B8" w:rsidRDefault="007663B8" w:rsidP="007663B8">
      <w:pPr>
        <w:spacing w:line="480" w:lineRule="auto"/>
      </w:pPr>
      <w:proofErr w:type="spellStart"/>
      <w:r w:rsidRPr="0075682B">
        <w:t>Bulik</w:t>
      </w:r>
      <w:proofErr w:type="spellEnd"/>
      <w:r w:rsidRPr="0075682B">
        <w:t xml:space="preserve">, C. M., Sullivan, P. F., &amp; Kendler, </w:t>
      </w:r>
      <w:r>
        <w:t xml:space="preserve">&amp; </w:t>
      </w:r>
      <w:r w:rsidRPr="0075682B">
        <w:t xml:space="preserve">K. S. (2002). Medical and psychiatric morbidity in </w:t>
      </w:r>
      <w:r>
        <w:tab/>
      </w:r>
      <w:r w:rsidRPr="0075682B">
        <w:t>obese women with and without binge eating. </w:t>
      </w:r>
      <w:r w:rsidRPr="0075682B">
        <w:rPr>
          <w:i/>
          <w:iCs/>
        </w:rPr>
        <w:t xml:space="preserve">International Journal of Eating </w:t>
      </w:r>
      <w:r>
        <w:rPr>
          <w:i/>
          <w:iCs/>
        </w:rPr>
        <w:tab/>
      </w:r>
      <w:r w:rsidRPr="0075682B">
        <w:rPr>
          <w:i/>
          <w:iCs/>
        </w:rPr>
        <w:t>Disorders</w:t>
      </w:r>
      <w:r w:rsidRPr="0075682B">
        <w:t>, </w:t>
      </w:r>
      <w:r w:rsidRPr="0075682B">
        <w:rPr>
          <w:i/>
          <w:iCs/>
        </w:rPr>
        <w:t>32</w:t>
      </w:r>
      <w:r w:rsidRPr="0075682B">
        <w:t>(1), 72</w:t>
      </w:r>
      <w:r w:rsidR="00327996" w:rsidRPr="006317E4">
        <w:rPr>
          <w:color w:val="333333"/>
          <w:shd w:val="clear" w:color="auto" w:fill="FFFFFF"/>
        </w:rPr>
        <w:t>–</w:t>
      </w:r>
      <w:r w:rsidRPr="0075682B">
        <w:t>78.</w:t>
      </w:r>
      <w:r>
        <w:t xml:space="preserve"> </w:t>
      </w:r>
      <w:r w:rsidRPr="0075682B">
        <w:t>https://doi</w:t>
      </w:r>
      <w:r>
        <w:t>/</w:t>
      </w:r>
      <w:r w:rsidRPr="0075682B">
        <w:t>org/10.1002/eat.10072</w:t>
      </w:r>
    </w:p>
    <w:p w14:paraId="6F161C00" w14:textId="38E34903" w:rsidR="00FA53C2" w:rsidRDefault="00BE0A1D" w:rsidP="00327996">
      <w:pPr>
        <w:pStyle w:val="Bibliography"/>
        <w:spacing w:line="480" w:lineRule="auto"/>
      </w:pPr>
      <w:r w:rsidRPr="00F508C3">
        <w:t xml:space="preserve">Buscemi, J., Murphy, J. G., Berlin, K. S., </w:t>
      </w:r>
      <w:r w:rsidR="00C23F50">
        <w:t xml:space="preserve">&amp; </w:t>
      </w:r>
      <w:r w:rsidRPr="00F508C3">
        <w:t xml:space="preserve">Raynor, H. A. (2014). A behavioral economic </w:t>
      </w:r>
      <w:r w:rsidR="004B4817">
        <w:tab/>
      </w:r>
      <w:r w:rsidRPr="00F508C3">
        <w:t xml:space="preserve">analysis of changes in food-related and food-free reinforcement during weight loss </w:t>
      </w:r>
      <w:r w:rsidR="004B4817">
        <w:tab/>
      </w:r>
      <w:r w:rsidRPr="00F508C3">
        <w:t xml:space="preserve">treatment. </w:t>
      </w:r>
      <w:r w:rsidRPr="00F508C3">
        <w:rPr>
          <w:i/>
        </w:rPr>
        <w:t>Journal of Consulting and Clinical Psychology, 82</w:t>
      </w:r>
      <w:r w:rsidRPr="00F508C3">
        <w:t xml:space="preserve">(4), 659–669. </w:t>
      </w:r>
      <w:r w:rsidR="004B4817">
        <w:tab/>
      </w:r>
      <w:r w:rsidR="00F70451" w:rsidRPr="00F70451">
        <w:t>https://doi.org</w:t>
      </w:r>
      <w:r w:rsidR="00F70451">
        <w:t>/</w:t>
      </w:r>
      <w:r w:rsidRPr="00F508C3">
        <w:rPr>
          <w:rFonts w:eastAsiaTheme="minorHAnsi"/>
        </w:rPr>
        <w:t>10.1037/a0036376</w:t>
      </w:r>
    </w:p>
    <w:p w14:paraId="15016441" w14:textId="2FDE9D25" w:rsidR="001250A5" w:rsidRPr="00F508C3" w:rsidRDefault="001250A5" w:rsidP="005F1C1C">
      <w:pPr>
        <w:pStyle w:val="Bibliography"/>
        <w:spacing w:line="480" w:lineRule="auto"/>
      </w:pPr>
      <w:r w:rsidRPr="00F508C3">
        <w:t xml:space="preserve">Centers for Disease Control (2017). </w:t>
      </w:r>
      <w:r w:rsidRPr="00F508C3">
        <w:rPr>
          <w:i/>
          <w:iCs/>
        </w:rPr>
        <w:t>Defining adult overweight and obesity</w:t>
      </w:r>
      <w:r w:rsidRPr="00F508C3">
        <w:t xml:space="preserve">. </w:t>
      </w:r>
      <w:r w:rsidRPr="00F508C3">
        <w:tab/>
        <w:t>https://www.cdc.gov/obesity/adult/defining.html</w:t>
      </w:r>
    </w:p>
    <w:p w14:paraId="394F15FA" w14:textId="72F84105" w:rsidR="0075682B" w:rsidRDefault="0075682B" w:rsidP="005F1C1C">
      <w:pPr>
        <w:spacing w:line="480" w:lineRule="auto"/>
      </w:pPr>
      <w:r w:rsidRPr="0075682B">
        <w:t xml:space="preserve">Chao, A. M., </w:t>
      </w:r>
      <w:proofErr w:type="spellStart"/>
      <w:r w:rsidRPr="0075682B">
        <w:t>Grilo</w:t>
      </w:r>
      <w:proofErr w:type="spellEnd"/>
      <w:r w:rsidRPr="0075682B">
        <w:t xml:space="preserve">, C. M., &amp; Sinha, R. (2016). Food cravings, binge eating, and eating disorder </w:t>
      </w:r>
      <w:r>
        <w:tab/>
      </w:r>
      <w:r w:rsidRPr="0075682B">
        <w:t>psychopathology: Exploring the moderating roles of gender and race. </w:t>
      </w:r>
      <w:r w:rsidRPr="0075682B">
        <w:rPr>
          <w:i/>
          <w:iCs/>
        </w:rPr>
        <w:t xml:space="preserve">Eating </w:t>
      </w:r>
      <w:r>
        <w:rPr>
          <w:i/>
          <w:iCs/>
        </w:rPr>
        <w:tab/>
      </w:r>
      <w:r w:rsidRPr="0075682B">
        <w:rPr>
          <w:i/>
          <w:iCs/>
        </w:rPr>
        <w:t>behaviors</w:t>
      </w:r>
      <w:r w:rsidRPr="0075682B">
        <w:t>, </w:t>
      </w:r>
      <w:r w:rsidRPr="0075682B">
        <w:rPr>
          <w:i/>
          <w:iCs/>
        </w:rPr>
        <w:t>21</w:t>
      </w:r>
      <w:r w:rsidRPr="0075682B">
        <w:t>, 41</w:t>
      </w:r>
      <w:r w:rsidR="00327996" w:rsidRPr="006317E4">
        <w:rPr>
          <w:color w:val="333333"/>
          <w:shd w:val="clear" w:color="auto" w:fill="FFFFFF"/>
        </w:rPr>
        <w:t>–</w:t>
      </w:r>
      <w:r w:rsidRPr="0075682B">
        <w:t>47.</w:t>
      </w:r>
      <w:r>
        <w:t xml:space="preserve"> </w:t>
      </w:r>
      <w:r w:rsidRPr="0075682B">
        <w:t>https://doi</w:t>
      </w:r>
      <w:r>
        <w:t>.</w:t>
      </w:r>
      <w:r w:rsidRPr="0075682B">
        <w:t>org/10.1016/j.eatbeh.2015.12.007</w:t>
      </w:r>
    </w:p>
    <w:p w14:paraId="341BFC95" w14:textId="0B0AD30B" w:rsidR="005C550F" w:rsidRPr="005C550F" w:rsidRDefault="005C550F" w:rsidP="005F1C1C">
      <w:pPr>
        <w:spacing w:line="480" w:lineRule="auto"/>
      </w:pPr>
      <w:proofErr w:type="spellStart"/>
      <w:r w:rsidRPr="005C550F">
        <w:t>Christaki</w:t>
      </w:r>
      <w:proofErr w:type="spellEnd"/>
      <w:r w:rsidRPr="005C550F">
        <w:t xml:space="preserve">, E., Kokkinos, A., </w:t>
      </w:r>
      <w:proofErr w:type="spellStart"/>
      <w:r w:rsidRPr="005C550F">
        <w:t>Costarelli</w:t>
      </w:r>
      <w:proofErr w:type="spellEnd"/>
      <w:r w:rsidRPr="005C550F">
        <w:t xml:space="preserve">, V., </w:t>
      </w:r>
      <w:proofErr w:type="spellStart"/>
      <w:r w:rsidRPr="005C550F">
        <w:t>Alexopoulos</w:t>
      </w:r>
      <w:proofErr w:type="spellEnd"/>
      <w:r w:rsidRPr="005C550F">
        <w:t xml:space="preserve">, E. C., </w:t>
      </w:r>
      <w:proofErr w:type="spellStart"/>
      <w:r w:rsidRPr="005C550F">
        <w:t>Chrousos</w:t>
      </w:r>
      <w:proofErr w:type="spellEnd"/>
      <w:r w:rsidRPr="005C550F">
        <w:t xml:space="preserve">, G. P., &amp; </w:t>
      </w:r>
      <w:proofErr w:type="spellStart"/>
      <w:r w:rsidRPr="005C550F">
        <w:t>Darviri</w:t>
      </w:r>
      <w:proofErr w:type="spellEnd"/>
      <w:r w:rsidRPr="005C550F">
        <w:t xml:space="preserve">, C. </w:t>
      </w:r>
      <w:r w:rsidRPr="00F508C3">
        <w:tab/>
      </w:r>
      <w:r w:rsidRPr="005C550F">
        <w:t xml:space="preserve">(2013). Stress management can facilitate weight loss in Greek overweight and obese </w:t>
      </w:r>
      <w:r w:rsidRPr="00F508C3">
        <w:tab/>
      </w:r>
      <w:r w:rsidRPr="005C550F">
        <w:t xml:space="preserve">women: A pilot study. </w:t>
      </w:r>
      <w:r w:rsidRPr="005C550F">
        <w:rPr>
          <w:i/>
          <w:iCs/>
        </w:rPr>
        <w:t>Journal of Human Nutrition and Dietetics</w:t>
      </w:r>
      <w:r w:rsidRPr="005C550F">
        <w:t xml:space="preserve">, </w:t>
      </w:r>
      <w:r w:rsidRPr="005C550F">
        <w:rPr>
          <w:i/>
          <w:iCs/>
        </w:rPr>
        <w:t>26</w:t>
      </w:r>
      <w:r w:rsidRPr="005C550F">
        <w:t xml:space="preserve">(s1), 132–139. </w:t>
      </w:r>
      <w:r w:rsidRPr="00F508C3">
        <w:tab/>
      </w:r>
      <w:r w:rsidR="00F70451" w:rsidRPr="00F70451">
        <w:t>https://doi.org</w:t>
      </w:r>
      <w:r w:rsidR="00F70451">
        <w:t>/</w:t>
      </w:r>
      <w:r w:rsidRPr="005C550F">
        <w:t>10.1111/jhn.12086</w:t>
      </w:r>
    </w:p>
    <w:p w14:paraId="30B5BEFD" w14:textId="2D6D9664" w:rsidR="005C550F" w:rsidRPr="005C550F" w:rsidRDefault="005C550F" w:rsidP="005F1C1C">
      <w:pPr>
        <w:spacing w:line="480" w:lineRule="auto"/>
      </w:pPr>
      <w:r w:rsidRPr="005C550F">
        <w:t xml:space="preserve">Clark, J. D., &amp; </w:t>
      </w:r>
      <w:proofErr w:type="spellStart"/>
      <w:r w:rsidRPr="005C550F">
        <w:t>Winterowd</w:t>
      </w:r>
      <w:proofErr w:type="spellEnd"/>
      <w:r w:rsidRPr="005C550F">
        <w:t xml:space="preserve">, C. (2012). Correlates and </w:t>
      </w:r>
      <w:r w:rsidRPr="00F508C3">
        <w:t>p</w:t>
      </w:r>
      <w:r w:rsidRPr="005C550F">
        <w:t xml:space="preserve">redictors of </w:t>
      </w:r>
      <w:r w:rsidRPr="00F508C3">
        <w:t>b</w:t>
      </w:r>
      <w:r w:rsidRPr="005C550F">
        <w:t xml:space="preserve">inge </w:t>
      </w:r>
      <w:r w:rsidRPr="00F508C3">
        <w:t>e</w:t>
      </w:r>
      <w:r w:rsidRPr="005C550F">
        <w:t xml:space="preserve">ating </w:t>
      </w:r>
      <w:r w:rsidRPr="00F508C3">
        <w:t>a</w:t>
      </w:r>
      <w:r w:rsidRPr="005C550F">
        <w:t xml:space="preserve">mong Native </w:t>
      </w:r>
      <w:r w:rsidRPr="00F508C3">
        <w:tab/>
      </w:r>
      <w:r w:rsidRPr="005C550F">
        <w:t xml:space="preserve">American </w:t>
      </w:r>
      <w:r w:rsidRPr="00F508C3">
        <w:t>w</w:t>
      </w:r>
      <w:r w:rsidRPr="005C550F">
        <w:t xml:space="preserve">omen. </w:t>
      </w:r>
      <w:r w:rsidRPr="005C550F">
        <w:rPr>
          <w:i/>
          <w:iCs/>
        </w:rPr>
        <w:t>Journal of Multicultural Counseling and Development</w:t>
      </w:r>
      <w:r w:rsidRPr="005C550F">
        <w:t xml:space="preserve">, </w:t>
      </w:r>
      <w:r w:rsidRPr="005C550F">
        <w:rPr>
          <w:i/>
          <w:iCs/>
        </w:rPr>
        <w:t>40</w:t>
      </w:r>
      <w:r w:rsidRPr="005C550F">
        <w:t>(2), 117–</w:t>
      </w:r>
      <w:r w:rsidRPr="00F508C3">
        <w:tab/>
      </w:r>
      <w:r w:rsidRPr="005C550F">
        <w:t xml:space="preserve">127. </w:t>
      </w:r>
      <w:r w:rsidR="00F70451" w:rsidRPr="00F70451">
        <w:t>https://doi.org</w:t>
      </w:r>
      <w:r w:rsidR="00F70451">
        <w:t>/</w:t>
      </w:r>
      <w:r w:rsidRPr="005C550F">
        <w:t>10.1002/j.2161-1912.2012.00011.x</w:t>
      </w:r>
    </w:p>
    <w:p w14:paraId="52D01F67" w14:textId="77777777" w:rsidR="005C550F" w:rsidRPr="00F508C3" w:rsidRDefault="005C550F" w:rsidP="005F1C1C">
      <w:pPr>
        <w:spacing w:line="480" w:lineRule="auto"/>
      </w:pPr>
      <w:r w:rsidRPr="005C550F">
        <w:t xml:space="preserve">Clark, R., Anderson, N. B., Clark, V. R., &amp; Williams, D. R. (1999). Racism as a stressor for </w:t>
      </w:r>
    </w:p>
    <w:p w14:paraId="476CC81A" w14:textId="053CB7A3" w:rsidR="005C550F" w:rsidRPr="005C550F" w:rsidRDefault="005C550F" w:rsidP="005F1C1C">
      <w:pPr>
        <w:spacing w:line="480" w:lineRule="auto"/>
      </w:pPr>
      <w:r w:rsidRPr="00F508C3">
        <w:tab/>
      </w:r>
      <w:r w:rsidR="005F1C1C">
        <w:t>African Americans/Blacks</w:t>
      </w:r>
      <w:r w:rsidRPr="005C550F">
        <w:t xml:space="preserve">: A biopsychosocial model. </w:t>
      </w:r>
      <w:r w:rsidRPr="005C550F">
        <w:rPr>
          <w:i/>
          <w:iCs/>
        </w:rPr>
        <w:t>American Psychologist</w:t>
      </w:r>
      <w:r w:rsidRPr="005C550F">
        <w:t xml:space="preserve">, </w:t>
      </w:r>
      <w:r w:rsidRPr="005C550F">
        <w:rPr>
          <w:i/>
          <w:iCs/>
        </w:rPr>
        <w:t>54</w:t>
      </w:r>
      <w:r w:rsidRPr="005C550F">
        <w:t xml:space="preserve">(10), </w:t>
      </w:r>
      <w:r w:rsidR="00932390">
        <w:tab/>
      </w:r>
      <w:r w:rsidRPr="005C550F">
        <w:t xml:space="preserve">805–816. </w:t>
      </w:r>
      <w:r w:rsidR="00F70451" w:rsidRPr="00F70451">
        <w:t>https://doi.org</w:t>
      </w:r>
      <w:r w:rsidR="00F70451">
        <w:t>/</w:t>
      </w:r>
      <w:r w:rsidRPr="005C550F">
        <w:t>10.1037/0003-066X.54.10.805</w:t>
      </w:r>
    </w:p>
    <w:p w14:paraId="33455F45" w14:textId="5BF15E69" w:rsidR="005C550F" w:rsidRPr="005C550F" w:rsidRDefault="005C550F" w:rsidP="005F1C1C">
      <w:pPr>
        <w:spacing w:line="480" w:lineRule="auto"/>
      </w:pPr>
      <w:r w:rsidRPr="005C550F">
        <w:lastRenderedPageBreak/>
        <w:t xml:space="preserve">Cozier, Y. C., Wise, L. A., Palmer, J. R., &amp; Rosenberg, L. (2009). Perceived </w:t>
      </w:r>
      <w:r w:rsidRPr="00F508C3">
        <w:t>r</w:t>
      </w:r>
      <w:r w:rsidRPr="005C550F">
        <w:t xml:space="preserve">acism in </w:t>
      </w:r>
      <w:r w:rsidRPr="00F508C3">
        <w:t>r</w:t>
      </w:r>
      <w:r w:rsidRPr="005C550F">
        <w:t xml:space="preserve">elation to </w:t>
      </w:r>
      <w:r w:rsidRPr="00F508C3">
        <w:tab/>
        <w:t>w</w:t>
      </w:r>
      <w:r w:rsidRPr="005C550F">
        <w:t xml:space="preserve">eight </w:t>
      </w:r>
      <w:r w:rsidRPr="00F508C3">
        <w:t>c</w:t>
      </w:r>
      <w:r w:rsidRPr="005C550F">
        <w:t xml:space="preserve">hange in the Black Women’s Health Study. </w:t>
      </w:r>
      <w:r w:rsidRPr="005C550F">
        <w:rPr>
          <w:i/>
          <w:iCs/>
        </w:rPr>
        <w:t>Annals of Epidemiology</w:t>
      </w:r>
      <w:r w:rsidRPr="005C550F">
        <w:t xml:space="preserve">, </w:t>
      </w:r>
      <w:r w:rsidRPr="005C550F">
        <w:rPr>
          <w:i/>
          <w:iCs/>
        </w:rPr>
        <w:t>19</w:t>
      </w:r>
      <w:r w:rsidRPr="005C550F">
        <w:t>(6), 379–</w:t>
      </w:r>
      <w:r w:rsidRPr="00F508C3">
        <w:tab/>
      </w:r>
      <w:r w:rsidRPr="005C550F">
        <w:t xml:space="preserve">387. </w:t>
      </w:r>
      <w:r w:rsidR="00F70451" w:rsidRPr="00F70451">
        <w:t>https://doi.org</w:t>
      </w:r>
      <w:r w:rsidR="00F70451">
        <w:t>/</w:t>
      </w:r>
      <w:r w:rsidRPr="005C550F">
        <w:t>10.1016/j.annepidem.2009.01.008</w:t>
      </w:r>
    </w:p>
    <w:p w14:paraId="531C4D7E" w14:textId="002FA4A9" w:rsidR="00DE2DEA" w:rsidRPr="00F508C3" w:rsidRDefault="00DE2DEA" w:rsidP="005F1C1C">
      <w:pPr>
        <w:spacing w:line="480" w:lineRule="auto"/>
      </w:pPr>
      <w:proofErr w:type="spellStart"/>
      <w:r w:rsidRPr="00F508C3">
        <w:t>Dallacker</w:t>
      </w:r>
      <w:proofErr w:type="spellEnd"/>
      <w:r w:rsidRPr="00F508C3">
        <w:t xml:space="preserve">, M., </w:t>
      </w:r>
      <w:proofErr w:type="spellStart"/>
      <w:r w:rsidRPr="00F508C3">
        <w:t>Hertwig</w:t>
      </w:r>
      <w:proofErr w:type="spellEnd"/>
      <w:r w:rsidRPr="00F508C3">
        <w:t xml:space="preserve">, R., &amp; Mata, J. (2019). Quality matters: A meta-analysis on components </w:t>
      </w:r>
      <w:r w:rsidRPr="00F508C3">
        <w:tab/>
        <w:t xml:space="preserve">of healthy family meals. </w:t>
      </w:r>
      <w:r w:rsidRPr="00F508C3">
        <w:rPr>
          <w:i/>
        </w:rPr>
        <w:t>Health Psychology,38</w:t>
      </w:r>
      <w:r w:rsidRPr="00F508C3">
        <w:rPr>
          <w:iCs/>
        </w:rPr>
        <w:t>(12), 1137</w:t>
      </w:r>
      <w:r w:rsidRPr="00F508C3">
        <w:t xml:space="preserve">–1149. </w:t>
      </w:r>
      <w:r w:rsidR="007663B8">
        <w:tab/>
      </w:r>
      <w:r w:rsidR="007663B8" w:rsidRPr="00993001">
        <w:t>https://doi</w:t>
      </w:r>
      <w:r w:rsidR="007663B8">
        <w:t>.</w:t>
      </w:r>
      <w:r w:rsidR="007663B8" w:rsidRPr="00993001">
        <w:t>org</w:t>
      </w:r>
      <w:r w:rsidR="007663B8">
        <w:t>/</w:t>
      </w:r>
      <w:r w:rsidRPr="007663B8">
        <w:rPr>
          <w:color w:val="000000" w:themeColor="text1"/>
          <w:shd w:val="clear" w:color="auto" w:fill="FFFFFF"/>
        </w:rPr>
        <w:t>10.1037/hea0000801</w:t>
      </w:r>
    </w:p>
    <w:p w14:paraId="55909AC5" w14:textId="5A414A3B" w:rsidR="00993001" w:rsidRDefault="00993001" w:rsidP="005F1C1C">
      <w:pPr>
        <w:spacing w:line="480" w:lineRule="auto"/>
      </w:pPr>
      <w:proofErr w:type="spellStart"/>
      <w:r w:rsidRPr="00993001">
        <w:t>Didie</w:t>
      </w:r>
      <w:proofErr w:type="spellEnd"/>
      <w:r w:rsidRPr="00993001">
        <w:t xml:space="preserve">, E. R., &amp; Fitzgibbon, M. (2005). Binge eating and psychological distress: Is the degree of </w:t>
      </w:r>
      <w:r>
        <w:tab/>
      </w:r>
      <w:r w:rsidRPr="00993001">
        <w:t xml:space="preserve">obesity a </w:t>
      </w:r>
      <w:proofErr w:type="spellStart"/>
      <w:r w:rsidRPr="00993001">
        <w:t>factor?.</w:t>
      </w:r>
      <w:r w:rsidRPr="00993001">
        <w:rPr>
          <w:i/>
          <w:iCs/>
        </w:rPr>
        <w:t>Eating</w:t>
      </w:r>
      <w:proofErr w:type="spellEnd"/>
      <w:r w:rsidRPr="00993001">
        <w:rPr>
          <w:i/>
          <w:iCs/>
        </w:rPr>
        <w:t xml:space="preserve"> Behaviors</w:t>
      </w:r>
      <w:r w:rsidRPr="00993001">
        <w:t>, </w:t>
      </w:r>
      <w:r w:rsidRPr="00993001">
        <w:rPr>
          <w:i/>
          <w:iCs/>
        </w:rPr>
        <w:t>6</w:t>
      </w:r>
      <w:r w:rsidRPr="00993001">
        <w:t>(1), 35</w:t>
      </w:r>
      <w:r w:rsidR="00327996" w:rsidRPr="006317E4">
        <w:rPr>
          <w:color w:val="333333"/>
          <w:shd w:val="clear" w:color="auto" w:fill="FFFFFF"/>
        </w:rPr>
        <w:t>–</w:t>
      </w:r>
      <w:r w:rsidRPr="00993001">
        <w:t>41.</w:t>
      </w:r>
      <w:r>
        <w:t xml:space="preserve"> </w:t>
      </w:r>
      <w:r>
        <w:tab/>
      </w:r>
      <w:r w:rsidRPr="00993001">
        <w:t>https://doi</w:t>
      </w:r>
      <w:r>
        <w:t>.</w:t>
      </w:r>
      <w:r w:rsidRPr="00993001">
        <w:t>org</w:t>
      </w:r>
      <w:r>
        <w:t>/</w:t>
      </w:r>
      <w:r w:rsidRPr="00993001">
        <w:t>10.1016/j.eatbeh.2004.08.007</w:t>
      </w:r>
    </w:p>
    <w:p w14:paraId="07649B08" w14:textId="461CAFC9" w:rsidR="005C550F" w:rsidRPr="005C550F" w:rsidRDefault="005C550F" w:rsidP="005F1C1C">
      <w:pPr>
        <w:spacing w:line="480" w:lineRule="auto"/>
      </w:pPr>
      <w:r w:rsidRPr="005C550F">
        <w:t xml:space="preserve">Driscoll, M. W., Reynolds, J. R., &amp; </w:t>
      </w:r>
      <w:proofErr w:type="spellStart"/>
      <w:r w:rsidRPr="005C550F">
        <w:t>Todman</w:t>
      </w:r>
      <w:proofErr w:type="spellEnd"/>
      <w:r w:rsidRPr="005C550F">
        <w:t xml:space="preserve">, L. C. (2015). Dimensions of </w:t>
      </w:r>
      <w:r w:rsidRPr="00F508C3">
        <w:t>r</w:t>
      </w:r>
      <w:r w:rsidRPr="005C550F">
        <w:t>ace-</w:t>
      </w:r>
      <w:r w:rsidRPr="00F508C3">
        <w:t>r</w:t>
      </w:r>
      <w:r w:rsidRPr="005C550F">
        <w:t xml:space="preserve">elated </w:t>
      </w:r>
      <w:r w:rsidRPr="00F508C3">
        <w:t>s</w:t>
      </w:r>
      <w:r w:rsidRPr="005C550F">
        <w:t xml:space="preserve">tress and </w:t>
      </w:r>
      <w:r w:rsidRPr="00F508C3">
        <w:tab/>
      </w:r>
      <w:r w:rsidRPr="005C550F">
        <w:t xml:space="preserve">African American </w:t>
      </w:r>
      <w:r w:rsidRPr="00F508C3">
        <w:t>l</w:t>
      </w:r>
      <w:r w:rsidRPr="005C550F">
        <w:t xml:space="preserve">ife </w:t>
      </w:r>
      <w:r w:rsidRPr="00F508C3">
        <w:t>s</w:t>
      </w:r>
      <w:r w:rsidRPr="005C550F">
        <w:t xml:space="preserve">atisfaction: A </w:t>
      </w:r>
      <w:r w:rsidRPr="00F508C3">
        <w:t>t</w:t>
      </w:r>
      <w:r w:rsidRPr="005C550F">
        <w:t xml:space="preserve">est of the </w:t>
      </w:r>
      <w:r w:rsidRPr="00F508C3">
        <w:t>p</w:t>
      </w:r>
      <w:r w:rsidRPr="005C550F">
        <w:t xml:space="preserve">rotective </w:t>
      </w:r>
      <w:r w:rsidRPr="00F508C3">
        <w:t>r</w:t>
      </w:r>
      <w:r w:rsidRPr="005C550F">
        <w:t xml:space="preserve">ole of </w:t>
      </w:r>
      <w:r w:rsidRPr="00F508C3">
        <w:t>c</w:t>
      </w:r>
      <w:r w:rsidRPr="005C550F">
        <w:t xml:space="preserve">ollective </w:t>
      </w:r>
      <w:r w:rsidRPr="00F508C3">
        <w:t>e</w:t>
      </w:r>
      <w:r w:rsidRPr="005C550F">
        <w:t xml:space="preserve">fficacy. </w:t>
      </w:r>
      <w:r w:rsidRPr="00F508C3">
        <w:tab/>
      </w:r>
      <w:r w:rsidRPr="005C550F">
        <w:rPr>
          <w:i/>
          <w:iCs/>
        </w:rPr>
        <w:t>Journal of Black Psychology</w:t>
      </w:r>
      <w:r w:rsidRPr="005C550F">
        <w:t xml:space="preserve">, </w:t>
      </w:r>
      <w:r w:rsidRPr="005C550F">
        <w:rPr>
          <w:i/>
          <w:iCs/>
        </w:rPr>
        <w:t>41</w:t>
      </w:r>
      <w:r w:rsidRPr="005C550F">
        <w:t xml:space="preserve">(5), 462–486. </w:t>
      </w:r>
      <w:r w:rsidR="00F70451">
        <w:tab/>
      </w:r>
      <w:r w:rsidR="00F70451" w:rsidRPr="00F70451">
        <w:t>https://doi.org</w:t>
      </w:r>
      <w:r w:rsidR="00F70451">
        <w:t>/</w:t>
      </w:r>
      <w:r w:rsidRPr="005C550F">
        <w:t>10.1177/0095798414543690</w:t>
      </w:r>
    </w:p>
    <w:p w14:paraId="399C47E4" w14:textId="0BEC75B4" w:rsidR="005C550F" w:rsidRPr="005C550F" w:rsidRDefault="005C550F" w:rsidP="005F1C1C">
      <w:pPr>
        <w:spacing w:line="480" w:lineRule="auto"/>
      </w:pPr>
      <w:r w:rsidRPr="005C550F">
        <w:t xml:space="preserve">Factor, R., </w:t>
      </w:r>
      <w:proofErr w:type="spellStart"/>
      <w:r w:rsidRPr="005C550F">
        <w:t>Kawachi</w:t>
      </w:r>
      <w:proofErr w:type="spellEnd"/>
      <w:r w:rsidRPr="005C550F">
        <w:t>, I., &amp; Williams, D. R. (2011). Understanding high-risk behavior among non-</w:t>
      </w:r>
      <w:r w:rsidRPr="00F508C3">
        <w:tab/>
      </w:r>
      <w:r w:rsidRPr="005C550F">
        <w:t xml:space="preserve">dominant minorities: A social resistance framework. </w:t>
      </w:r>
      <w:r w:rsidRPr="005C550F">
        <w:rPr>
          <w:i/>
          <w:iCs/>
        </w:rPr>
        <w:t>Social Science &amp; Medicine</w:t>
      </w:r>
      <w:r w:rsidRPr="005C550F">
        <w:t xml:space="preserve">, </w:t>
      </w:r>
      <w:r w:rsidRPr="005C550F">
        <w:rPr>
          <w:i/>
          <w:iCs/>
        </w:rPr>
        <w:t>73</w:t>
      </w:r>
      <w:r w:rsidRPr="005C550F">
        <w:t xml:space="preserve">(9), </w:t>
      </w:r>
      <w:r w:rsidRPr="00F508C3">
        <w:tab/>
      </w:r>
      <w:r w:rsidRPr="005C550F">
        <w:t xml:space="preserve">1292–1301. </w:t>
      </w:r>
      <w:r w:rsidR="00F70451" w:rsidRPr="00F70451">
        <w:t>https://doi.org</w:t>
      </w:r>
      <w:r w:rsidR="00F70451">
        <w:t>/</w:t>
      </w:r>
      <w:r w:rsidRPr="005C550F">
        <w:t>10.1016/j.socscimed.2011.07.027</w:t>
      </w:r>
    </w:p>
    <w:p w14:paraId="081B16D1" w14:textId="29DD3778" w:rsidR="00F508C3" w:rsidRPr="00F508C3" w:rsidRDefault="00F508C3" w:rsidP="005F1C1C">
      <w:pPr>
        <w:pStyle w:val="Bibliography"/>
        <w:spacing w:line="480" w:lineRule="auto"/>
      </w:pPr>
      <w:r w:rsidRPr="00F508C3">
        <w:t xml:space="preserve">Fairburn, C. G., &amp; </w:t>
      </w:r>
      <w:proofErr w:type="spellStart"/>
      <w:r w:rsidRPr="00F508C3">
        <w:t>Beglin</w:t>
      </w:r>
      <w:proofErr w:type="spellEnd"/>
      <w:r w:rsidRPr="00F508C3">
        <w:t xml:space="preserve">, S. J. (1994). Assessment of eating disorders: Interview or self-report </w:t>
      </w:r>
      <w:r w:rsidRPr="00F508C3">
        <w:tab/>
        <w:t xml:space="preserve">questionnaire? </w:t>
      </w:r>
      <w:r w:rsidRPr="00F508C3">
        <w:rPr>
          <w:i/>
          <w:iCs/>
        </w:rPr>
        <w:t>International Journal of Eating Disorders</w:t>
      </w:r>
      <w:r w:rsidRPr="00F508C3">
        <w:t xml:space="preserve">, </w:t>
      </w:r>
      <w:r w:rsidRPr="00F508C3">
        <w:rPr>
          <w:i/>
          <w:iCs/>
        </w:rPr>
        <w:t>16</w:t>
      </w:r>
      <w:r w:rsidRPr="00F508C3">
        <w:t xml:space="preserve">(4), 363–370. </w:t>
      </w:r>
      <w:r w:rsidR="00F70451">
        <w:tab/>
      </w:r>
      <w:r w:rsidR="00F70451" w:rsidRPr="00F70451">
        <w:t>https://doi.org</w:t>
      </w:r>
      <w:r w:rsidR="00F70451">
        <w:t>/</w:t>
      </w:r>
      <w:r w:rsidRPr="00F508C3">
        <w:t>10.1002/1098-108X(199412)16:4&lt;</w:t>
      </w:r>
      <w:proofErr w:type="gramStart"/>
      <w:r w:rsidRPr="00F508C3">
        <w:t>363::</w:t>
      </w:r>
      <w:proofErr w:type="gramEnd"/>
      <w:r w:rsidRPr="00F508C3">
        <w:t>AID-EAT2260160405&gt;3.0.CO;2-</w:t>
      </w:r>
      <w:r w:rsidR="00F70451">
        <w:tab/>
      </w:r>
      <w:r w:rsidRPr="00F508C3">
        <w:t>#</w:t>
      </w:r>
    </w:p>
    <w:p w14:paraId="309F050D" w14:textId="77777777" w:rsidR="00FA53C2" w:rsidRPr="00FF0E1A" w:rsidRDefault="00FA53C2" w:rsidP="005F1C1C">
      <w:pPr>
        <w:spacing w:line="480" w:lineRule="auto"/>
      </w:pPr>
      <w:r w:rsidRPr="00FF0E1A">
        <w:t xml:space="preserve">Fernandez, A., &amp; Loukas, A. (2014). Acculturation and </w:t>
      </w:r>
      <w:r>
        <w:t>r</w:t>
      </w:r>
      <w:r w:rsidRPr="00FF0E1A">
        <w:t xml:space="preserve">eligious </w:t>
      </w:r>
      <w:r>
        <w:t>c</w:t>
      </w:r>
      <w:r w:rsidRPr="00FF0E1A">
        <w:t xml:space="preserve">oping as </w:t>
      </w:r>
      <w:r>
        <w:t>m</w:t>
      </w:r>
      <w:r w:rsidRPr="00FF0E1A">
        <w:t>oderators of the </w:t>
      </w:r>
    </w:p>
    <w:p w14:paraId="5F918AC1" w14:textId="77777777" w:rsidR="00FA53C2" w:rsidRPr="00FF0E1A" w:rsidRDefault="00FA53C2" w:rsidP="005F1C1C">
      <w:pPr>
        <w:spacing w:line="480" w:lineRule="auto"/>
      </w:pPr>
      <w:r>
        <w:tab/>
        <w:t>a</w:t>
      </w:r>
      <w:r w:rsidRPr="00FF0E1A">
        <w:t xml:space="preserve">ssociation </w:t>
      </w:r>
      <w:r>
        <w:t>b</w:t>
      </w:r>
      <w:r w:rsidRPr="00FF0E1A">
        <w:t xml:space="preserve">etween </w:t>
      </w:r>
      <w:r>
        <w:t>d</w:t>
      </w:r>
      <w:r w:rsidRPr="00FF0E1A">
        <w:t xml:space="preserve">iscrimination and </w:t>
      </w:r>
      <w:r>
        <w:t>d</w:t>
      </w:r>
      <w:r w:rsidRPr="00FF0E1A">
        <w:t xml:space="preserve">epressive </w:t>
      </w:r>
      <w:r>
        <w:t>s</w:t>
      </w:r>
      <w:r w:rsidRPr="00FF0E1A">
        <w:t xml:space="preserve">ymptoms </w:t>
      </w:r>
      <w:r>
        <w:t>a</w:t>
      </w:r>
      <w:r w:rsidRPr="00FF0E1A">
        <w:t>mong </w:t>
      </w:r>
    </w:p>
    <w:p w14:paraId="4F63541F" w14:textId="1B6090BB" w:rsidR="00FA53C2" w:rsidRDefault="00FA53C2" w:rsidP="005F1C1C">
      <w:pPr>
        <w:spacing w:line="480" w:lineRule="auto"/>
      </w:pPr>
      <w:r>
        <w:lastRenderedPageBreak/>
        <w:tab/>
      </w:r>
      <w:proofErr w:type="gramStart"/>
      <w:r w:rsidRPr="00FF0E1A">
        <w:t>Mexican-American</w:t>
      </w:r>
      <w:proofErr w:type="gramEnd"/>
      <w:r w:rsidRPr="00FF0E1A">
        <w:t xml:space="preserve"> </w:t>
      </w:r>
      <w:r>
        <w:t>v</w:t>
      </w:r>
      <w:r w:rsidRPr="00FF0E1A">
        <w:t xml:space="preserve">ocational </w:t>
      </w:r>
      <w:r>
        <w:t>s</w:t>
      </w:r>
      <w:r w:rsidRPr="00FF0E1A">
        <w:t xml:space="preserve">tudents. </w:t>
      </w:r>
      <w:r w:rsidRPr="00FF0E1A">
        <w:rPr>
          <w:i/>
          <w:iCs/>
        </w:rPr>
        <w:t>Journal of Immigrant &amp; Minority Health</w:t>
      </w:r>
      <w:r w:rsidRPr="00FF0E1A">
        <w:t xml:space="preserve">, </w:t>
      </w:r>
      <w:r>
        <w:tab/>
      </w:r>
      <w:r w:rsidRPr="00FF0E1A">
        <w:rPr>
          <w:i/>
          <w:iCs/>
        </w:rPr>
        <w:t>16</w:t>
      </w:r>
      <w:r w:rsidRPr="00FF0E1A">
        <w:t xml:space="preserve">(6), 1290–1293. </w:t>
      </w:r>
      <w:r w:rsidR="00F70451" w:rsidRPr="00F70451">
        <w:t>https://doi.org</w:t>
      </w:r>
      <w:r w:rsidR="00F70451">
        <w:t>/</w:t>
      </w:r>
      <w:r w:rsidRPr="00FF0E1A">
        <w:t>10.1007/s10903-013-9952-z</w:t>
      </w:r>
    </w:p>
    <w:p w14:paraId="2AD897C9" w14:textId="77777777" w:rsidR="00F2128A" w:rsidRPr="005C550F" w:rsidRDefault="00F2128A" w:rsidP="00F2128A">
      <w:pPr>
        <w:spacing w:line="480" w:lineRule="auto"/>
      </w:pPr>
      <w:r w:rsidRPr="005C550F">
        <w:t xml:space="preserve">Finkelstein, E. A., </w:t>
      </w:r>
      <w:proofErr w:type="spellStart"/>
      <w:r w:rsidRPr="005C550F">
        <w:t>Khavjou</w:t>
      </w:r>
      <w:proofErr w:type="spellEnd"/>
      <w:r w:rsidRPr="005C550F">
        <w:t xml:space="preserve">, O. A., Thompson, H., </w:t>
      </w:r>
      <w:proofErr w:type="spellStart"/>
      <w:r w:rsidRPr="005C550F">
        <w:t>Trogdon</w:t>
      </w:r>
      <w:proofErr w:type="spellEnd"/>
      <w:r w:rsidRPr="005C550F">
        <w:t xml:space="preserve">, J. G., Pan, L., Sherry, B., &amp; Dietz, </w:t>
      </w:r>
      <w:r w:rsidRPr="00F508C3">
        <w:tab/>
      </w:r>
      <w:r w:rsidRPr="005C550F">
        <w:t xml:space="preserve">W. (2012). Obesity and </w:t>
      </w:r>
      <w:r w:rsidRPr="00F508C3">
        <w:t>s</w:t>
      </w:r>
      <w:r w:rsidRPr="005C550F">
        <w:t xml:space="preserve">evere </w:t>
      </w:r>
      <w:r w:rsidRPr="00F508C3">
        <w:t>o</w:t>
      </w:r>
      <w:r w:rsidRPr="005C550F">
        <w:t xml:space="preserve">besity </w:t>
      </w:r>
      <w:r w:rsidRPr="00F508C3">
        <w:t>f</w:t>
      </w:r>
      <w:r w:rsidRPr="005C550F">
        <w:t xml:space="preserve">orecasts </w:t>
      </w:r>
      <w:r w:rsidRPr="00F508C3">
        <w:t>t</w:t>
      </w:r>
      <w:r w:rsidRPr="005C550F">
        <w:t xml:space="preserve">hrough 2030. </w:t>
      </w:r>
      <w:r w:rsidRPr="005C550F">
        <w:rPr>
          <w:i/>
          <w:iCs/>
        </w:rPr>
        <w:t xml:space="preserve">American Journal of </w:t>
      </w:r>
      <w:r w:rsidRPr="00F508C3">
        <w:rPr>
          <w:i/>
          <w:iCs/>
        </w:rPr>
        <w:tab/>
      </w:r>
      <w:r w:rsidRPr="005C550F">
        <w:rPr>
          <w:i/>
          <w:iCs/>
        </w:rPr>
        <w:t>Preventive Medicine</w:t>
      </w:r>
      <w:r w:rsidRPr="005C550F">
        <w:t xml:space="preserve">, </w:t>
      </w:r>
      <w:r w:rsidRPr="005C550F">
        <w:rPr>
          <w:i/>
          <w:iCs/>
        </w:rPr>
        <w:t>42</w:t>
      </w:r>
      <w:r w:rsidRPr="005C550F">
        <w:t xml:space="preserve">(6), 563–570. </w:t>
      </w:r>
      <w:r w:rsidRPr="00F70451">
        <w:t>https://doi.org</w:t>
      </w:r>
      <w:r>
        <w:t>/</w:t>
      </w:r>
      <w:r w:rsidRPr="005C550F">
        <w:t>10.1016/j.amepre.2011.10.026</w:t>
      </w:r>
    </w:p>
    <w:p w14:paraId="0D406DFD" w14:textId="3D4BB41A" w:rsidR="00DD1D11" w:rsidRPr="00DD1D11" w:rsidRDefault="00DD1D11" w:rsidP="005F1C1C">
      <w:pPr>
        <w:spacing w:line="480" w:lineRule="auto"/>
      </w:pPr>
      <w:r w:rsidRPr="00DD1D11">
        <w:t xml:space="preserve">Ford, C. L. </w:t>
      </w:r>
      <w:r w:rsidR="00C23F50">
        <w:t>&amp;</w:t>
      </w:r>
      <w:r w:rsidRPr="00DD1D11">
        <w:t xml:space="preserve"> </w:t>
      </w:r>
      <w:proofErr w:type="spellStart"/>
      <w:r w:rsidR="00F2128A" w:rsidRPr="000409D6">
        <w:t>Airhihenbuwa</w:t>
      </w:r>
      <w:proofErr w:type="spellEnd"/>
      <w:r w:rsidRPr="00DD1D11">
        <w:t>, C. O. (2010a). Critical race theory, race equity, and public health:</w:t>
      </w:r>
      <w:r w:rsidR="005F1C1C">
        <w:t xml:space="preserve"> </w:t>
      </w:r>
      <w:r w:rsidRPr="00F508C3">
        <w:tab/>
      </w:r>
      <w:r w:rsidRPr="00DD1D11">
        <w:t xml:space="preserve">Toward antiracism praxis. </w:t>
      </w:r>
      <w:r w:rsidRPr="00DD1D11">
        <w:rPr>
          <w:i/>
        </w:rPr>
        <w:t>American Journal of Public Health, 100</w:t>
      </w:r>
      <w:r w:rsidRPr="00DD1D11">
        <w:t>(51),S30–S35.</w:t>
      </w:r>
      <w:r w:rsidRPr="00F508C3">
        <w:t xml:space="preserve"> </w:t>
      </w:r>
      <w:r w:rsidRPr="00F508C3">
        <w:tab/>
      </w:r>
      <w:r w:rsidR="00F70451" w:rsidRPr="00F70451">
        <w:t>https://doi.org</w:t>
      </w:r>
      <w:r w:rsidR="00F70451">
        <w:t>/</w:t>
      </w:r>
      <w:r w:rsidRPr="00F508C3">
        <w:t>10.2105/AJPH.2009.171058</w:t>
      </w:r>
    </w:p>
    <w:p w14:paraId="7BC8491D" w14:textId="3B8288B6" w:rsidR="00DD1D11" w:rsidRPr="00DD1D11" w:rsidRDefault="00DD1D11" w:rsidP="005F1C1C">
      <w:pPr>
        <w:spacing w:line="480" w:lineRule="auto"/>
      </w:pPr>
      <w:r w:rsidRPr="00DD1D11">
        <w:t xml:space="preserve">Ford, C. L. </w:t>
      </w:r>
      <w:r w:rsidR="00C23F50">
        <w:t>&amp;</w:t>
      </w:r>
      <w:r w:rsidRPr="00DD1D11">
        <w:t xml:space="preserve"> </w:t>
      </w:r>
      <w:proofErr w:type="spellStart"/>
      <w:r w:rsidR="00F2128A" w:rsidRPr="000409D6">
        <w:t>Airhihenbuwa</w:t>
      </w:r>
      <w:proofErr w:type="spellEnd"/>
      <w:r w:rsidRPr="00DD1D11">
        <w:t xml:space="preserve">, C.O. (2010b). The public health critical race methodology: Praxis </w:t>
      </w:r>
      <w:r w:rsidR="00FA53C2">
        <w:tab/>
      </w:r>
      <w:r w:rsidRPr="00DD1D11">
        <w:t xml:space="preserve">for antiracism research. </w:t>
      </w:r>
      <w:r w:rsidRPr="00DD1D11">
        <w:rPr>
          <w:i/>
        </w:rPr>
        <w:t>Social Science &amp; Medicine, 71</w:t>
      </w:r>
      <w:r w:rsidRPr="00DD1D11">
        <w:t>, 1390–1398.</w:t>
      </w:r>
      <w:r w:rsidRPr="00F508C3">
        <w:t xml:space="preserve"> </w:t>
      </w:r>
      <w:r w:rsidR="00F70451">
        <w:tab/>
      </w:r>
      <w:r w:rsidR="00F70451" w:rsidRPr="00F70451">
        <w:t>https://doi.org</w:t>
      </w:r>
      <w:r w:rsidR="00F70451">
        <w:t>/</w:t>
      </w:r>
      <w:r w:rsidRPr="00F508C3">
        <w:t>10.1016/j.socscimed.2010.07.030</w:t>
      </w:r>
    </w:p>
    <w:p w14:paraId="4A57928B" w14:textId="293BA089" w:rsidR="00FA53C2" w:rsidRDefault="005C550F" w:rsidP="005F1C1C">
      <w:pPr>
        <w:spacing w:line="480" w:lineRule="auto"/>
      </w:pPr>
      <w:r w:rsidRPr="005C550F">
        <w:t xml:space="preserve">Franklin-Jackson, D., &amp; Carter, R. T. (2007). The </w:t>
      </w:r>
      <w:r w:rsidRPr="00F508C3">
        <w:t>r</w:t>
      </w:r>
      <w:r w:rsidRPr="005C550F">
        <w:t xml:space="preserve">elationships </w:t>
      </w:r>
      <w:r w:rsidRPr="00F508C3">
        <w:t>b</w:t>
      </w:r>
      <w:r w:rsidRPr="005C550F">
        <w:t xml:space="preserve">etween </w:t>
      </w:r>
      <w:r w:rsidRPr="00F508C3">
        <w:t>r</w:t>
      </w:r>
      <w:r w:rsidRPr="005C550F">
        <w:t>ace-</w:t>
      </w:r>
      <w:r w:rsidRPr="00F508C3">
        <w:t>r</w:t>
      </w:r>
      <w:r w:rsidRPr="005C550F">
        <w:t xml:space="preserve">elated </w:t>
      </w:r>
      <w:r w:rsidRPr="00F508C3">
        <w:t>s</w:t>
      </w:r>
      <w:r w:rsidRPr="005C550F">
        <w:t xml:space="preserve">tress, </w:t>
      </w:r>
      <w:r w:rsidRPr="00F508C3">
        <w:t>r</w:t>
      </w:r>
      <w:r w:rsidRPr="005C550F">
        <w:t xml:space="preserve">acial </w:t>
      </w:r>
      <w:r w:rsidRPr="00F508C3">
        <w:tab/>
        <w:t>i</w:t>
      </w:r>
      <w:r w:rsidRPr="005C550F">
        <w:t xml:space="preserve">dentity, and </w:t>
      </w:r>
      <w:r w:rsidRPr="00F508C3">
        <w:t>m</w:t>
      </w:r>
      <w:r w:rsidRPr="005C550F">
        <w:t xml:space="preserve">ental </w:t>
      </w:r>
      <w:r w:rsidRPr="00F508C3">
        <w:t>h</w:t>
      </w:r>
      <w:r w:rsidRPr="005C550F">
        <w:t xml:space="preserve">ealth for Black Americans. </w:t>
      </w:r>
      <w:r w:rsidRPr="005C550F">
        <w:rPr>
          <w:i/>
          <w:iCs/>
        </w:rPr>
        <w:t>Journal of Black Psychology</w:t>
      </w:r>
      <w:r w:rsidRPr="005C550F">
        <w:t xml:space="preserve">, </w:t>
      </w:r>
      <w:r w:rsidRPr="005C550F">
        <w:rPr>
          <w:i/>
          <w:iCs/>
        </w:rPr>
        <w:t>33</w:t>
      </w:r>
      <w:r w:rsidRPr="005C550F">
        <w:t>(1), 5–</w:t>
      </w:r>
      <w:r w:rsidRPr="00F508C3">
        <w:tab/>
      </w:r>
      <w:r w:rsidRPr="005C550F">
        <w:t xml:space="preserve">26. </w:t>
      </w:r>
      <w:r w:rsidR="00F70451" w:rsidRPr="00F70451">
        <w:t>https://doi.org</w:t>
      </w:r>
      <w:r w:rsidR="00F70451">
        <w:t>/</w:t>
      </w:r>
      <w:r w:rsidRPr="005C550F">
        <w:t>10.1177/0095798406295092</w:t>
      </w:r>
    </w:p>
    <w:p w14:paraId="2C808CB0" w14:textId="6DB87083" w:rsidR="006317E4" w:rsidRDefault="00FA53C2" w:rsidP="005F1C1C">
      <w:pPr>
        <w:spacing w:line="480" w:lineRule="auto"/>
      </w:pPr>
      <w:r w:rsidRPr="006317E4">
        <w:t xml:space="preserve">Fu, S. S., Rhodes, K. L., Robert, C., </w:t>
      </w:r>
      <w:proofErr w:type="spellStart"/>
      <w:r w:rsidRPr="006317E4">
        <w:t>Widome</w:t>
      </w:r>
      <w:proofErr w:type="spellEnd"/>
      <w:r w:rsidRPr="006317E4">
        <w:t>, R., Forster, J. L.,</w:t>
      </w:r>
      <w:r w:rsidR="000A4BF1">
        <w:t xml:space="preserve"> &amp;</w:t>
      </w:r>
      <w:r w:rsidRPr="006317E4">
        <w:t xml:space="preserve"> Joseph, A. M. (2014). </w:t>
      </w:r>
      <w:r w:rsidRPr="006317E4">
        <w:tab/>
        <w:t xml:space="preserve">Designing and evaluating culturally specific smoking cessation interventions for </w:t>
      </w:r>
      <w:r w:rsidRPr="006317E4">
        <w:tab/>
        <w:t xml:space="preserve">American Indian communities. </w:t>
      </w:r>
      <w:r w:rsidRPr="006317E4">
        <w:rPr>
          <w:i/>
          <w:iCs/>
        </w:rPr>
        <w:t>Nicotine &amp; Tobacco Research, 16</w:t>
      </w:r>
      <w:r w:rsidRPr="006317E4">
        <w:t>(1), 42– 49.</w:t>
      </w:r>
      <w:r w:rsidR="006317E4">
        <w:t xml:space="preserve"> </w:t>
      </w:r>
      <w:r w:rsidR="006317E4">
        <w:tab/>
      </w:r>
      <w:r w:rsidR="006317E4" w:rsidRPr="006317E4">
        <w:t>https://doi</w:t>
      </w:r>
      <w:r w:rsidR="006317E4">
        <w:t>.</w:t>
      </w:r>
      <w:r w:rsidR="006317E4" w:rsidRPr="006317E4">
        <w:t>org/10.1093/ntr/ntt111</w:t>
      </w:r>
    </w:p>
    <w:p w14:paraId="6C396FF1" w14:textId="3D9E3CEB" w:rsidR="00FA53C2" w:rsidRDefault="00FA53C2" w:rsidP="005F1C1C">
      <w:pPr>
        <w:spacing w:line="480" w:lineRule="auto"/>
      </w:pPr>
      <w:r w:rsidRPr="006317E4">
        <w:t>Garza, Y.</w:t>
      </w:r>
      <w:r w:rsidR="000A4BF1">
        <w:t>, &amp;</w:t>
      </w:r>
      <w:r w:rsidRPr="006317E4">
        <w:t xml:space="preserve"> Watts, R. E. (2011). Filial therapy and Hispanic values: Common ground for </w:t>
      </w:r>
      <w:r w:rsidRPr="006317E4">
        <w:tab/>
        <w:t xml:space="preserve">culturally sensitive helping. </w:t>
      </w:r>
      <w:r w:rsidRPr="006317E4">
        <w:rPr>
          <w:i/>
          <w:iCs/>
        </w:rPr>
        <w:t>Journal of Counseling &amp; Development</w:t>
      </w:r>
      <w:r w:rsidRPr="006317E4">
        <w:t xml:space="preserve">, </w:t>
      </w:r>
      <w:r w:rsidRPr="006317E4">
        <w:rPr>
          <w:i/>
          <w:iCs/>
        </w:rPr>
        <w:t>88</w:t>
      </w:r>
      <w:r w:rsidRPr="006317E4">
        <w:t>(1), 108–113.</w:t>
      </w:r>
      <w:r w:rsidR="006317E4">
        <w:t xml:space="preserve"> </w:t>
      </w:r>
      <w:r w:rsidR="006317E4">
        <w:tab/>
      </w:r>
      <w:r w:rsidR="006317E4" w:rsidRPr="006317E4">
        <w:t>https://doi</w:t>
      </w:r>
      <w:r w:rsidR="006317E4">
        <w:t>.</w:t>
      </w:r>
      <w:r w:rsidR="006317E4" w:rsidRPr="006317E4">
        <w:t>or</w:t>
      </w:r>
      <w:r w:rsidR="006317E4">
        <w:t>g</w:t>
      </w:r>
      <w:r w:rsidR="006317E4" w:rsidRPr="006317E4">
        <w:t>/10.1002/j.1556-6678.2010.tb00157.x</w:t>
      </w:r>
    </w:p>
    <w:p w14:paraId="46563899" w14:textId="665DD429" w:rsidR="005C550F" w:rsidRDefault="005C550F" w:rsidP="005F1C1C">
      <w:pPr>
        <w:spacing w:line="480" w:lineRule="auto"/>
      </w:pPr>
      <w:r w:rsidRPr="005C550F">
        <w:lastRenderedPageBreak/>
        <w:t xml:space="preserve">Goldschmidt, A. B., Wall, M. M., Zhang, J., Loth, K. A., &amp; </w:t>
      </w:r>
      <w:proofErr w:type="spellStart"/>
      <w:r w:rsidRPr="005C550F">
        <w:t>Neumark-Sztainer</w:t>
      </w:r>
      <w:proofErr w:type="spellEnd"/>
      <w:r w:rsidRPr="005C550F">
        <w:t xml:space="preserve">, D. (2016). </w:t>
      </w:r>
      <w:r w:rsidRPr="00F508C3">
        <w:tab/>
      </w:r>
      <w:r w:rsidRPr="005C550F">
        <w:t xml:space="preserve">Overeating and binge eating in emerging adulthood: 10-year stability and risk factors. </w:t>
      </w:r>
      <w:r w:rsidRPr="00F508C3">
        <w:tab/>
      </w:r>
      <w:r w:rsidRPr="005C550F">
        <w:rPr>
          <w:i/>
          <w:iCs/>
        </w:rPr>
        <w:t>Developmental Psychology</w:t>
      </w:r>
      <w:r w:rsidRPr="005C550F">
        <w:t xml:space="preserve">, </w:t>
      </w:r>
      <w:r w:rsidRPr="005C550F">
        <w:rPr>
          <w:i/>
          <w:iCs/>
        </w:rPr>
        <w:t>52</w:t>
      </w:r>
      <w:r w:rsidRPr="005C550F">
        <w:t xml:space="preserve">(3), 475–483. </w:t>
      </w:r>
      <w:r w:rsidR="00F70451" w:rsidRPr="00F70451">
        <w:t>https://doi.org</w:t>
      </w:r>
      <w:r w:rsidR="00F70451">
        <w:t>/</w:t>
      </w:r>
      <w:r w:rsidRPr="005C550F">
        <w:t>10.1037/dev0000086</w:t>
      </w:r>
    </w:p>
    <w:p w14:paraId="38A11F6F" w14:textId="657C87C3" w:rsidR="00327996" w:rsidRPr="00327996" w:rsidRDefault="00327996" w:rsidP="005F1C1C">
      <w:pPr>
        <w:spacing w:line="480" w:lineRule="auto"/>
        <w:rPr>
          <w:color w:val="000000" w:themeColor="text1"/>
        </w:rPr>
      </w:pPr>
      <w:r>
        <w:rPr>
          <w:color w:val="000000" w:themeColor="text1"/>
        </w:rPr>
        <w:t xml:space="preserve">Goldstein, D. J. (1992). Beneficial health effects of modest weight loss. </w:t>
      </w:r>
      <w:r>
        <w:rPr>
          <w:i/>
          <w:iCs/>
          <w:color w:val="000000" w:themeColor="text1"/>
        </w:rPr>
        <w:t xml:space="preserve">International Journal of </w:t>
      </w:r>
      <w:r>
        <w:rPr>
          <w:i/>
          <w:iCs/>
          <w:color w:val="000000" w:themeColor="text1"/>
        </w:rPr>
        <w:tab/>
        <w:t xml:space="preserve">Obesity and Related Metabolic Disorders: Journal of the International Association for </w:t>
      </w:r>
      <w:r>
        <w:rPr>
          <w:i/>
          <w:iCs/>
          <w:color w:val="000000" w:themeColor="text1"/>
        </w:rPr>
        <w:tab/>
        <w:t>the Study of Obesity, 16</w:t>
      </w:r>
      <w:r>
        <w:rPr>
          <w:color w:val="000000" w:themeColor="text1"/>
        </w:rPr>
        <w:t>(6), 397–415. PMID: 1322866.</w:t>
      </w:r>
    </w:p>
    <w:p w14:paraId="3C0E3ED8" w14:textId="4CF5CEA9" w:rsidR="0075682B" w:rsidRPr="0075682B" w:rsidRDefault="0075682B" w:rsidP="005F1C1C">
      <w:pPr>
        <w:spacing w:line="480" w:lineRule="auto"/>
      </w:pPr>
      <w:r w:rsidRPr="0075682B">
        <w:t xml:space="preserve">Gong, F., Xu, J., &amp; Takeuchi, D. T. (2017). </w:t>
      </w:r>
      <w:r w:rsidR="00D722AF">
        <w:t>Racial/ethnic</w:t>
      </w:r>
      <w:r w:rsidRPr="0075682B">
        <w:t xml:space="preserve"> differences in perceptions of </w:t>
      </w:r>
      <w:r>
        <w:tab/>
      </w:r>
      <w:r w:rsidRPr="0075682B">
        <w:t>everyday discrimination. </w:t>
      </w:r>
      <w:r w:rsidRPr="0075682B">
        <w:rPr>
          <w:i/>
          <w:iCs/>
        </w:rPr>
        <w:t>Sociology of Race and Ethnicity</w:t>
      </w:r>
      <w:r w:rsidRPr="0075682B">
        <w:t>, </w:t>
      </w:r>
      <w:r w:rsidRPr="0075682B">
        <w:rPr>
          <w:i/>
          <w:iCs/>
        </w:rPr>
        <w:t>3</w:t>
      </w:r>
      <w:r w:rsidRPr="0075682B">
        <w:t>(4), 506</w:t>
      </w:r>
      <w:r w:rsidR="00327996">
        <w:rPr>
          <w:color w:val="000000" w:themeColor="text1"/>
        </w:rPr>
        <w:t>–</w:t>
      </w:r>
      <w:r w:rsidRPr="0075682B">
        <w:t>521.</w:t>
      </w:r>
    </w:p>
    <w:p w14:paraId="6E0DF898" w14:textId="07960488" w:rsidR="0075682B" w:rsidRDefault="0075682B" w:rsidP="005F1C1C">
      <w:pPr>
        <w:spacing w:line="480" w:lineRule="auto"/>
      </w:pPr>
      <w:r>
        <w:tab/>
      </w:r>
      <w:r w:rsidRPr="0075682B">
        <w:t>https://doi</w:t>
      </w:r>
      <w:r>
        <w:t>.</w:t>
      </w:r>
      <w:r w:rsidRPr="0075682B">
        <w:t>org /10.1177%2F2332649216681587</w:t>
      </w:r>
    </w:p>
    <w:p w14:paraId="74C61DD8" w14:textId="0B76F7D2" w:rsidR="005C550F" w:rsidRPr="005C550F" w:rsidRDefault="005C550F" w:rsidP="005F1C1C">
      <w:pPr>
        <w:spacing w:line="480" w:lineRule="auto"/>
      </w:pPr>
      <w:r w:rsidRPr="005C550F">
        <w:t xml:space="preserve">Goode, R., Ye, L., Zheng, Y., Ma, Q., </w:t>
      </w:r>
      <w:proofErr w:type="spellStart"/>
      <w:r w:rsidRPr="005C550F">
        <w:t>Sereika</w:t>
      </w:r>
      <w:proofErr w:type="spellEnd"/>
      <w:r w:rsidRPr="005C550F">
        <w:t xml:space="preserve">, S. M., &amp; Burke, L. E. (2016). The </w:t>
      </w:r>
      <w:r w:rsidRPr="00F508C3">
        <w:t>i</w:t>
      </w:r>
      <w:r w:rsidRPr="005C550F">
        <w:t xml:space="preserve">mpact of </w:t>
      </w:r>
      <w:r w:rsidRPr="00F508C3">
        <w:tab/>
        <w:t>r</w:t>
      </w:r>
      <w:r w:rsidRPr="005C550F">
        <w:t xml:space="preserve">acial and </w:t>
      </w:r>
      <w:r w:rsidRPr="00F508C3">
        <w:t>s</w:t>
      </w:r>
      <w:r w:rsidRPr="005C550F">
        <w:t xml:space="preserve">ocioeconomic </w:t>
      </w:r>
      <w:r w:rsidRPr="00F508C3">
        <w:t>d</w:t>
      </w:r>
      <w:r w:rsidRPr="005C550F">
        <w:t xml:space="preserve">isparities on </w:t>
      </w:r>
      <w:r w:rsidRPr="00F508C3">
        <w:t>b</w:t>
      </w:r>
      <w:r w:rsidRPr="005C550F">
        <w:t xml:space="preserve">inge </w:t>
      </w:r>
      <w:r w:rsidRPr="00F508C3">
        <w:t>e</w:t>
      </w:r>
      <w:r w:rsidRPr="005C550F">
        <w:t xml:space="preserve">ating and </w:t>
      </w:r>
      <w:r w:rsidRPr="00F508C3">
        <w:t>s</w:t>
      </w:r>
      <w:r w:rsidRPr="005C550F">
        <w:t>elf-</w:t>
      </w:r>
      <w:r w:rsidRPr="00F508C3">
        <w:t>e</w:t>
      </w:r>
      <w:r w:rsidRPr="005C550F">
        <w:t xml:space="preserve">fficacy among </w:t>
      </w:r>
      <w:r w:rsidRPr="00F508C3">
        <w:t>a</w:t>
      </w:r>
      <w:r w:rsidRPr="005C550F">
        <w:t xml:space="preserve">dults in a </w:t>
      </w:r>
      <w:r w:rsidRPr="00F508C3">
        <w:tab/>
        <w:t>b</w:t>
      </w:r>
      <w:r w:rsidRPr="005C550F">
        <w:t xml:space="preserve">ehavioral </w:t>
      </w:r>
      <w:r w:rsidRPr="00F508C3">
        <w:t>w</w:t>
      </w:r>
      <w:r w:rsidRPr="005C550F">
        <w:t xml:space="preserve">eight </w:t>
      </w:r>
      <w:r w:rsidRPr="00F508C3">
        <w:t>l</w:t>
      </w:r>
      <w:r w:rsidRPr="005C550F">
        <w:t xml:space="preserve">oss </w:t>
      </w:r>
      <w:r w:rsidRPr="00F508C3">
        <w:t>t</w:t>
      </w:r>
      <w:r w:rsidRPr="005C550F">
        <w:t xml:space="preserve">rial. </w:t>
      </w:r>
      <w:r w:rsidRPr="005C550F">
        <w:rPr>
          <w:i/>
          <w:iCs/>
        </w:rPr>
        <w:t>Health &amp; Social Work</w:t>
      </w:r>
      <w:r w:rsidRPr="005C550F">
        <w:t xml:space="preserve">, </w:t>
      </w:r>
      <w:r w:rsidRPr="005C550F">
        <w:rPr>
          <w:i/>
          <w:iCs/>
        </w:rPr>
        <w:t>41</w:t>
      </w:r>
      <w:r w:rsidRPr="005C550F">
        <w:t xml:space="preserve">(3), e60–e67. </w:t>
      </w:r>
      <w:r w:rsidRPr="00F508C3">
        <w:tab/>
      </w:r>
      <w:r w:rsidR="00F70451" w:rsidRPr="00F70451">
        <w:t>https://doi.org</w:t>
      </w:r>
      <w:r w:rsidR="00F70451">
        <w:t>/</w:t>
      </w:r>
      <w:r w:rsidRPr="005C550F">
        <w:t>10.1093/hsw/hlw032</w:t>
      </w:r>
    </w:p>
    <w:p w14:paraId="6F73E69F" w14:textId="72809C30" w:rsidR="005C550F" w:rsidRPr="005C550F" w:rsidRDefault="005C550F" w:rsidP="005F1C1C">
      <w:pPr>
        <w:spacing w:line="480" w:lineRule="auto"/>
      </w:pPr>
      <w:proofErr w:type="spellStart"/>
      <w:r w:rsidRPr="005C550F">
        <w:t>Görlach</w:t>
      </w:r>
      <w:proofErr w:type="spellEnd"/>
      <w:r w:rsidRPr="005C550F">
        <w:t xml:space="preserve">, M. G., Kohlmann, S., </w:t>
      </w:r>
      <w:proofErr w:type="spellStart"/>
      <w:r w:rsidRPr="005C550F">
        <w:t>Shedden</w:t>
      </w:r>
      <w:proofErr w:type="spellEnd"/>
      <w:r w:rsidRPr="005C550F">
        <w:t xml:space="preserve">‐Mora, M., </w:t>
      </w:r>
      <w:proofErr w:type="spellStart"/>
      <w:r w:rsidRPr="005C550F">
        <w:t>Rief</w:t>
      </w:r>
      <w:proofErr w:type="spellEnd"/>
      <w:r w:rsidRPr="005C550F">
        <w:t xml:space="preserve">, W., &amp; Westermann, S. (2016). </w:t>
      </w:r>
      <w:r w:rsidRPr="00F508C3">
        <w:tab/>
      </w:r>
      <w:r w:rsidRPr="005C550F">
        <w:t xml:space="preserve">Expressive </w:t>
      </w:r>
      <w:r w:rsidRPr="00F508C3">
        <w:t>s</w:t>
      </w:r>
      <w:r w:rsidRPr="005C550F">
        <w:t xml:space="preserve">uppression of </w:t>
      </w:r>
      <w:r w:rsidRPr="00F508C3">
        <w:t>e</w:t>
      </w:r>
      <w:r w:rsidRPr="005C550F">
        <w:t xml:space="preserve">motions and </w:t>
      </w:r>
      <w:r w:rsidRPr="00F508C3">
        <w:t>o</w:t>
      </w:r>
      <w:r w:rsidRPr="005C550F">
        <w:t xml:space="preserve">vereating in </w:t>
      </w:r>
      <w:r w:rsidRPr="00F508C3">
        <w:t>i</w:t>
      </w:r>
      <w:r w:rsidRPr="005C550F">
        <w:t xml:space="preserve">ndividuals with </w:t>
      </w:r>
      <w:r w:rsidRPr="00F508C3">
        <w:t>o</w:t>
      </w:r>
      <w:r w:rsidRPr="005C550F">
        <w:t xml:space="preserve">verweight and </w:t>
      </w:r>
      <w:r w:rsidRPr="00F508C3">
        <w:tab/>
        <w:t>o</w:t>
      </w:r>
      <w:r w:rsidRPr="005C550F">
        <w:t xml:space="preserve">besity. </w:t>
      </w:r>
      <w:r w:rsidRPr="005C550F">
        <w:rPr>
          <w:i/>
          <w:iCs/>
        </w:rPr>
        <w:t>European Eating Disorders Review</w:t>
      </w:r>
      <w:r w:rsidRPr="005C550F">
        <w:t xml:space="preserve">, </w:t>
      </w:r>
      <w:r w:rsidRPr="005C550F">
        <w:rPr>
          <w:i/>
          <w:iCs/>
        </w:rPr>
        <w:t>24</w:t>
      </w:r>
      <w:r w:rsidRPr="005C550F">
        <w:t xml:space="preserve">(5), 377–382. </w:t>
      </w:r>
      <w:r w:rsidR="00F70451">
        <w:tab/>
      </w:r>
      <w:r w:rsidR="00F70451" w:rsidRPr="00F70451">
        <w:t>https://doi.org</w:t>
      </w:r>
      <w:r w:rsidR="00F70451">
        <w:t>/</w:t>
      </w:r>
      <w:r w:rsidRPr="005C550F">
        <w:t>10.1002/erv.2452</w:t>
      </w:r>
    </w:p>
    <w:p w14:paraId="72D82871" w14:textId="55D7859C" w:rsidR="005C550F" w:rsidRPr="003F3EB9" w:rsidRDefault="005C550F" w:rsidP="005F1C1C">
      <w:pPr>
        <w:spacing w:line="480" w:lineRule="auto"/>
      </w:pPr>
      <w:r w:rsidRPr="003F3EB9">
        <w:t>Hales, C. M., Carroll, M. D., Fryar, C. D.,</w:t>
      </w:r>
      <w:r w:rsidR="00F2128A" w:rsidRPr="003F3EB9">
        <w:t xml:space="preserve"> &amp;</w:t>
      </w:r>
      <w:r w:rsidRPr="003F3EB9">
        <w:t xml:space="preserve"> Ogden, C. L. (2020). </w:t>
      </w:r>
      <w:r w:rsidRPr="003F3EB9">
        <w:rPr>
          <w:i/>
          <w:iCs/>
        </w:rPr>
        <w:t xml:space="preserve">Prevalence of obesity and </w:t>
      </w:r>
      <w:r w:rsidR="003F3EB9" w:rsidRPr="003F3EB9">
        <w:rPr>
          <w:i/>
          <w:iCs/>
        </w:rPr>
        <w:tab/>
      </w:r>
      <w:r w:rsidRPr="003F3EB9">
        <w:rPr>
          <w:i/>
          <w:iCs/>
        </w:rPr>
        <w:t xml:space="preserve">severe </w:t>
      </w:r>
      <w:r w:rsidRPr="003F3EB9">
        <w:rPr>
          <w:i/>
          <w:iCs/>
        </w:rPr>
        <w:tab/>
        <w:t>obesity among adults: United States, 2017–2018</w:t>
      </w:r>
      <w:r w:rsidR="00327996" w:rsidRPr="003F3EB9">
        <w:t xml:space="preserve">, U.S. Department of Health and </w:t>
      </w:r>
      <w:r w:rsidR="003F3EB9" w:rsidRPr="003F3EB9">
        <w:tab/>
      </w:r>
      <w:r w:rsidR="00327996" w:rsidRPr="003F3EB9">
        <w:t xml:space="preserve">Human Services Centers for Disease Control and Prevention </w:t>
      </w:r>
      <w:r w:rsidRPr="003F3EB9">
        <w:t xml:space="preserve">(NCHS Data Brief No. 360). </w:t>
      </w:r>
      <w:r w:rsidR="00F70451" w:rsidRPr="003F3EB9">
        <w:tab/>
      </w:r>
      <w:r w:rsidR="00327996" w:rsidRPr="003F3EB9">
        <w:t>https://www.cdc.gov/nchs/data/databriefs/db360-h.pdf</w:t>
      </w:r>
    </w:p>
    <w:p w14:paraId="175C8466" w14:textId="72600CE7" w:rsidR="005C550F" w:rsidRPr="005C550F" w:rsidRDefault="005C550F" w:rsidP="005F1C1C">
      <w:pPr>
        <w:spacing w:line="480" w:lineRule="auto"/>
      </w:pPr>
      <w:r w:rsidRPr="005C550F">
        <w:lastRenderedPageBreak/>
        <w:t xml:space="preserve">Harrington, E. F., Crowther, J. H., Payne </w:t>
      </w:r>
      <w:proofErr w:type="spellStart"/>
      <w:r w:rsidRPr="005C550F">
        <w:t>Henrickson</w:t>
      </w:r>
      <w:proofErr w:type="spellEnd"/>
      <w:r w:rsidRPr="005C550F">
        <w:t xml:space="preserve">, H. C., </w:t>
      </w:r>
      <w:r w:rsidR="0086293A" w:rsidRPr="00F508C3">
        <w:t xml:space="preserve">&amp; </w:t>
      </w:r>
      <w:r w:rsidRPr="005C550F">
        <w:t>Mickelson, K. D.</w:t>
      </w:r>
      <w:r w:rsidR="0086293A" w:rsidRPr="00F508C3">
        <w:t xml:space="preserve"> </w:t>
      </w:r>
      <w:r w:rsidRPr="005C550F">
        <w:t xml:space="preserve">(2006). The </w:t>
      </w:r>
      <w:r w:rsidR="0086293A" w:rsidRPr="00F508C3">
        <w:tab/>
      </w:r>
      <w:r w:rsidRPr="005C550F">
        <w:t xml:space="preserve">relationships among trauma, stress, ethnicity, and binge eating. </w:t>
      </w:r>
      <w:r w:rsidRPr="005C550F">
        <w:rPr>
          <w:i/>
          <w:iCs/>
        </w:rPr>
        <w:t xml:space="preserve">Cultural Diversity and </w:t>
      </w:r>
      <w:r w:rsidR="0086293A" w:rsidRPr="00F508C3">
        <w:rPr>
          <w:i/>
          <w:iCs/>
        </w:rPr>
        <w:tab/>
      </w:r>
      <w:r w:rsidRPr="005C550F">
        <w:rPr>
          <w:i/>
          <w:iCs/>
        </w:rPr>
        <w:t>Ethnic Minority Psychology</w:t>
      </w:r>
      <w:r w:rsidRPr="005C550F">
        <w:t xml:space="preserve">, </w:t>
      </w:r>
      <w:r w:rsidRPr="005C550F">
        <w:rPr>
          <w:i/>
          <w:iCs/>
        </w:rPr>
        <w:t>12</w:t>
      </w:r>
      <w:r w:rsidRPr="005C550F">
        <w:t xml:space="preserve">(2), 212–229. </w:t>
      </w:r>
      <w:r w:rsidR="00F70451" w:rsidRPr="00F70451">
        <w:t>https://doi.org</w:t>
      </w:r>
      <w:r w:rsidR="00F70451">
        <w:t>/</w:t>
      </w:r>
      <w:r w:rsidRPr="005C550F">
        <w:t>10.1037/1099-9809.12.2.212</w:t>
      </w:r>
    </w:p>
    <w:p w14:paraId="3F70A5B9" w14:textId="77777777" w:rsidR="007663B8" w:rsidRDefault="007663B8" w:rsidP="007663B8">
      <w:pPr>
        <w:spacing w:after="240" w:line="480" w:lineRule="auto"/>
        <w:contextualSpacing/>
      </w:pPr>
      <w:r w:rsidRPr="00FF0E1A">
        <w:rPr>
          <w:color w:val="000000"/>
          <w:shd w:val="clear" w:color="auto" w:fill="FFFFFF"/>
        </w:rPr>
        <w:t xml:space="preserve">Hernández, R. J., &amp; </w:t>
      </w:r>
      <w:proofErr w:type="spellStart"/>
      <w:r w:rsidRPr="00FF0E1A">
        <w:rPr>
          <w:color w:val="000000"/>
          <w:shd w:val="clear" w:color="auto" w:fill="FFFFFF"/>
        </w:rPr>
        <w:t>Villodas</w:t>
      </w:r>
      <w:proofErr w:type="spellEnd"/>
      <w:r w:rsidRPr="00FF0E1A">
        <w:rPr>
          <w:color w:val="000000"/>
          <w:shd w:val="clear" w:color="auto" w:fill="FFFFFF"/>
        </w:rPr>
        <w:t>, M. T. (2020). Overcoming racial battle fatigue: The associations </w:t>
      </w:r>
      <w:r>
        <w:tab/>
      </w:r>
      <w:r w:rsidRPr="00FF0E1A">
        <w:rPr>
          <w:color w:val="000000"/>
          <w:shd w:val="clear" w:color="auto" w:fill="FFFFFF"/>
        </w:rPr>
        <w:t>between racial microaggressions, coping, and mental health among Chicana/o and </w:t>
      </w:r>
      <w:r>
        <w:tab/>
      </w:r>
      <w:r w:rsidRPr="00FF0E1A">
        <w:rPr>
          <w:color w:val="000000"/>
          <w:shd w:val="clear" w:color="auto" w:fill="FFFFFF"/>
        </w:rPr>
        <w:t>Latina/o college students.</w:t>
      </w:r>
      <w:r w:rsidRPr="00FF0E1A">
        <w:rPr>
          <w:i/>
          <w:iCs/>
          <w:color w:val="000000"/>
          <w:shd w:val="clear" w:color="auto" w:fill="FFFFFF"/>
        </w:rPr>
        <w:t xml:space="preserve"> Cultural Diversity and Ethnic Minority Psychology, 26</w:t>
      </w:r>
      <w:r w:rsidRPr="00FF0E1A">
        <w:rPr>
          <w:color w:val="000000"/>
          <w:shd w:val="clear" w:color="auto" w:fill="FFFFFF"/>
        </w:rPr>
        <w:t>(3), </w:t>
      </w:r>
      <w:r>
        <w:tab/>
      </w:r>
      <w:r w:rsidRPr="00FF0E1A">
        <w:rPr>
          <w:color w:val="000000"/>
          <w:shd w:val="clear" w:color="auto" w:fill="FFFFFF"/>
        </w:rPr>
        <w:t xml:space="preserve">399–411. </w:t>
      </w:r>
      <w:r w:rsidRPr="00F70451">
        <w:t>https://doi.org</w:t>
      </w:r>
      <w:r>
        <w:t>/</w:t>
      </w:r>
      <w:r w:rsidRPr="00FF0E1A">
        <w:rPr>
          <w:color w:val="000000"/>
          <w:shd w:val="clear" w:color="auto" w:fill="FFFFFF"/>
        </w:rPr>
        <w:t>10.1037/cdp0000306</w:t>
      </w:r>
    </w:p>
    <w:p w14:paraId="535008E2" w14:textId="746E7050" w:rsidR="005C550F" w:rsidRPr="005C550F" w:rsidRDefault="005C550F" w:rsidP="005F1C1C">
      <w:pPr>
        <w:spacing w:line="480" w:lineRule="auto"/>
      </w:pPr>
      <w:r w:rsidRPr="005C550F">
        <w:t>Higgins</w:t>
      </w:r>
      <w:r w:rsidR="00932390">
        <w:t>-</w:t>
      </w:r>
      <w:proofErr w:type="spellStart"/>
      <w:r w:rsidRPr="005C550F">
        <w:t>Neyland</w:t>
      </w:r>
      <w:proofErr w:type="spellEnd"/>
      <w:r w:rsidRPr="005C550F">
        <w:t>, M. K.</w:t>
      </w:r>
      <w:r w:rsidR="00C23F50">
        <w:t>,</w:t>
      </w:r>
      <w:r w:rsidRPr="005C550F">
        <w:t xml:space="preserve"> &amp; </w:t>
      </w:r>
      <w:proofErr w:type="spellStart"/>
      <w:r w:rsidRPr="005C550F">
        <w:t>Bardone</w:t>
      </w:r>
      <w:proofErr w:type="spellEnd"/>
      <w:r w:rsidRPr="005C550F">
        <w:t>-Cone,</w:t>
      </w:r>
      <w:r w:rsidR="000A4BF1">
        <w:t xml:space="preserve"> </w:t>
      </w:r>
      <w:r w:rsidRPr="005C550F">
        <w:t xml:space="preserve">A. M. (2017). Tests of escape theory of binge </w:t>
      </w:r>
      <w:r w:rsidR="007663B8">
        <w:tab/>
      </w:r>
      <w:r w:rsidRPr="005C550F">
        <w:t xml:space="preserve">eating </w:t>
      </w:r>
      <w:r w:rsidR="0086293A" w:rsidRPr="00F508C3">
        <w:tab/>
      </w:r>
      <w:r w:rsidRPr="005C550F">
        <w:t xml:space="preserve">among Latinas. </w:t>
      </w:r>
      <w:r w:rsidRPr="005C550F">
        <w:rPr>
          <w:i/>
          <w:iCs/>
        </w:rPr>
        <w:t>Cultural Diversity and Ethnic Minority Psychology</w:t>
      </w:r>
      <w:r w:rsidRPr="005C550F">
        <w:t xml:space="preserve">, </w:t>
      </w:r>
      <w:r w:rsidRPr="005C550F">
        <w:rPr>
          <w:i/>
          <w:iCs/>
        </w:rPr>
        <w:t>23</w:t>
      </w:r>
      <w:r w:rsidRPr="005C550F">
        <w:t>(3), 373–</w:t>
      </w:r>
      <w:r w:rsidR="007663B8">
        <w:tab/>
      </w:r>
      <w:r w:rsidRPr="005C550F">
        <w:t>381.</w:t>
      </w:r>
      <w:r w:rsidR="007663B8">
        <w:t xml:space="preserve"> </w:t>
      </w:r>
      <w:r w:rsidR="00F70451" w:rsidRPr="00F70451">
        <w:t>https://doi.org</w:t>
      </w:r>
      <w:r w:rsidR="00F70451">
        <w:t>/</w:t>
      </w:r>
      <w:r w:rsidRPr="005C550F">
        <w:t>10.1037/cdp0000130</w:t>
      </w:r>
    </w:p>
    <w:p w14:paraId="4071990C" w14:textId="16387B25" w:rsidR="005C550F" w:rsidRPr="005C550F" w:rsidRDefault="005C550F" w:rsidP="005F1C1C">
      <w:pPr>
        <w:spacing w:line="480" w:lineRule="auto"/>
      </w:pPr>
      <w:r w:rsidRPr="005C550F">
        <w:t xml:space="preserve">Huynh, Q.-L., Devos, T., &amp; Dunbar, C. M. (2012). The psychological costs of painless but </w:t>
      </w:r>
      <w:r w:rsidR="0086293A" w:rsidRPr="00F508C3">
        <w:tab/>
      </w:r>
      <w:r w:rsidRPr="005C550F">
        <w:t xml:space="preserve">recurring experiences of racial discrimination. </w:t>
      </w:r>
      <w:r w:rsidRPr="005C550F">
        <w:rPr>
          <w:i/>
          <w:iCs/>
        </w:rPr>
        <w:t xml:space="preserve">Cultural Diversity and Ethnic Minority </w:t>
      </w:r>
      <w:r w:rsidR="0086293A" w:rsidRPr="00F508C3">
        <w:rPr>
          <w:i/>
          <w:iCs/>
        </w:rPr>
        <w:tab/>
      </w:r>
      <w:r w:rsidRPr="005C550F">
        <w:rPr>
          <w:i/>
          <w:iCs/>
        </w:rPr>
        <w:t>Psychology</w:t>
      </w:r>
      <w:r w:rsidRPr="005C550F">
        <w:t xml:space="preserve">, </w:t>
      </w:r>
      <w:r w:rsidRPr="005C550F">
        <w:rPr>
          <w:i/>
          <w:iCs/>
        </w:rPr>
        <w:t>18</w:t>
      </w:r>
      <w:r w:rsidRPr="005C550F">
        <w:t xml:space="preserve">(1), 26–34. </w:t>
      </w:r>
      <w:r w:rsidR="00F70451" w:rsidRPr="00F70451">
        <w:t>https://doi.org</w:t>
      </w:r>
      <w:r w:rsidR="00F70451">
        <w:t>/</w:t>
      </w:r>
      <w:r w:rsidRPr="005C550F">
        <w:t>10.1037/a0026601</w:t>
      </w:r>
    </w:p>
    <w:p w14:paraId="0E75F48C" w14:textId="271DD73D" w:rsidR="00FB4FB8" w:rsidRPr="003F3EB9" w:rsidRDefault="00FB4FB8" w:rsidP="005F1C1C">
      <w:pPr>
        <w:spacing w:line="480" w:lineRule="auto"/>
      </w:pPr>
      <w:proofErr w:type="spellStart"/>
      <w:r w:rsidRPr="003F3EB9">
        <w:t>Jastreboff</w:t>
      </w:r>
      <w:proofErr w:type="spellEnd"/>
      <w:r w:rsidRPr="003F3EB9">
        <w:t xml:space="preserve">, A. M., </w:t>
      </w:r>
      <w:proofErr w:type="spellStart"/>
      <w:r w:rsidRPr="003F3EB9">
        <w:t>Kotz</w:t>
      </w:r>
      <w:proofErr w:type="spellEnd"/>
      <w:r w:rsidRPr="003F3EB9">
        <w:t xml:space="preserve">, C. M., Kahan, S., Kelly, A. S., </w:t>
      </w:r>
      <w:r w:rsidR="00C23F50" w:rsidRPr="003F3EB9">
        <w:t>&amp;</w:t>
      </w:r>
      <w:r w:rsidRPr="003F3EB9">
        <w:t xml:space="preserve"> </w:t>
      </w:r>
      <w:proofErr w:type="spellStart"/>
      <w:r w:rsidRPr="003F3EB9">
        <w:t>Heymsfield</w:t>
      </w:r>
      <w:proofErr w:type="spellEnd"/>
      <w:r w:rsidRPr="003F3EB9">
        <w:t>, S. B. (2018).</w:t>
      </w:r>
      <w:r w:rsidR="005F1C1C" w:rsidRPr="003F3EB9">
        <w:t xml:space="preserve"> </w:t>
      </w:r>
      <w:r w:rsidRPr="003F3EB9">
        <w:tab/>
        <w:t xml:space="preserve">Obesity as a disease: The Obesity Society 2018 position statement. </w:t>
      </w:r>
      <w:r w:rsidRPr="003F3EB9">
        <w:rPr>
          <w:i/>
        </w:rPr>
        <w:t xml:space="preserve">Obesity: A </w:t>
      </w:r>
      <w:r w:rsidRPr="003F3EB9">
        <w:rPr>
          <w:i/>
        </w:rPr>
        <w:tab/>
        <w:t>Research Journal, 27</w:t>
      </w:r>
      <w:r w:rsidRPr="003F3EB9">
        <w:t xml:space="preserve">(1), 7–9. </w:t>
      </w:r>
      <w:r w:rsidR="007663B8" w:rsidRPr="003F3EB9">
        <w:t>https://doi.org/</w:t>
      </w:r>
      <w:r w:rsidRPr="003F3EB9">
        <w:t>10.1002/oby.22378</w:t>
      </w:r>
    </w:p>
    <w:p w14:paraId="61093E1E" w14:textId="2A20F627" w:rsidR="005C550F" w:rsidRPr="005C550F" w:rsidRDefault="005C550F" w:rsidP="005F1C1C">
      <w:pPr>
        <w:spacing w:line="480" w:lineRule="auto"/>
      </w:pPr>
      <w:r w:rsidRPr="005C550F">
        <w:t xml:space="preserve">Jones, M. L. &amp; </w:t>
      </w:r>
      <w:proofErr w:type="spellStart"/>
      <w:r w:rsidRPr="005C550F">
        <w:t>Galli</w:t>
      </w:r>
      <w:r w:rsidR="003F3EB9">
        <w:t>g</w:t>
      </w:r>
      <w:r w:rsidRPr="005C550F">
        <w:t>her</w:t>
      </w:r>
      <w:proofErr w:type="spellEnd"/>
      <w:r w:rsidRPr="005C550F">
        <w:t xml:space="preserve">, R. V. (2015). Daily racial microaggressions and ethnic identification </w:t>
      </w:r>
      <w:r w:rsidR="0086293A" w:rsidRPr="00F508C3">
        <w:tab/>
      </w:r>
      <w:r w:rsidRPr="005C550F">
        <w:t xml:space="preserve">among Native American young adults. </w:t>
      </w:r>
      <w:r w:rsidRPr="005C550F">
        <w:rPr>
          <w:i/>
          <w:iCs/>
        </w:rPr>
        <w:t xml:space="preserve">Cultural Diversity and Ethnic Minority </w:t>
      </w:r>
      <w:r w:rsidR="0086293A" w:rsidRPr="00F508C3">
        <w:rPr>
          <w:i/>
          <w:iCs/>
        </w:rPr>
        <w:tab/>
      </w:r>
      <w:r w:rsidRPr="005C550F">
        <w:rPr>
          <w:i/>
          <w:iCs/>
        </w:rPr>
        <w:t>Psychology</w:t>
      </w:r>
      <w:r w:rsidRPr="005C550F">
        <w:t xml:space="preserve">, </w:t>
      </w:r>
      <w:r w:rsidRPr="005C550F">
        <w:rPr>
          <w:i/>
          <w:iCs/>
        </w:rPr>
        <w:t>21</w:t>
      </w:r>
      <w:r w:rsidRPr="005C550F">
        <w:t xml:space="preserve">(1), 1–9. </w:t>
      </w:r>
      <w:r w:rsidR="00F70451" w:rsidRPr="00F70451">
        <w:t>https://doi.org</w:t>
      </w:r>
      <w:r w:rsidR="00F70451">
        <w:t>/</w:t>
      </w:r>
      <w:r w:rsidRPr="005C550F">
        <w:t>10.1037/a0037537</w:t>
      </w:r>
    </w:p>
    <w:p w14:paraId="3AA10028" w14:textId="7DE5A709" w:rsidR="005C550F" w:rsidRPr="005C550F" w:rsidRDefault="005C550F" w:rsidP="005F1C1C">
      <w:pPr>
        <w:spacing w:line="480" w:lineRule="auto"/>
      </w:pPr>
      <w:proofErr w:type="spellStart"/>
      <w:r w:rsidRPr="005C550F">
        <w:t>Kaduvettoor</w:t>
      </w:r>
      <w:proofErr w:type="spellEnd"/>
      <w:r w:rsidRPr="005C550F">
        <w:t>-Davidson, A.</w:t>
      </w:r>
      <w:r w:rsidR="00C23F50">
        <w:t>,</w:t>
      </w:r>
      <w:r w:rsidRPr="005C550F">
        <w:t xml:space="preserve"> &amp; Inman, A. G. (2013). South Asian Americans: Perceived </w:t>
      </w:r>
      <w:r w:rsidR="0086293A" w:rsidRPr="00F508C3">
        <w:tab/>
      </w:r>
      <w:r w:rsidRPr="005C550F">
        <w:t xml:space="preserve">discrimination, stress, and well-being. </w:t>
      </w:r>
      <w:r w:rsidRPr="005C550F">
        <w:rPr>
          <w:i/>
          <w:iCs/>
        </w:rPr>
        <w:t>Asian American Journal of Psychology</w:t>
      </w:r>
      <w:r w:rsidRPr="005C550F">
        <w:t xml:space="preserve">, </w:t>
      </w:r>
      <w:r w:rsidRPr="005C550F">
        <w:rPr>
          <w:i/>
          <w:iCs/>
        </w:rPr>
        <w:t>4</w:t>
      </w:r>
      <w:r w:rsidRPr="005C550F">
        <w:t>(3), 155–</w:t>
      </w:r>
      <w:r w:rsidR="0086293A" w:rsidRPr="00F508C3">
        <w:tab/>
      </w:r>
      <w:r w:rsidRPr="005C550F">
        <w:t xml:space="preserve">165. </w:t>
      </w:r>
      <w:r w:rsidR="00F70451" w:rsidRPr="00F70451">
        <w:t>https://doi.org</w:t>
      </w:r>
      <w:r w:rsidR="00F70451">
        <w:t>/</w:t>
      </w:r>
      <w:r w:rsidRPr="005C550F">
        <w:t>10.1037/a0030634</w:t>
      </w:r>
    </w:p>
    <w:p w14:paraId="4D8FD0A7" w14:textId="168055CA" w:rsidR="005C550F" w:rsidRPr="005C550F" w:rsidRDefault="005C550F" w:rsidP="005F1C1C">
      <w:pPr>
        <w:spacing w:line="480" w:lineRule="auto"/>
      </w:pPr>
      <w:r w:rsidRPr="005C550F">
        <w:lastRenderedPageBreak/>
        <w:t xml:space="preserve">Kelly, N. R., Cotter, E. W., </w:t>
      </w:r>
      <w:proofErr w:type="spellStart"/>
      <w:r w:rsidRPr="005C550F">
        <w:t>Tanofsky-Kraff</w:t>
      </w:r>
      <w:proofErr w:type="spellEnd"/>
      <w:r w:rsidRPr="005C550F">
        <w:t xml:space="preserve">, M., &amp; </w:t>
      </w:r>
      <w:proofErr w:type="spellStart"/>
      <w:r w:rsidRPr="005C550F">
        <w:t>Mazzeo</w:t>
      </w:r>
      <w:proofErr w:type="spellEnd"/>
      <w:r w:rsidRPr="005C550F">
        <w:t xml:space="preserve">, S. E. (2015). Racial variations in </w:t>
      </w:r>
      <w:r w:rsidR="0086293A" w:rsidRPr="00F508C3">
        <w:tab/>
      </w:r>
      <w:r w:rsidRPr="005C550F">
        <w:t xml:space="preserve">binge eating, body image concerns, and compulsive exercise among men. </w:t>
      </w:r>
      <w:r w:rsidRPr="005C550F">
        <w:rPr>
          <w:i/>
          <w:iCs/>
        </w:rPr>
        <w:t xml:space="preserve">Psychology of </w:t>
      </w:r>
      <w:r w:rsidR="0086293A" w:rsidRPr="00F508C3">
        <w:rPr>
          <w:i/>
          <w:iCs/>
        </w:rPr>
        <w:tab/>
      </w:r>
      <w:r w:rsidRPr="005C550F">
        <w:rPr>
          <w:i/>
          <w:iCs/>
        </w:rPr>
        <w:t>Men &amp; Masculinities</w:t>
      </w:r>
      <w:r w:rsidRPr="005C550F">
        <w:t xml:space="preserve">, </w:t>
      </w:r>
      <w:r w:rsidRPr="005C550F">
        <w:rPr>
          <w:i/>
          <w:iCs/>
        </w:rPr>
        <w:t>16</w:t>
      </w:r>
      <w:r w:rsidRPr="005C550F">
        <w:t xml:space="preserve">(3), 326–336. </w:t>
      </w:r>
      <w:r w:rsidR="00F70451" w:rsidRPr="00F70451">
        <w:t>https://doi.org</w:t>
      </w:r>
      <w:r w:rsidR="00F70451">
        <w:t>/</w:t>
      </w:r>
      <w:r w:rsidRPr="005C550F">
        <w:t>10.1037/a0037585</w:t>
      </w:r>
    </w:p>
    <w:p w14:paraId="37A7D0B8" w14:textId="6330DA14" w:rsidR="0035459B" w:rsidRPr="00F508C3" w:rsidRDefault="0035459B" w:rsidP="005F1C1C">
      <w:pPr>
        <w:spacing w:line="480" w:lineRule="auto"/>
      </w:pPr>
      <w:r w:rsidRPr="00F508C3">
        <w:t xml:space="preserve">Kemps, E., </w:t>
      </w:r>
      <w:proofErr w:type="spellStart"/>
      <w:r w:rsidRPr="00F508C3">
        <w:t>Triggermann</w:t>
      </w:r>
      <w:proofErr w:type="spellEnd"/>
      <w:r w:rsidRPr="00F508C3">
        <w:t xml:space="preserve">, M., &amp; </w:t>
      </w:r>
      <w:proofErr w:type="spellStart"/>
      <w:r w:rsidRPr="00F508C3">
        <w:t>Hollit</w:t>
      </w:r>
      <w:proofErr w:type="spellEnd"/>
      <w:r w:rsidRPr="00F508C3">
        <w:t xml:space="preserve">, S. (2014). Biased attentional processing of food cues and </w:t>
      </w:r>
      <w:r w:rsidRPr="00F508C3">
        <w:tab/>
        <w:t xml:space="preserve">modification in obese individuals. </w:t>
      </w:r>
      <w:r w:rsidRPr="00F508C3">
        <w:rPr>
          <w:i/>
        </w:rPr>
        <w:t>Health Psychology, 33</w:t>
      </w:r>
      <w:r w:rsidRPr="00F508C3">
        <w:t xml:space="preserve">(11), 1391–1401. </w:t>
      </w:r>
      <w:r w:rsidR="00F70451">
        <w:tab/>
      </w:r>
      <w:r w:rsidR="00F70451" w:rsidRPr="00F70451">
        <w:t>https://doi.org</w:t>
      </w:r>
      <w:r w:rsidR="00F70451">
        <w:t>/</w:t>
      </w:r>
      <w:r w:rsidRPr="00F508C3">
        <w:rPr>
          <w:color w:val="3A3A3A"/>
          <w:shd w:val="clear" w:color="auto" w:fill="FFFFFF"/>
        </w:rPr>
        <w:tab/>
      </w:r>
      <w:r w:rsidRPr="00F508C3">
        <w:t>10.1037/hea0000069</w:t>
      </w:r>
    </w:p>
    <w:p w14:paraId="21447382" w14:textId="6D5E785B" w:rsidR="005C550F" w:rsidRPr="005C550F" w:rsidRDefault="005C550F" w:rsidP="005F1C1C">
      <w:pPr>
        <w:spacing w:line="480" w:lineRule="auto"/>
      </w:pPr>
      <w:r w:rsidRPr="005C550F">
        <w:t xml:space="preserve">Kim, K. H., </w:t>
      </w:r>
      <w:proofErr w:type="spellStart"/>
      <w:r w:rsidRPr="005C550F">
        <w:t>Bursac</w:t>
      </w:r>
      <w:proofErr w:type="spellEnd"/>
      <w:r w:rsidRPr="005C550F">
        <w:t xml:space="preserve">, Z., </w:t>
      </w:r>
      <w:proofErr w:type="spellStart"/>
      <w:r w:rsidRPr="005C550F">
        <w:t>DiLillo</w:t>
      </w:r>
      <w:proofErr w:type="spellEnd"/>
      <w:r w:rsidRPr="005C550F">
        <w:t xml:space="preserve">, V., White, D. B., &amp; West, D. S. (2009). Stress, race, and body </w:t>
      </w:r>
      <w:r w:rsidR="0086293A" w:rsidRPr="00F508C3">
        <w:tab/>
      </w:r>
      <w:r w:rsidRPr="005C550F">
        <w:t xml:space="preserve">weight. </w:t>
      </w:r>
      <w:r w:rsidRPr="005C550F">
        <w:rPr>
          <w:i/>
          <w:iCs/>
        </w:rPr>
        <w:t>Health Psychology</w:t>
      </w:r>
      <w:r w:rsidRPr="005C550F">
        <w:t xml:space="preserve">, </w:t>
      </w:r>
      <w:r w:rsidRPr="005C550F">
        <w:rPr>
          <w:i/>
          <w:iCs/>
        </w:rPr>
        <w:t>28</w:t>
      </w:r>
      <w:r w:rsidRPr="005C550F">
        <w:t xml:space="preserve">(1), 131–135. </w:t>
      </w:r>
      <w:r w:rsidR="00F70451" w:rsidRPr="00F70451">
        <w:t>https://doi.org</w:t>
      </w:r>
      <w:r w:rsidR="00F70451">
        <w:t>/1</w:t>
      </w:r>
      <w:r w:rsidRPr="005C550F">
        <w:t>0.1037/a0012648</w:t>
      </w:r>
    </w:p>
    <w:p w14:paraId="5A0FF7B9" w14:textId="4451A67D" w:rsidR="005C550F" w:rsidRPr="005C550F" w:rsidRDefault="005C550F" w:rsidP="005F1C1C">
      <w:pPr>
        <w:spacing w:line="480" w:lineRule="auto"/>
      </w:pPr>
      <w:proofErr w:type="spellStart"/>
      <w:r w:rsidRPr="005C550F">
        <w:t>Kistenmacher</w:t>
      </w:r>
      <w:proofErr w:type="spellEnd"/>
      <w:r w:rsidRPr="005C550F">
        <w:t xml:space="preserve">, A., </w:t>
      </w:r>
      <w:proofErr w:type="spellStart"/>
      <w:r w:rsidRPr="005C550F">
        <w:t>Goetsch</w:t>
      </w:r>
      <w:proofErr w:type="spellEnd"/>
      <w:r w:rsidRPr="005C550F">
        <w:t xml:space="preserve">, J., Ullmann, D., </w:t>
      </w:r>
      <w:proofErr w:type="spellStart"/>
      <w:r w:rsidRPr="005C550F">
        <w:t>Wardzinski</w:t>
      </w:r>
      <w:proofErr w:type="spellEnd"/>
      <w:r w:rsidRPr="005C550F">
        <w:t xml:space="preserve">, E. K., </w:t>
      </w:r>
      <w:proofErr w:type="spellStart"/>
      <w:r w:rsidRPr="005C550F">
        <w:t>Melchert</w:t>
      </w:r>
      <w:proofErr w:type="spellEnd"/>
      <w:r w:rsidRPr="005C550F">
        <w:t xml:space="preserve">, U. H., </w:t>
      </w:r>
      <w:proofErr w:type="spellStart"/>
      <w:r w:rsidRPr="005C550F">
        <w:t>Jauch</w:t>
      </w:r>
      <w:proofErr w:type="spellEnd"/>
      <w:r w:rsidRPr="005C550F">
        <w:t xml:space="preserve">-Chara, </w:t>
      </w:r>
      <w:r w:rsidR="0086293A" w:rsidRPr="00F508C3">
        <w:tab/>
      </w:r>
      <w:r w:rsidRPr="005C550F">
        <w:t xml:space="preserve">K., &amp; </w:t>
      </w:r>
      <w:proofErr w:type="spellStart"/>
      <w:r w:rsidRPr="005C550F">
        <w:t>Oltmanns</w:t>
      </w:r>
      <w:proofErr w:type="spellEnd"/>
      <w:r w:rsidRPr="005C550F">
        <w:t xml:space="preserve">, K. M. (2018). Psychosocial stress promotes food intake and enhances </w:t>
      </w:r>
      <w:r w:rsidR="0086293A" w:rsidRPr="00F508C3">
        <w:tab/>
      </w:r>
      <w:r w:rsidRPr="005C550F">
        <w:t xml:space="preserve">the </w:t>
      </w:r>
      <w:proofErr w:type="spellStart"/>
      <w:r w:rsidRPr="005C550F">
        <w:t>neuroenergetic</w:t>
      </w:r>
      <w:proofErr w:type="spellEnd"/>
      <w:r w:rsidRPr="005C550F">
        <w:t xml:space="preserve"> level in men. </w:t>
      </w:r>
      <w:r w:rsidRPr="005C550F">
        <w:rPr>
          <w:i/>
          <w:iCs/>
        </w:rPr>
        <w:t xml:space="preserve">Stress: The International Journal on the Biology of </w:t>
      </w:r>
      <w:r w:rsidR="0086293A" w:rsidRPr="00F508C3">
        <w:rPr>
          <w:i/>
          <w:iCs/>
        </w:rPr>
        <w:tab/>
      </w:r>
      <w:r w:rsidRPr="005C550F">
        <w:rPr>
          <w:i/>
          <w:iCs/>
        </w:rPr>
        <w:t>Stress</w:t>
      </w:r>
      <w:r w:rsidRPr="005C550F">
        <w:t xml:space="preserve">, </w:t>
      </w:r>
      <w:r w:rsidR="0086293A" w:rsidRPr="00F508C3">
        <w:rPr>
          <w:i/>
          <w:iCs/>
        </w:rPr>
        <w:t>21</w:t>
      </w:r>
      <w:r w:rsidR="0086293A" w:rsidRPr="00F508C3">
        <w:t>(6), 538</w:t>
      </w:r>
      <w:r w:rsidRPr="005C550F">
        <w:t>–</w:t>
      </w:r>
      <w:r w:rsidR="0086293A" w:rsidRPr="00F508C3">
        <w:t xml:space="preserve">547. </w:t>
      </w:r>
      <w:r w:rsidR="00F70451" w:rsidRPr="00F70451">
        <w:t>https://doi.org</w:t>
      </w:r>
      <w:r w:rsidR="00F70451">
        <w:t>/</w:t>
      </w:r>
      <w:r w:rsidRPr="005C550F">
        <w:t>1080/10253890.2018.1485645</w:t>
      </w:r>
    </w:p>
    <w:p w14:paraId="7C5DE69A" w14:textId="48F50CAC" w:rsidR="00FA53C2" w:rsidRPr="00FA53C2" w:rsidRDefault="00FA53C2" w:rsidP="005F1C1C">
      <w:pPr>
        <w:spacing w:before="360" w:line="480" w:lineRule="auto"/>
        <w:contextualSpacing/>
        <w:rPr>
          <w:color w:val="000000"/>
        </w:rPr>
      </w:pPr>
      <w:r w:rsidRPr="006317E4">
        <w:rPr>
          <w:color w:val="333333"/>
          <w:shd w:val="clear" w:color="auto" w:fill="FFFFFF"/>
        </w:rPr>
        <w:t xml:space="preserve">Kline, K. N. (2007). Cultural sensitivity and health promotion: Assessing breast cancer </w:t>
      </w:r>
      <w:r w:rsidRPr="006317E4">
        <w:rPr>
          <w:color w:val="333333"/>
          <w:shd w:val="clear" w:color="auto" w:fill="FFFFFF"/>
        </w:rPr>
        <w:tab/>
        <w:t xml:space="preserve">education pamphlets designed for African American women. </w:t>
      </w:r>
      <w:r w:rsidRPr="006317E4">
        <w:rPr>
          <w:i/>
          <w:iCs/>
          <w:color w:val="333333"/>
          <w:shd w:val="clear" w:color="auto" w:fill="FFFFFF"/>
        </w:rPr>
        <w:t xml:space="preserve">Health Communication, </w:t>
      </w:r>
      <w:r w:rsidRPr="006317E4">
        <w:rPr>
          <w:i/>
          <w:iCs/>
          <w:color w:val="333333"/>
          <w:shd w:val="clear" w:color="auto" w:fill="FFFFFF"/>
        </w:rPr>
        <w:tab/>
        <w:t>21</w:t>
      </w:r>
      <w:r w:rsidRPr="006317E4">
        <w:rPr>
          <w:color w:val="333333"/>
          <w:shd w:val="clear" w:color="auto" w:fill="FFFFFF"/>
        </w:rPr>
        <w:t>(1), 85–96.</w:t>
      </w:r>
      <w:r w:rsidRPr="00FF0E1A">
        <w:rPr>
          <w:color w:val="333333"/>
          <w:shd w:val="clear" w:color="auto" w:fill="FFFFFF"/>
        </w:rPr>
        <w:t xml:space="preserve"> </w:t>
      </w:r>
      <w:r w:rsidR="006317E4" w:rsidRPr="006317E4">
        <w:rPr>
          <w:color w:val="333333"/>
          <w:shd w:val="clear" w:color="auto" w:fill="FFFFFF"/>
        </w:rPr>
        <w:t>https://doi.org/10.1353/hpu.2010.0245</w:t>
      </w:r>
    </w:p>
    <w:p w14:paraId="07A8A544" w14:textId="72311CC2" w:rsidR="0035459B" w:rsidRPr="00F508C3" w:rsidRDefault="0035459B" w:rsidP="005F1C1C">
      <w:pPr>
        <w:spacing w:line="480" w:lineRule="auto"/>
      </w:pPr>
      <w:r w:rsidRPr="00F508C3">
        <w:t xml:space="preserve">Kogan, S. M., Yu, T., Allen, K. A., </w:t>
      </w:r>
      <w:r w:rsidR="003005EA">
        <w:t xml:space="preserve">&amp; </w:t>
      </w:r>
      <w:r w:rsidRPr="00F508C3">
        <w:t xml:space="preserve">Brody, G. H. (2014). Racial </w:t>
      </w:r>
      <w:proofErr w:type="spellStart"/>
      <w:r w:rsidRPr="00F508C3">
        <w:t>microstressors</w:t>
      </w:r>
      <w:proofErr w:type="spellEnd"/>
      <w:r w:rsidRPr="00F508C3">
        <w:t>, racial self-</w:t>
      </w:r>
      <w:r w:rsidRPr="00F508C3">
        <w:tab/>
        <w:t xml:space="preserve">concept, and depressive symptoms among male </w:t>
      </w:r>
      <w:r w:rsidR="005F1C1C">
        <w:t>African Americans</w:t>
      </w:r>
      <w:r w:rsidRPr="00F508C3">
        <w:t xml:space="preserve"> during the transition </w:t>
      </w:r>
      <w:r w:rsidRPr="00F508C3">
        <w:tab/>
        <w:t xml:space="preserve">to adulthood. </w:t>
      </w:r>
      <w:r w:rsidRPr="00F508C3">
        <w:rPr>
          <w:i/>
        </w:rPr>
        <w:t>Journal of Youth and Adolescence, 44</w:t>
      </w:r>
      <w:r w:rsidRPr="00F508C3">
        <w:t xml:space="preserve">, 898–909. </w:t>
      </w:r>
      <w:r w:rsidR="00F70451">
        <w:tab/>
      </w:r>
      <w:r w:rsidR="00F70451" w:rsidRPr="00F70451">
        <w:t>https://doi.org</w:t>
      </w:r>
      <w:r w:rsidR="00F70451">
        <w:t>/</w:t>
      </w:r>
      <w:r w:rsidRPr="00F508C3">
        <w:t>10.1007/s10964-014-0199-3</w:t>
      </w:r>
    </w:p>
    <w:p w14:paraId="319F6892" w14:textId="3520BF92" w:rsidR="005C550F" w:rsidRPr="005C550F" w:rsidRDefault="005C550F" w:rsidP="005F1C1C">
      <w:pPr>
        <w:spacing w:line="480" w:lineRule="auto"/>
      </w:pPr>
      <w:r w:rsidRPr="005C550F">
        <w:t xml:space="preserve">Kumanyika, S., Taylor, W. C., Grier, S. A., Lassiter, V., Lancaster, K. J., </w:t>
      </w:r>
      <w:proofErr w:type="spellStart"/>
      <w:r w:rsidRPr="005C550F">
        <w:t>Morssink</w:t>
      </w:r>
      <w:proofErr w:type="spellEnd"/>
      <w:r w:rsidRPr="005C550F">
        <w:t xml:space="preserve">, C. B., &amp; </w:t>
      </w:r>
      <w:r w:rsidR="0086293A" w:rsidRPr="00F508C3">
        <w:tab/>
      </w:r>
      <w:proofErr w:type="spellStart"/>
      <w:r w:rsidRPr="005C550F">
        <w:t>Renzaho</w:t>
      </w:r>
      <w:proofErr w:type="spellEnd"/>
      <w:r w:rsidRPr="005C550F">
        <w:t xml:space="preserve">, A. M. N. (2012). Community energy balance: A framework for contextualizing </w:t>
      </w:r>
      <w:r w:rsidR="0086293A" w:rsidRPr="00F508C3">
        <w:tab/>
      </w:r>
      <w:r w:rsidRPr="005C550F">
        <w:t xml:space="preserve">cultural influences on high risk of obesity in ethnic minority populations. </w:t>
      </w:r>
      <w:r w:rsidRPr="005C550F">
        <w:rPr>
          <w:i/>
          <w:iCs/>
        </w:rPr>
        <w:t xml:space="preserve">Preventive </w:t>
      </w:r>
      <w:r w:rsidR="0086293A" w:rsidRPr="00F508C3">
        <w:rPr>
          <w:i/>
          <w:iCs/>
        </w:rPr>
        <w:lastRenderedPageBreak/>
        <w:tab/>
      </w:r>
      <w:r w:rsidRPr="005C550F">
        <w:rPr>
          <w:i/>
          <w:iCs/>
        </w:rPr>
        <w:t>Medicine: An International Journal Devoted to Practice and Theory</w:t>
      </w:r>
      <w:r w:rsidRPr="005C550F">
        <w:t xml:space="preserve">, </w:t>
      </w:r>
      <w:r w:rsidRPr="005C550F">
        <w:rPr>
          <w:i/>
          <w:iCs/>
        </w:rPr>
        <w:t>55</w:t>
      </w:r>
      <w:r w:rsidRPr="005C550F">
        <w:t xml:space="preserve">(5), 371–381. </w:t>
      </w:r>
      <w:r w:rsidR="0086293A" w:rsidRPr="00F508C3">
        <w:tab/>
      </w:r>
      <w:r w:rsidR="00F70451" w:rsidRPr="00F70451">
        <w:t>https://doi.org</w:t>
      </w:r>
      <w:r w:rsidR="00F70451">
        <w:t>/</w:t>
      </w:r>
      <w:r w:rsidRPr="005C550F">
        <w:t>10.1016/j.ypmed.2012.07.002</w:t>
      </w:r>
    </w:p>
    <w:p w14:paraId="3C0EFB96" w14:textId="77777777" w:rsidR="007663B8" w:rsidRPr="00F508C3" w:rsidRDefault="007663B8" w:rsidP="007663B8">
      <w:pPr>
        <w:spacing w:after="240" w:line="480" w:lineRule="auto"/>
        <w:contextualSpacing/>
      </w:pPr>
      <w:proofErr w:type="spellStart"/>
      <w:r w:rsidRPr="00F508C3">
        <w:t>Landrine</w:t>
      </w:r>
      <w:proofErr w:type="spellEnd"/>
      <w:r w:rsidRPr="00F508C3">
        <w:t xml:space="preserve">, H., &amp; </w:t>
      </w:r>
      <w:proofErr w:type="spellStart"/>
      <w:r w:rsidRPr="00F508C3">
        <w:t>Klonoff</w:t>
      </w:r>
      <w:proofErr w:type="spellEnd"/>
      <w:r w:rsidRPr="00F508C3">
        <w:t xml:space="preserve">, E. A. (1996). The schedule of racist events: A measure of racial </w:t>
      </w:r>
      <w:r w:rsidRPr="00F508C3">
        <w:tab/>
        <w:t xml:space="preserve">discrimination and a study of its negative physical and mental health consequences. </w:t>
      </w:r>
      <w:r w:rsidRPr="00F508C3">
        <w:tab/>
      </w:r>
      <w:r w:rsidRPr="00F508C3">
        <w:rPr>
          <w:i/>
          <w:iCs/>
        </w:rPr>
        <w:t>Journal of Black Psychology</w:t>
      </w:r>
      <w:r w:rsidRPr="00F508C3">
        <w:t xml:space="preserve">, </w:t>
      </w:r>
      <w:r w:rsidRPr="00F508C3">
        <w:rPr>
          <w:i/>
          <w:iCs/>
        </w:rPr>
        <w:t>22</w:t>
      </w:r>
      <w:r w:rsidRPr="00F508C3">
        <w:t xml:space="preserve">(2), 144–168. </w:t>
      </w:r>
      <w:r>
        <w:tab/>
      </w:r>
      <w:r w:rsidRPr="00F70451">
        <w:t>https://doi.org</w:t>
      </w:r>
      <w:r>
        <w:t>/</w:t>
      </w:r>
      <w:r w:rsidRPr="00F508C3">
        <w:t>10.1177/00957984960222002</w:t>
      </w:r>
    </w:p>
    <w:p w14:paraId="4F627A10" w14:textId="39D243DF" w:rsidR="00FA53C2" w:rsidRDefault="00FA53C2" w:rsidP="005F1C1C">
      <w:pPr>
        <w:spacing w:after="240" w:line="480" w:lineRule="auto"/>
        <w:contextualSpacing/>
      </w:pPr>
      <w:r w:rsidRPr="00F508C3">
        <w:t xml:space="preserve">Lang, D. L. (2001). </w:t>
      </w:r>
      <w:r w:rsidRPr="00CF47A3">
        <w:t xml:space="preserve">The schedule of racist events - Generic: A measure of perceived racism </w:t>
      </w:r>
      <w:r w:rsidRPr="00CF47A3">
        <w:tab/>
        <w:t>across ethnic groups</w:t>
      </w:r>
      <w:r w:rsidRPr="00F508C3">
        <w:t xml:space="preserve"> (</w:t>
      </w:r>
      <w:r>
        <w:t xml:space="preserve">Publication No. </w:t>
      </w:r>
      <w:r w:rsidRPr="00F508C3">
        <w:t>AAI9997495</w:t>
      </w:r>
      <w:r>
        <w:t>) [</w:t>
      </w:r>
      <w:r w:rsidRPr="00F508C3">
        <w:t>Doctoral dissertatio</w:t>
      </w:r>
      <w:r>
        <w:t xml:space="preserve">n, Loma Linda </w:t>
      </w:r>
      <w:r>
        <w:tab/>
        <w:t>University]</w:t>
      </w:r>
      <w:r w:rsidRPr="00F508C3">
        <w:t xml:space="preserve">.ProQuest Information &amp; Learning. </w:t>
      </w:r>
    </w:p>
    <w:p w14:paraId="4B7B8640" w14:textId="311BC21B" w:rsidR="005C550F" w:rsidRPr="005C550F" w:rsidRDefault="005C550F" w:rsidP="005F1C1C">
      <w:pPr>
        <w:spacing w:line="480" w:lineRule="auto"/>
      </w:pPr>
      <w:proofErr w:type="spellStart"/>
      <w:r w:rsidRPr="005C550F">
        <w:t>Laraia</w:t>
      </w:r>
      <w:proofErr w:type="spellEnd"/>
      <w:r w:rsidRPr="005C550F">
        <w:t>, B. A., Adler, N. E., Coleman-</w:t>
      </w:r>
      <w:proofErr w:type="spellStart"/>
      <w:r w:rsidRPr="005C550F">
        <w:t>Phox</w:t>
      </w:r>
      <w:proofErr w:type="spellEnd"/>
      <w:r w:rsidRPr="005C550F">
        <w:t xml:space="preserve">, K., </w:t>
      </w:r>
      <w:proofErr w:type="spellStart"/>
      <w:r w:rsidRPr="005C550F">
        <w:t>Vieten</w:t>
      </w:r>
      <w:proofErr w:type="spellEnd"/>
      <w:r w:rsidRPr="005C550F">
        <w:t xml:space="preserve">, C., </w:t>
      </w:r>
      <w:proofErr w:type="spellStart"/>
      <w:r w:rsidRPr="005C550F">
        <w:t>Mellin</w:t>
      </w:r>
      <w:proofErr w:type="spellEnd"/>
      <w:r w:rsidRPr="005C550F">
        <w:t xml:space="preserve">, L., </w:t>
      </w:r>
      <w:proofErr w:type="spellStart"/>
      <w:r w:rsidRPr="005C550F">
        <w:t>Kristeller</w:t>
      </w:r>
      <w:proofErr w:type="spellEnd"/>
      <w:r w:rsidRPr="005C550F">
        <w:t xml:space="preserve">, J. L., Thomas, </w:t>
      </w:r>
      <w:r w:rsidR="00C1230B" w:rsidRPr="00F508C3">
        <w:tab/>
      </w:r>
      <w:r w:rsidRPr="005C550F">
        <w:t xml:space="preserve">M., </w:t>
      </w:r>
      <w:proofErr w:type="spellStart"/>
      <w:r w:rsidRPr="005C550F">
        <w:t>Stotland</w:t>
      </w:r>
      <w:proofErr w:type="spellEnd"/>
      <w:r w:rsidRPr="005C550F">
        <w:t xml:space="preserve">, N. E., Lustig, R. H., </w:t>
      </w:r>
      <w:proofErr w:type="spellStart"/>
      <w:r w:rsidRPr="005C550F">
        <w:t>Dallman</w:t>
      </w:r>
      <w:proofErr w:type="spellEnd"/>
      <w:r w:rsidRPr="005C550F">
        <w:t xml:space="preserve">, M. F., Hecht, F. M., Bush, N. R., de Groat, </w:t>
      </w:r>
      <w:r w:rsidR="00C1230B" w:rsidRPr="00F508C3">
        <w:tab/>
      </w:r>
      <w:r w:rsidRPr="005C550F">
        <w:t xml:space="preserve">C. L., &amp; </w:t>
      </w:r>
      <w:proofErr w:type="spellStart"/>
      <w:r w:rsidRPr="005C550F">
        <w:t>Epel</w:t>
      </w:r>
      <w:proofErr w:type="spellEnd"/>
      <w:r w:rsidRPr="005C550F">
        <w:t xml:space="preserve">, E. (2018). Novel </w:t>
      </w:r>
      <w:r w:rsidR="00C1230B" w:rsidRPr="00F508C3">
        <w:t>i</w:t>
      </w:r>
      <w:r w:rsidRPr="005C550F">
        <w:t xml:space="preserve">nterventions to </w:t>
      </w:r>
      <w:r w:rsidR="00C1230B" w:rsidRPr="00F508C3">
        <w:t>r</w:t>
      </w:r>
      <w:r w:rsidRPr="005C550F">
        <w:t xml:space="preserve">educe </w:t>
      </w:r>
      <w:r w:rsidR="00C1230B" w:rsidRPr="00F508C3">
        <w:t>s</w:t>
      </w:r>
      <w:r w:rsidRPr="005C550F">
        <w:t xml:space="preserve">tress and </w:t>
      </w:r>
      <w:r w:rsidR="00C1230B" w:rsidRPr="00F508C3">
        <w:t>o</w:t>
      </w:r>
      <w:r w:rsidRPr="005C550F">
        <w:t xml:space="preserve">vereating in </w:t>
      </w:r>
      <w:r w:rsidR="00C1230B" w:rsidRPr="00F508C3">
        <w:tab/>
        <w:t>o</w:t>
      </w:r>
      <w:r w:rsidRPr="005C550F">
        <w:t xml:space="preserve">verweight </w:t>
      </w:r>
      <w:r w:rsidR="00C1230B" w:rsidRPr="00F508C3">
        <w:t>p</w:t>
      </w:r>
      <w:r w:rsidRPr="005C550F">
        <w:t xml:space="preserve">regnant </w:t>
      </w:r>
      <w:r w:rsidR="00C1230B" w:rsidRPr="00F508C3">
        <w:t>w</w:t>
      </w:r>
      <w:r w:rsidRPr="005C550F">
        <w:t xml:space="preserve">omen: A </w:t>
      </w:r>
      <w:r w:rsidR="00C1230B" w:rsidRPr="00F508C3">
        <w:t>f</w:t>
      </w:r>
      <w:r w:rsidRPr="005C550F">
        <w:t xml:space="preserve">easibility </w:t>
      </w:r>
      <w:r w:rsidR="00C1230B" w:rsidRPr="00F508C3">
        <w:t>s</w:t>
      </w:r>
      <w:r w:rsidRPr="005C550F">
        <w:t xml:space="preserve">tudy. </w:t>
      </w:r>
      <w:r w:rsidRPr="005C550F">
        <w:rPr>
          <w:i/>
          <w:iCs/>
        </w:rPr>
        <w:t>Maternal &amp; Child Health Journal</w:t>
      </w:r>
      <w:r w:rsidRPr="005C550F">
        <w:t xml:space="preserve">, </w:t>
      </w:r>
      <w:r w:rsidR="00C1230B" w:rsidRPr="00F508C3">
        <w:tab/>
      </w:r>
      <w:r w:rsidRPr="005C550F">
        <w:rPr>
          <w:i/>
          <w:iCs/>
        </w:rPr>
        <w:t>22</w:t>
      </w:r>
      <w:r w:rsidRPr="005C550F">
        <w:t xml:space="preserve">(5), 670–678. </w:t>
      </w:r>
      <w:r w:rsidR="00F70451" w:rsidRPr="00F70451">
        <w:t>https://doi.org</w:t>
      </w:r>
      <w:r w:rsidR="00F70451">
        <w:t>/</w:t>
      </w:r>
      <w:r w:rsidRPr="005C550F">
        <w:t>10.1007/s10995-018-2435-z</w:t>
      </w:r>
    </w:p>
    <w:p w14:paraId="5CDA1D97" w14:textId="1237C986" w:rsidR="005C550F" w:rsidRPr="005C550F" w:rsidRDefault="005C550F" w:rsidP="005F1C1C">
      <w:pPr>
        <w:spacing w:line="480" w:lineRule="auto"/>
      </w:pPr>
      <w:r w:rsidRPr="005C550F">
        <w:t xml:space="preserve">Lee, D. B., Kim, E. S., &amp; </w:t>
      </w:r>
      <w:proofErr w:type="spellStart"/>
      <w:r w:rsidRPr="005C550F">
        <w:t>Neblett</w:t>
      </w:r>
      <w:proofErr w:type="spellEnd"/>
      <w:r w:rsidRPr="005C550F">
        <w:t xml:space="preserve">, E. W. (2017). The link between discrimination and telomere </w:t>
      </w:r>
      <w:r w:rsidR="00C1230B" w:rsidRPr="00F508C3">
        <w:tab/>
      </w:r>
      <w:r w:rsidRPr="005C550F">
        <w:t xml:space="preserve">length in African American adults. </w:t>
      </w:r>
      <w:r w:rsidRPr="005C550F">
        <w:rPr>
          <w:i/>
          <w:iCs/>
        </w:rPr>
        <w:t>Health Psychology</w:t>
      </w:r>
      <w:r w:rsidRPr="005C550F">
        <w:t xml:space="preserve">, </w:t>
      </w:r>
      <w:r w:rsidRPr="005C550F">
        <w:rPr>
          <w:i/>
          <w:iCs/>
        </w:rPr>
        <w:t>36</w:t>
      </w:r>
      <w:r w:rsidRPr="005C550F">
        <w:t xml:space="preserve">(5), 458–467. </w:t>
      </w:r>
      <w:r w:rsidR="00C1230B" w:rsidRPr="00F508C3">
        <w:tab/>
      </w:r>
      <w:r w:rsidR="00F70451" w:rsidRPr="00F70451">
        <w:t>https://doi.org</w:t>
      </w:r>
      <w:r w:rsidR="00F70451">
        <w:t>/</w:t>
      </w:r>
      <w:r w:rsidRPr="005C550F">
        <w:t>10.1037/hea0000450</w:t>
      </w:r>
    </w:p>
    <w:p w14:paraId="36AE099D" w14:textId="1DB53B3C" w:rsidR="005C550F" w:rsidRPr="005C550F" w:rsidRDefault="005C550F" w:rsidP="005F1C1C">
      <w:pPr>
        <w:spacing w:line="480" w:lineRule="auto"/>
      </w:pPr>
      <w:r w:rsidRPr="005C550F">
        <w:t xml:space="preserve">Longmire-Avital, B., &amp; McQueen, C. (2019). Exploring a relationship between race-related </w:t>
      </w:r>
      <w:r w:rsidR="00C1230B" w:rsidRPr="00F508C3">
        <w:tab/>
      </w:r>
      <w:r w:rsidRPr="005C550F">
        <w:t xml:space="preserve">stress and emotional eating for collegiate Black American women. </w:t>
      </w:r>
      <w:r w:rsidRPr="005C550F">
        <w:rPr>
          <w:i/>
          <w:iCs/>
        </w:rPr>
        <w:t>Women &amp; Health</w:t>
      </w:r>
      <w:r w:rsidRPr="005C550F">
        <w:t xml:space="preserve">, </w:t>
      </w:r>
      <w:r w:rsidR="00C1230B" w:rsidRPr="00F508C3">
        <w:tab/>
      </w:r>
      <w:r w:rsidRPr="005C550F">
        <w:rPr>
          <w:i/>
          <w:iCs/>
        </w:rPr>
        <w:t>59</w:t>
      </w:r>
      <w:r w:rsidRPr="005C550F">
        <w:t xml:space="preserve">(3), 240–251. </w:t>
      </w:r>
      <w:r w:rsidR="00F70451" w:rsidRPr="00F70451">
        <w:t>https://doi.org</w:t>
      </w:r>
      <w:r w:rsidR="00F70451">
        <w:t>/</w:t>
      </w:r>
      <w:r w:rsidRPr="005C550F">
        <w:t>10.1080/03630242.2018.1478361</w:t>
      </w:r>
    </w:p>
    <w:p w14:paraId="4DB3AB1E" w14:textId="089B380B" w:rsidR="005C550F" w:rsidRPr="005C550F" w:rsidRDefault="005C550F" w:rsidP="005F1C1C">
      <w:pPr>
        <w:spacing w:line="480" w:lineRule="auto"/>
      </w:pPr>
      <w:r w:rsidRPr="005C550F">
        <w:t xml:space="preserve">Mailloux, G., Bergeron, S., Meilleur, D., </w:t>
      </w:r>
      <w:proofErr w:type="spellStart"/>
      <w:r w:rsidRPr="005C550F">
        <w:t>D’Antono</w:t>
      </w:r>
      <w:proofErr w:type="spellEnd"/>
      <w:r w:rsidRPr="005C550F">
        <w:t xml:space="preserve">, B., &amp; </w:t>
      </w:r>
      <w:proofErr w:type="spellStart"/>
      <w:r w:rsidRPr="005C550F">
        <w:t>Dubé</w:t>
      </w:r>
      <w:proofErr w:type="spellEnd"/>
      <w:r w:rsidRPr="005C550F">
        <w:t xml:space="preserve">, I. (2014). Examining the </w:t>
      </w:r>
      <w:r w:rsidR="00BE0A1D" w:rsidRPr="00F508C3">
        <w:tab/>
        <w:t>a</w:t>
      </w:r>
      <w:r w:rsidRPr="005C550F">
        <w:t xml:space="preserve">ssociations </w:t>
      </w:r>
      <w:r w:rsidR="00BE0A1D" w:rsidRPr="00F508C3">
        <w:t>b</w:t>
      </w:r>
      <w:r w:rsidRPr="005C550F">
        <w:t xml:space="preserve">etween </w:t>
      </w:r>
      <w:r w:rsidR="00BE0A1D" w:rsidRPr="00F508C3">
        <w:t>o</w:t>
      </w:r>
      <w:r w:rsidRPr="005C550F">
        <w:t xml:space="preserve">vereating, </w:t>
      </w:r>
      <w:r w:rsidR="00BE0A1D" w:rsidRPr="00F508C3">
        <w:t>d</w:t>
      </w:r>
      <w:r w:rsidRPr="005C550F">
        <w:t xml:space="preserve">isinhibition, and </w:t>
      </w:r>
      <w:r w:rsidR="00BE0A1D" w:rsidRPr="00F508C3">
        <w:t>h</w:t>
      </w:r>
      <w:r w:rsidRPr="005C550F">
        <w:t xml:space="preserve">unger in a </w:t>
      </w:r>
      <w:r w:rsidR="00BE0A1D" w:rsidRPr="00F508C3">
        <w:t>n</w:t>
      </w:r>
      <w:r w:rsidRPr="005C550F">
        <w:t xml:space="preserve">onclinical </w:t>
      </w:r>
      <w:r w:rsidR="00BE0A1D" w:rsidRPr="00F508C3">
        <w:t>s</w:t>
      </w:r>
      <w:r w:rsidRPr="005C550F">
        <w:t xml:space="preserve">ample of </w:t>
      </w:r>
      <w:r w:rsidR="00BE0A1D" w:rsidRPr="00F508C3">
        <w:lastRenderedPageBreak/>
        <w:tab/>
        <w:t>c</w:t>
      </w:r>
      <w:r w:rsidRPr="005C550F">
        <w:t xml:space="preserve">ollege </w:t>
      </w:r>
      <w:r w:rsidR="00BE0A1D" w:rsidRPr="00F508C3">
        <w:t>w</w:t>
      </w:r>
      <w:r w:rsidRPr="005C550F">
        <w:t xml:space="preserve">omen. </w:t>
      </w:r>
      <w:r w:rsidRPr="005C550F">
        <w:rPr>
          <w:i/>
          <w:iCs/>
        </w:rPr>
        <w:t>International Journal of Behavioral Medicine</w:t>
      </w:r>
      <w:r w:rsidRPr="005C550F">
        <w:t xml:space="preserve">, </w:t>
      </w:r>
      <w:r w:rsidRPr="005C550F">
        <w:rPr>
          <w:i/>
          <w:iCs/>
        </w:rPr>
        <w:t>21</w:t>
      </w:r>
      <w:r w:rsidRPr="005C550F">
        <w:t xml:space="preserve">(2), 375–384. </w:t>
      </w:r>
      <w:r w:rsidR="00BE0A1D" w:rsidRPr="00F508C3">
        <w:tab/>
      </w:r>
      <w:r w:rsidR="00F70451" w:rsidRPr="00F70451">
        <w:t>https://doi.org</w:t>
      </w:r>
      <w:r w:rsidR="00F70451">
        <w:t>/</w:t>
      </w:r>
      <w:r w:rsidRPr="005C550F">
        <w:t>10.1007/s12529-013-9306-1</w:t>
      </w:r>
    </w:p>
    <w:p w14:paraId="318B5D8B" w14:textId="0857DD81" w:rsidR="0035459B" w:rsidRPr="00F508C3" w:rsidRDefault="0035459B" w:rsidP="005F1C1C">
      <w:pPr>
        <w:spacing w:line="480" w:lineRule="auto"/>
      </w:pPr>
      <w:r w:rsidRPr="00F508C3">
        <w:t xml:space="preserve">Manzoni, G. M., </w:t>
      </w:r>
      <w:proofErr w:type="spellStart"/>
      <w:r w:rsidRPr="00F508C3">
        <w:t>Pagnini</w:t>
      </w:r>
      <w:proofErr w:type="spellEnd"/>
      <w:r w:rsidRPr="00F508C3">
        <w:t xml:space="preserve">, F., </w:t>
      </w:r>
      <w:proofErr w:type="spellStart"/>
      <w:r w:rsidRPr="00F508C3">
        <w:t>Gorini</w:t>
      </w:r>
      <w:proofErr w:type="spellEnd"/>
      <w:r w:rsidRPr="00F508C3">
        <w:t xml:space="preserve">, A., Preziosa, A., </w:t>
      </w:r>
      <w:proofErr w:type="spellStart"/>
      <w:r w:rsidRPr="00F508C3">
        <w:t>Caastelnuovo</w:t>
      </w:r>
      <w:proofErr w:type="spellEnd"/>
      <w:r w:rsidRPr="00F508C3">
        <w:t>, G., Molinari, E.,</w:t>
      </w:r>
      <w:r w:rsidR="001250A5" w:rsidRPr="00F508C3">
        <w:t xml:space="preserve"> &amp;</w:t>
      </w:r>
      <w:r w:rsidRPr="00F508C3">
        <w:t xml:space="preserve"> Riva, G. </w:t>
      </w:r>
      <w:r w:rsidRPr="00F508C3">
        <w:tab/>
        <w:t xml:space="preserve">(2009). Can relaxation training reduce emotional eating in women with obesity? An </w:t>
      </w:r>
      <w:r w:rsidRPr="00F508C3">
        <w:tab/>
        <w:t xml:space="preserve">exploratory study with 3 months of follow-up. </w:t>
      </w:r>
      <w:r w:rsidRPr="00F508C3">
        <w:rPr>
          <w:i/>
        </w:rPr>
        <w:t xml:space="preserve">Journal of the American Dietetic </w:t>
      </w:r>
      <w:r w:rsidRPr="00F508C3">
        <w:rPr>
          <w:i/>
        </w:rPr>
        <w:tab/>
        <w:t>Association, 109</w:t>
      </w:r>
      <w:r w:rsidRPr="00F508C3">
        <w:t xml:space="preserve">, 1427–1432. </w:t>
      </w:r>
      <w:r w:rsidR="00F70451" w:rsidRPr="00F70451">
        <w:t>https://doi.org</w:t>
      </w:r>
      <w:r w:rsidR="00F70451">
        <w:t>/</w:t>
      </w:r>
      <w:r w:rsidRPr="00F508C3">
        <w:t>10.1016/j.jada.2009.05.004</w:t>
      </w:r>
    </w:p>
    <w:p w14:paraId="00B88B00" w14:textId="0519C7AF" w:rsidR="005C550F" w:rsidRPr="005C550F" w:rsidRDefault="005C550F" w:rsidP="005F1C1C">
      <w:pPr>
        <w:spacing w:line="480" w:lineRule="auto"/>
      </w:pPr>
      <w:r w:rsidRPr="005C550F">
        <w:t xml:space="preserve">Mason, A. E., </w:t>
      </w:r>
      <w:proofErr w:type="spellStart"/>
      <w:r w:rsidRPr="005C550F">
        <w:t>Jhaveri</w:t>
      </w:r>
      <w:proofErr w:type="spellEnd"/>
      <w:r w:rsidRPr="005C550F">
        <w:t xml:space="preserve">, K., Cohn, M., &amp; Brewer, J. A. (2018). Testing a mobile mindful eating </w:t>
      </w:r>
      <w:r w:rsidR="00BE0A1D" w:rsidRPr="00F508C3">
        <w:tab/>
      </w:r>
      <w:r w:rsidRPr="005C550F">
        <w:t xml:space="preserve">intervention targeting craving-related eating: Feasibility and proof of concept. </w:t>
      </w:r>
      <w:r w:rsidRPr="005C550F">
        <w:rPr>
          <w:i/>
          <w:iCs/>
        </w:rPr>
        <w:t xml:space="preserve">Journal of </w:t>
      </w:r>
      <w:r w:rsidR="00BE0A1D" w:rsidRPr="00F508C3">
        <w:rPr>
          <w:i/>
          <w:iCs/>
        </w:rPr>
        <w:tab/>
      </w:r>
      <w:r w:rsidRPr="005C550F">
        <w:rPr>
          <w:i/>
          <w:iCs/>
        </w:rPr>
        <w:t>Behavioral Medicine</w:t>
      </w:r>
      <w:r w:rsidRPr="005C550F">
        <w:t xml:space="preserve">, </w:t>
      </w:r>
      <w:r w:rsidRPr="005C550F">
        <w:rPr>
          <w:i/>
          <w:iCs/>
        </w:rPr>
        <w:t>41</w:t>
      </w:r>
      <w:r w:rsidRPr="005C550F">
        <w:t xml:space="preserve">(2), 160–173. </w:t>
      </w:r>
      <w:r w:rsidR="00F70451" w:rsidRPr="00F70451">
        <w:t>https://doi.org</w:t>
      </w:r>
      <w:r w:rsidR="00F70451">
        <w:t>/</w:t>
      </w:r>
      <w:r w:rsidRPr="005C550F">
        <w:t>10.1007/s10865-017-9884-5</w:t>
      </w:r>
    </w:p>
    <w:p w14:paraId="0F0A9880" w14:textId="4196D69B" w:rsidR="00BE0A1D" w:rsidRPr="00F508C3" w:rsidRDefault="00BE0A1D" w:rsidP="005F1C1C">
      <w:pPr>
        <w:spacing w:line="480" w:lineRule="auto"/>
      </w:pPr>
      <w:r w:rsidRPr="00F508C3">
        <w:t xml:space="preserve">Mehta, N. K., Lee, H., </w:t>
      </w:r>
      <w:r w:rsidR="001250A5" w:rsidRPr="00F508C3">
        <w:t xml:space="preserve">&amp; </w:t>
      </w:r>
      <w:r w:rsidRPr="00F508C3">
        <w:t xml:space="preserve">Ylitalo, K. R. (2013). Child health in the United States: Recent trends </w:t>
      </w:r>
      <w:r w:rsidRPr="00F508C3">
        <w:tab/>
        <w:t xml:space="preserve">in racial/ethnic disparities. </w:t>
      </w:r>
      <w:r w:rsidRPr="00F508C3">
        <w:rPr>
          <w:i/>
          <w:iCs/>
        </w:rPr>
        <w:t>Social Science &amp; Medicine, 95</w:t>
      </w:r>
      <w:r w:rsidRPr="00F508C3">
        <w:t xml:space="preserve">, 6–15. </w:t>
      </w:r>
      <w:r w:rsidR="00F70451">
        <w:tab/>
      </w:r>
      <w:r w:rsidR="00F70451" w:rsidRPr="00F70451">
        <w:t>https://doi.org</w:t>
      </w:r>
      <w:r w:rsidR="00F70451">
        <w:t>/</w:t>
      </w:r>
      <w:r w:rsidRPr="00F508C3">
        <w:t>10.1016/j.socscimed.2012.09.011</w:t>
      </w:r>
    </w:p>
    <w:p w14:paraId="76333078" w14:textId="2500C0EE" w:rsidR="0035459B" w:rsidRPr="00F508C3" w:rsidRDefault="0035459B" w:rsidP="005F1C1C">
      <w:pPr>
        <w:spacing w:line="480" w:lineRule="auto"/>
      </w:pPr>
      <w:r w:rsidRPr="00F508C3">
        <w:t xml:space="preserve">Metzger, I. W., Carter, S., Anderson, R. E., Salami, T., Halliday-Boykins, C., Jernigan, M. M., </w:t>
      </w:r>
      <w:r w:rsidRPr="00F508C3">
        <w:tab/>
      </w:r>
      <w:r w:rsidR="00FE12C7">
        <w:t xml:space="preserve">&amp; </w:t>
      </w:r>
      <w:proofErr w:type="spellStart"/>
      <w:r w:rsidRPr="00F508C3">
        <w:t>Ritchwood</w:t>
      </w:r>
      <w:proofErr w:type="spellEnd"/>
      <w:r w:rsidRPr="00F508C3">
        <w:t>, T. (2018).</w:t>
      </w:r>
      <w:r w:rsidR="005F1C1C">
        <w:t xml:space="preserve"> </w:t>
      </w:r>
      <w:r w:rsidRPr="00F508C3">
        <w:t xml:space="preserve">African American emerging adults’ experiences with racial </w:t>
      </w:r>
      <w:r w:rsidRPr="00F508C3">
        <w:tab/>
        <w:t xml:space="preserve">discrimination and drinking habits: The moderating roles of perceived stress. </w:t>
      </w:r>
      <w:r w:rsidRPr="00F508C3">
        <w:rPr>
          <w:i/>
        </w:rPr>
        <w:t xml:space="preserve">Cultural </w:t>
      </w:r>
      <w:r w:rsidRPr="00F508C3">
        <w:rPr>
          <w:i/>
        </w:rPr>
        <w:tab/>
        <w:t>Diversity &amp; Ethnic Minority Psychology, 24</w:t>
      </w:r>
      <w:r w:rsidRPr="00F508C3">
        <w:t xml:space="preserve">(4), 489–497. </w:t>
      </w:r>
      <w:r w:rsidR="00F70451">
        <w:tab/>
      </w:r>
      <w:r w:rsidR="00F70451" w:rsidRPr="00F70451">
        <w:t>https://doi.org</w:t>
      </w:r>
      <w:r w:rsidR="00F70451">
        <w:t>/</w:t>
      </w:r>
      <w:r w:rsidRPr="00F508C3">
        <w:t>10.1037/cdp0000204</w:t>
      </w:r>
    </w:p>
    <w:p w14:paraId="52A2D6E0" w14:textId="76B32BF2" w:rsidR="00FA53C2" w:rsidRDefault="00FA53C2" w:rsidP="005F1C1C">
      <w:pPr>
        <w:spacing w:after="240" w:line="480" w:lineRule="auto"/>
        <w:contextualSpacing/>
      </w:pPr>
      <w:proofErr w:type="spellStart"/>
      <w:r w:rsidRPr="00F70451">
        <w:t>Michielutte</w:t>
      </w:r>
      <w:proofErr w:type="spellEnd"/>
      <w:r w:rsidRPr="00F70451">
        <w:t>, R., Sharp, P. C., Dignan, M. B.,</w:t>
      </w:r>
      <w:r w:rsidR="00FE12C7">
        <w:t xml:space="preserve"> &amp;</w:t>
      </w:r>
      <w:r w:rsidRPr="00F70451">
        <w:t xml:space="preserve"> </w:t>
      </w:r>
      <w:proofErr w:type="spellStart"/>
      <w:r w:rsidRPr="00F70451">
        <w:t>Blinson</w:t>
      </w:r>
      <w:proofErr w:type="spellEnd"/>
      <w:r w:rsidRPr="00F70451">
        <w:t xml:space="preserve">, K. (1994). Cultural issues in </w:t>
      </w:r>
      <w:r w:rsidRPr="00F70451">
        <w:tab/>
        <w:t xml:space="preserve">the development of cancer control programs for American Indian populations. </w:t>
      </w:r>
      <w:r w:rsidRPr="00F70451">
        <w:rPr>
          <w:i/>
          <w:iCs/>
        </w:rPr>
        <w:t xml:space="preserve">Journal </w:t>
      </w:r>
      <w:r w:rsidRPr="00F70451">
        <w:rPr>
          <w:i/>
          <w:iCs/>
        </w:rPr>
        <w:tab/>
        <w:t>of Health Care for the Poor and Undeserved, 5</w:t>
      </w:r>
      <w:r w:rsidRPr="00F70451">
        <w:t>(4), 280–296.</w:t>
      </w:r>
      <w:r w:rsidR="005F1C1C">
        <w:t xml:space="preserve"> </w:t>
      </w:r>
      <w:r w:rsidR="00F70451" w:rsidRPr="00F70451">
        <w:tab/>
        <w:t>http://doi.org/10.1353/hpu.2010.0245</w:t>
      </w:r>
    </w:p>
    <w:p w14:paraId="42B91E18" w14:textId="3A5BD717" w:rsidR="005C550F" w:rsidRPr="005C550F" w:rsidRDefault="005C550F" w:rsidP="005F1C1C">
      <w:pPr>
        <w:spacing w:line="480" w:lineRule="auto"/>
      </w:pPr>
      <w:r w:rsidRPr="005C550F">
        <w:lastRenderedPageBreak/>
        <w:t xml:space="preserve">O’Connor, D. B., Jones, F., Conner, M., McMillan, B., &amp; Ferguson, E. (2008). Effects of daily </w:t>
      </w:r>
      <w:r w:rsidR="00BE0A1D" w:rsidRPr="00F508C3">
        <w:tab/>
      </w:r>
      <w:r w:rsidRPr="005C550F">
        <w:t xml:space="preserve">hassles and eating style on eating behavior. </w:t>
      </w:r>
      <w:r w:rsidRPr="005C550F">
        <w:rPr>
          <w:i/>
          <w:iCs/>
        </w:rPr>
        <w:t>Health Psychology</w:t>
      </w:r>
      <w:r w:rsidRPr="005C550F">
        <w:t xml:space="preserve">, </w:t>
      </w:r>
      <w:r w:rsidRPr="005C550F">
        <w:rPr>
          <w:i/>
          <w:iCs/>
        </w:rPr>
        <w:t>27</w:t>
      </w:r>
      <w:r w:rsidRPr="005C550F">
        <w:t xml:space="preserve">(1, Suppl), S20–S31. </w:t>
      </w:r>
      <w:r w:rsidR="00BE0A1D" w:rsidRPr="00F508C3">
        <w:tab/>
      </w:r>
      <w:r w:rsidR="00F70451" w:rsidRPr="00F70451">
        <w:t>https://doi.org</w:t>
      </w:r>
      <w:r w:rsidR="00F70451">
        <w:t>/</w:t>
      </w:r>
      <w:r w:rsidRPr="005C550F">
        <w:t>10.1037/0278-6133.27.1</w:t>
      </w:r>
      <w:r w:rsidR="00BE0A1D" w:rsidRPr="00F508C3">
        <w:t>(Suppl.)</w:t>
      </w:r>
      <w:r w:rsidRPr="005C550F">
        <w:t>.S20</w:t>
      </w:r>
    </w:p>
    <w:p w14:paraId="112A429F" w14:textId="08CA5B93" w:rsidR="001250A5" w:rsidRPr="00F508C3" w:rsidRDefault="001250A5" w:rsidP="005F1C1C">
      <w:pPr>
        <w:spacing w:line="480" w:lineRule="auto"/>
      </w:pPr>
      <w:r w:rsidRPr="00F508C3">
        <w:t>Pascoe, E. A.</w:t>
      </w:r>
      <w:r w:rsidR="003005EA">
        <w:t>,</w:t>
      </w:r>
      <w:r w:rsidRPr="00F508C3">
        <w:t xml:space="preserve"> &amp; Richman, L. S. (2009).</w:t>
      </w:r>
      <w:r w:rsidR="005F1C1C">
        <w:t xml:space="preserve"> </w:t>
      </w:r>
      <w:r w:rsidRPr="00F508C3">
        <w:t>Perceived discrimination and health: A meta-</w:t>
      </w:r>
      <w:r w:rsidRPr="00F508C3">
        <w:tab/>
        <w:t xml:space="preserve">analytic review. </w:t>
      </w:r>
      <w:r w:rsidRPr="00F508C3">
        <w:rPr>
          <w:i/>
        </w:rPr>
        <w:t>Psychological Bulletin, 135</w:t>
      </w:r>
      <w:r w:rsidRPr="00F508C3">
        <w:t xml:space="preserve">(4), 531–554. </w:t>
      </w:r>
      <w:r w:rsidR="00F70451">
        <w:tab/>
      </w:r>
      <w:r w:rsidR="00F70451" w:rsidRPr="00F70451">
        <w:t>https://doi.org</w:t>
      </w:r>
      <w:r w:rsidR="00F70451">
        <w:t>/</w:t>
      </w:r>
      <w:r w:rsidRPr="00F508C3">
        <w:t>10.1037/a0016059</w:t>
      </w:r>
    </w:p>
    <w:p w14:paraId="52C4672B" w14:textId="7655245C" w:rsidR="005C550F" w:rsidRPr="005C550F" w:rsidRDefault="005C550F" w:rsidP="005F1C1C">
      <w:pPr>
        <w:spacing w:line="480" w:lineRule="auto"/>
      </w:pPr>
      <w:r w:rsidRPr="005C550F">
        <w:t xml:space="preserve">Pittman, D. M., Brooks, J. J., Kaur, P., &amp; Obasi, E. M. (2019). The cost of minority stress: Risky </w:t>
      </w:r>
      <w:r w:rsidR="00BE0A1D" w:rsidRPr="00F508C3">
        <w:tab/>
      </w:r>
      <w:r w:rsidRPr="005C550F">
        <w:t xml:space="preserve">alcohol use and coping-motivated drinking behavior in African American college </w:t>
      </w:r>
      <w:r w:rsidR="00BE0A1D" w:rsidRPr="00F508C3">
        <w:tab/>
      </w:r>
      <w:r w:rsidRPr="005C550F">
        <w:t xml:space="preserve">students. </w:t>
      </w:r>
      <w:r w:rsidRPr="005C550F">
        <w:rPr>
          <w:i/>
          <w:iCs/>
        </w:rPr>
        <w:t>Journal of Ethnicity in Substance Abuse</w:t>
      </w:r>
      <w:r w:rsidRPr="005C550F">
        <w:t xml:space="preserve">, </w:t>
      </w:r>
      <w:r w:rsidRPr="005C550F">
        <w:rPr>
          <w:i/>
          <w:iCs/>
        </w:rPr>
        <w:t>18</w:t>
      </w:r>
      <w:r w:rsidRPr="005C550F">
        <w:t xml:space="preserve">(2), 257–278. </w:t>
      </w:r>
      <w:r w:rsidR="00BE0A1D" w:rsidRPr="00F508C3">
        <w:tab/>
      </w:r>
      <w:r w:rsidR="00F70451" w:rsidRPr="00F70451">
        <w:t>https://doi.org</w:t>
      </w:r>
      <w:r w:rsidR="00F70451">
        <w:t>/</w:t>
      </w:r>
      <w:r w:rsidRPr="005C550F">
        <w:t>10.1080/15332640.2017.1336958</w:t>
      </w:r>
    </w:p>
    <w:p w14:paraId="74BC946B" w14:textId="30D3789F" w:rsidR="001250A5" w:rsidRPr="00F508C3" w:rsidRDefault="001250A5" w:rsidP="005F1C1C">
      <w:pPr>
        <w:pStyle w:val="Bibliography"/>
        <w:spacing w:line="480" w:lineRule="auto"/>
      </w:pPr>
      <w:proofErr w:type="spellStart"/>
      <w:r w:rsidRPr="00F508C3">
        <w:t>Poelman</w:t>
      </w:r>
      <w:proofErr w:type="spellEnd"/>
      <w:r w:rsidRPr="00F508C3">
        <w:t xml:space="preserve">, M. P., de Vet, E., Velma, E., </w:t>
      </w:r>
      <w:proofErr w:type="spellStart"/>
      <w:r w:rsidRPr="00F508C3">
        <w:t>Seidell</w:t>
      </w:r>
      <w:proofErr w:type="spellEnd"/>
      <w:r w:rsidRPr="00F508C3">
        <w:t xml:space="preserve">, J. C., &amp; </w:t>
      </w:r>
      <w:proofErr w:type="spellStart"/>
      <w:r w:rsidRPr="00F508C3">
        <w:t>Steenhuis</w:t>
      </w:r>
      <w:proofErr w:type="spellEnd"/>
      <w:r w:rsidRPr="00F508C3">
        <w:t xml:space="preserve">, I. H. M. (2013). Behavioral </w:t>
      </w:r>
      <w:r w:rsidRPr="00F508C3">
        <w:tab/>
        <w:t xml:space="preserve">strategies to control the amount of food selected and consumed. </w:t>
      </w:r>
      <w:r w:rsidRPr="00F508C3">
        <w:rPr>
          <w:i/>
        </w:rPr>
        <w:t>Appetite, 72</w:t>
      </w:r>
      <w:r w:rsidRPr="00F508C3">
        <w:t xml:space="preserve">, 156–165. </w:t>
      </w:r>
      <w:r w:rsidRPr="00F508C3">
        <w:tab/>
      </w:r>
      <w:r w:rsidR="00F70451" w:rsidRPr="00F70451">
        <w:t>https://doi.org</w:t>
      </w:r>
      <w:r w:rsidR="00F70451">
        <w:t>/</w:t>
      </w:r>
      <w:r w:rsidRPr="00F508C3">
        <w:rPr>
          <w:rFonts w:eastAsiaTheme="minorHAnsi"/>
        </w:rPr>
        <w:t>10.1016/j.appet.2013.09.015</w:t>
      </w:r>
    </w:p>
    <w:p w14:paraId="53B6C9DE" w14:textId="6881A9FD" w:rsidR="005C550F" w:rsidRPr="005C550F" w:rsidRDefault="005C550F" w:rsidP="005F1C1C">
      <w:pPr>
        <w:spacing w:line="480" w:lineRule="auto"/>
      </w:pPr>
      <w:proofErr w:type="spellStart"/>
      <w:r w:rsidRPr="005C550F">
        <w:t>Reslan</w:t>
      </w:r>
      <w:proofErr w:type="spellEnd"/>
      <w:r w:rsidRPr="005C550F">
        <w:t xml:space="preserve">, S., &amp; Saules, K. K. (2013). Assessing the prevalence of and factors associated with </w:t>
      </w:r>
      <w:r w:rsidR="00BE0A1D" w:rsidRPr="00F508C3">
        <w:tab/>
      </w:r>
      <w:r w:rsidRPr="005C550F">
        <w:t xml:space="preserve">overweight, obesity, and binge eating as a function of ethnicity. </w:t>
      </w:r>
      <w:r w:rsidRPr="005C550F">
        <w:rPr>
          <w:i/>
          <w:iCs/>
        </w:rPr>
        <w:t xml:space="preserve">Eating and Weight </w:t>
      </w:r>
      <w:r w:rsidR="00BE0A1D" w:rsidRPr="00F508C3">
        <w:rPr>
          <w:i/>
          <w:iCs/>
        </w:rPr>
        <w:tab/>
      </w:r>
      <w:r w:rsidRPr="005C550F">
        <w:rPr>
          <w:i/>
          <w:iCs/>
        </w:rPr>
        <w:t>Disorders</w:t>
      </w:r>
      <w:r w:rsidRPr="005C550F">
        <w:t xml:space="preserve">, </w:t>
      </w:r>
      <w:r w:rsidRPr="005C550F">
        <w:rPr>
          <w:i/>
          <w:iCs/>
        </w:rPr>
        <w:t>18</w:t>
      </w:r>
      <w:r w:rsidRPr="005C550F">
        <w:t xml:space="preserve">(2), 209–219. </w:t>
      </w:r>
      <w:r w:rsidR="00F70451" w:rsidRPr="00F70451">
        <w:t>https://doi.org</w:t>
      </w:r>
      <w:r w:rsidR="00F70451">
        <w:t>/</w:t>
      </w:r>
      <w:r w:rsidRPr="005C550F">
        <w:t>10.1007/s40519-013-0022-2</w:t>
      </w:r>
    </w:p>
    <w:p w14:paraId="35020B45" w14:textId="77777777" w:rsidR="00FA53C2" w:rsidRPr="00FF0E1A" w:rsidRDefault="00FA53C2" w:rsidP="005F1C1C">
      <w:pPr>
        <w:spacing w:line="480" w:lineRule="auto"/>
        <w:contextualSpacing/>
        <w:rPr>
          <w:color w:val="000000"/>
        </w:rPr>
      </w:pPr>
      <w:r w:rsidRPr="00FF0E1A">
        <w:rPr>
          <w:color w:val="000000"/>
        </w:rPr>
        <w:t xml:space="preserve">Rodriguez, C. J., </w:t>
      </w:r>
      <w:proofErr w:type="spellStart"/>
      <w:r w:rsidRPr="00FF0E1A">
        <w:rPr>
          <w:color w:val="000000"/>
        </w:rPr>
        <w:t>Gwathmey</w:t>
      </w:r>
      <w:proofErr w:type="spellEnd"/>
      <w:r w:rsidRPr="00FF0E1A">
        <w:rPr>
          <w:color w:val="000000"/>
        </w:rPr>
        <w:t xml:space="preserve">, T. M., </w:t>
      </w:r>
      <w:proofErr w:type="spellStart"/>
      <w:r w:rsidRPr="00FF0E1A">
        <w:rPr>
          <w:color w:val="000000"/>
        </w:rPr>
        <w:t>Jin</w:t>
      </w:r>
      <w:proofErr w:type="spellEnd"/>
      <w:r w:rsidRPr="00FF0E1A">
        <w:rPr>
          <w:color w:val="000000"/>
        </w:rPr>
        <w:t xml:space="preserve">, Z., Schwartz, J., Beech, B. M., Sacco, R. L., Di </w:t>
      </w:r>
      <w:proofErr w:type="spellStart"/>
      <w:r w:rsidRPr="00FF0E1A">
        <w:rPr>
          <w:color w:val="000000"/>
        </w:rPr>
        <w:t>Tullio</w:t>
      </w:r>
      <w:proofErr w:type="spellEnd"/>
      <w:r w:rsidRPr="00FF0E1A">
        <w:rPr>
          <w:color w:val="000000"/>
        </w:rPr>
        <w:t>, </w:t>
      </w:r>
    </w:p>
    <w:p w14:paraId="2A7720FF" w14:textId="6E504C8D" w:rsidR="00FA53C2" w:rsidRPr="00FF0E1A" w:rsidRDefault="00FA53C2" w:rsidP="005F1C1C">
      <w:pPr>
        <w:spacing w:line="480" w:lineRule="auto"/>
        <w:ind w:firstLine="720"/>
        <w:contextualSpacing/>
        <w:rPr>
          <w:color w:val="000000"/>
        </w:rPr>
      </w:pPr>
      <w:r w:rsidRPr="00FF0E1A">
        <w:rPr>
          <w:color w:val="000000"/>
        </w:rPr>
        <w:t xml:space="preserve">M. R., </w:t>
      </w:r>
      <w:r w:rsidR="00573B33">
        <w:rPr>
          <w:color w:val="000000"/>
        </w:rPr>
        <w:t xml:space="preserve">&amp; </w:t>
      </w:r>
      <w:r w:rsidRPr="00FF0E1A">
        <w:rPr>
          <w:color w:val="000000"/>
        </w:rPr>
        <w:t xml:space="preserve">Homma, S. (2016). Perceived discrimination and nocturnal blood pressure </w:t>
      </w:r>
      <w:r>
        <w:rPr>
          <w:color w:val="000000"/>
        </w:rPr>
        <w:tab/>
      </w:r>
      <w:r w:rsidRPr="00FF0E1A">
        <w:rPr>
          <w:color w:val="000000"/>
        </w:rPr>
        <w:t xml:space="preserve">dipping among </w:t>
      </w:r>
      <w:r>
        <w:rPr>
          <w:color w:val="000000"/>
        </w:rPr>
        <w:t>H</w:t>
      </w:r>
      <w:r w:rsidRPr="00FF0E1A">
        <w:rPr>
          <w:color w:val="000000"/>
        </w:rPr>
        <w:t>ispanics: The influence of social support and race.</w:t>
      </w:r>
      <w:r w:rsidRPr="00FF0E1A">
        <w:rPr>
          <w:i/>
          <w:iCs/>
          <w:color w:val="000000"/>
        </w:rPr>
        <w:t xml:space="preserve"> Psychosomatic </w:t>
      </w:r>
      <w:r>
        <w:rPr>
          <w:i/>
          <w:iCs/>
          <w:color w:val="000000"/>
        </w:rPr>
        <w:tab/>
      </w:r>
      <w:r w:rsidRPr="00FF0E1A">
        <w:rPr>
          <w:i/>
          <w:iCs/>
          <w:color w:val="000000"/>
        </w:rPr>
        <w:t>Medicine, 78</w:t>
      </w:r>
      <w:r w:rsidRPr="00FF0E1A">
        <w:rPr>
          <w:color w:val="000000"/>
        </w:rPr>
        <w:t xml:space="preserve">(7), 841–850. </w:t>
      </w:r>
      <w:r w:rsidR="00F70451" w:rsidRPr="00F70451">
        <w:t>https://doi.org</w:t>
      </w:r>
      <w:r w:rsidR="00F70451">
        <w:t>/</w:t>
      </w:r>
      <w:r w:rsidRPr="00FF0E1A">
        <w:rPr>
          <w:color w:val="000000"/>
        </w:rPr>
        <w:t>10.1097/PSY.0000000000000341</w:t>
      </w:r>
    </w:p>
    <w:p w14:paraId="3739A2B1" w14:textId="77777777" w:rsidR="00FA53C2" w:rsidRPr="00FF0E1A" w:rsidRDefault="00FA53C2" w:rsidP="005F1C1C">
      <w:pPr>
        <w:spacing w:line="480" w:lineRule="auto"/>
        <w:contextualSpacing/>
        <w:rPr>
          <w:color w:val="000000"/>
        </w:rPr>
      </w:pPr>
      <w:proofErr w:type="spellStart"/>
      <w:r w:rsidRPr="00FF0E1A">
        <w:rPr>
          <w:color w:val="000000"/>
        </w:rPr>
        <w:t>Saasa</w:t>
      </w:r>
      <w:proofErr w:type="spellEnd"/>
      <w:r w:rsidRPr="00FF0E1A">
        <w:rPr>
          <w:color w:val="000000"/>
        </w:rPr>
        <w:t>, S. K. (2019). Discrimination, coping, social exclusion among African immigrants int he </w:t>
      </w:r>
    </w:p>
    <w:p w14:paraId="13D412C9" w14:textId="5F667430" w:rsidR="00FA53C2" w:rsidRPr="00FF0E1A" w:rsidRDefault="00FA53C2" w:rsidP="005F1C1C">
      <w:pPr>
        <w:spacing w:line="480" w:lineRule="auto"/>
        <w:ind w:firstLine="720"/>
        <w:contextualSpacing/>
        <w:rPr>
          <w:color w:val="000000"/>
        </w:rPr>
      </w:pPr>
      <w:r w:rsidRPr="00FF0E1A">
        <w:rPr>
          <w:color w:val="000000"/>
        </w:rPr>
        <w:t xml:space="preserve">United States: A moderation analysis. </w:t>
      </w:r>
      <w:r w:rsidRPr="00FF0E1A">
        <w:rPr>
          <w:i/>
          <w:iCs/>
          <w:color w:val="000000"/>
        </w:rPr>
        <w:t>Social Work, 64</w:t>
      </w:r>
      <w:r w:rsidRPr="00FF0E1A">
        <w:rPr>
          <w:color w:val="000000"/>
        </w:rPr>
        <w:t xml:space="preserve">(3), 198–206. </w:t>
      </w:r>
      <w:r w:rsidR="00F70451">
        <w:rPr>
          <w:color w:val="000000"/>
        </w:rPr>
        <w:tab/>
      </w:r>
      <w:r w:rsidR="00F70451" w:rsidRPr="00F70451">
        <w:t>https://doi.org</w:t>
      </w:r>
      <w:r w:rsidR="00F70451">
        <w:t>/</w:t>
      </w:r>
      <w:r w:rsidRPr="00FF0E1A">
        <w:rPr>
          <w:color w:val="000000"/>
        </w:rPr>
        <w:t>10.1093/sw/swz018</w:t>
      </w:r>
    </w:p>
    <w:p w14:paraId="49E158AC" w14:textId="77777777" w:rsidR="00FA53C2" w:rsidRPr="00FF0E1A" w:rsidRDefault="00FA53C2" w:rsidP="005F1C1C">
      <w:pPr>
        <w:spacing w:line="480" w:lineRule="auto"/>
        <w:contextualSpacing/>
        <w:rPr>
          <w:color w:val="000000"/>
        </w:rPr>
      </w:pPr>
      <w:r w:rsidRPr="00FF0E1A">
        <w:rPr>
          <w:color w:val="000000"/>
        </w:rPr>
        <w:lastRenderedPageBreak/>
        <w:t xml:space="preserve">Shea, H., Mosley-Howard, G., Baldwin, D., </w:t>
      </w:r>
      <w:proofErr w:type="spellStart"/>
      <w:r w:rsidRPr="00FF0E1A">
        <w:rPr>
          <w:color w:val="000000"/>
        </w:rPr>
        <w:t>Ironstrack</w:t>
      </w:r>
      <w:proofErr w:type="spellEnd"/>
      <w:r w:rsidRPr="00FF0E1A">
        <w:rPr>
          <w:color w:val="000000"/>
        </w:rPr>
        <w:t xml:space="preserve">, G., </w:t>
      </w:r>
      <w:proofErr w:type="spellStart"/>
      <w:r w:rsidRPr="00FF0E1A">
        <w:rPr>
          <w:color w:val="000000"/>
        </w:rPr>
        <w:t>Rousmaniere</w:t>
      </w:r>
      <w:proofErr w:type="spellEnd"/>
      <w:r w:rsidRPr="00FF0E1A">
        <w:rPr>
          <w:color w:val="000000"/>
        </w:rPr>
        <w:t xml:space="preserve">, K., &amp; </w:t>
      </w:r>
      <w:proofErr w:type="spellStart"/>
      <w:r w:rsidRPr="00FF0E1A">
        <w:rPr>
          <w:color w:val="000000"/>
        </w:rPr>
        <w:t>Schroer</w:t>
      </w:r>
      <w:proofErr w:type="spellEnd"/>
      <w:r w:rsidRPr="00FF0E1A">
        <w:rPr>
          <w:color w:val="000000"/>
        </w:rPr>
        <w:t>, J. E. </w:t>
      </w:r>
    </w:p>
    <w:p w14:paraId="6513AC67" w14:textId="77777777" w:rsidR="00FA53C2" w:rsidRPr="00FF0E1A" w:rsidRDefault="00FA53C2" w:rsidP="005F1C1C">
      <w:pPr>
        <w:spacing w:line="480" w:lineRule="auto"/>
        <w:ind w:firstLine="720"/>
        <w:contextualSpacing/>
        <w:rPr>
          <w:color w:val="000000"/>
        </w:rPr>
      </w:pPr>
      <w:r w:rsidRPr="00FF0E1A">
        <w:rPr>
          <w:color w:val="000000"/>
        </w:rPr>
        <w:t>(2019). Cultural revitalization as a restorative process to combat racial and cultural </w:t>
      </w:r>
    </w:p>
    <w:p w14:paraId="3EC9D72A" w14:textId="77777777" w:rsidR="00FA53C2" w:rsidRPr="00FF0E1A" w:rsidRDefault="00FA53C2" w:rsidP="005F1C1C">
      <w:pPr>
        <w:spacing w:line="480" w:lineRule="auto"/>
        <w:ind w:firstLine="720"/>
        <w:contextualSpacing/>
        <w:rPr>
          <w:color w:val="000000"/>
        </w:rPr>
      </w:pPr>
      <w:r w:rsidRPr="00FF0E1A">
        <w:rPr>
          <w:color w:val="000000"/>
        </w:rPr>
        <w:t>trauma and promote living well.</w:t>
      </w:r>
      <w:r w:rsidRPr="00FF0E1A">
        <w:rPr>
          <w:i/>
          <w:iCs/>
          <w:color w:val="000000"/>
        </w:rPr>
        <w:t xml:space="preserve"> Cultural Diversity and Ethnic Minority Psychology, </w:t>
      </w:r>
    </w:p>
    <w:p w14:paraId="42439042" w14:textId="41161100" w:rsidR="00FA53C2" w:rsidRDefault="00FA53C2" w:rsidP="005F1C1C">
      <w:pPr>
        <w:spacing w:line="480" w:lineRule="auto"/>
        <w:contextualSpacing/>
      </w:pPr>
      <w:r>
        <w:rPr>
          <w:i/>
          <w:iCs/>
          <w:color w:val="000000"/>
        </w:rPr>
        <w:tab/>
      </w:r>
      <w:r w:rsidRPr="00FF0E1A">
        <w:rPr>
          <w:i/>
          <w:iCs/>
          <w:color w:val="000000"/>
        </w:rPr>
        <w:t>25</w:t>
      </w:r>
      <w:r w:rsidRPr="00FF0E1A">
        <w:rPr>
          <w:color w:val="000000"/>
        </w:rPr>
        <w:t xml:space="preserve">(4), 553–565. </w:t>
      </w:r>
      <w:r w:rsidR="00F70451" w:rsidRPr="00F70451">
        <w:t>https://doi.org</w:t>
      </w:r>
      <w:r w:rsidR="00F70451">
        <w:t>/</w:t>
      </w:r>
      <w:r w:rsidRPr="00FF0E1A">
        <w:rPr>
          <w:color w:val="000000"/>
        </w:rPr>
        <w:t>10.1037/cdp0000250</w:t>
      </w:r>
    </w:p>
    <w:p w14:paraId="266B1D0C" w14:textId="7BEFE45E" w:rsidR="005C550F" w:rsidRPr="005C550F" w:rsidRDefault="005C550F" w:rsidP="005F1C1C">
      <w:pPr>
        <w:spacing w:line="480" w:lineRule="auto"/>
      </w:pPr>
      <w:r w:rsidRPr="005C550F">
        <w:t xml:space="preserve">Simons, R. L., Lei, M.-K., Beach, S. R. H., Barr, A. B., Simons, L. G., Gibbons, F. X., &amp; </w:t>
      </w:r>
      <w:r w:rsidR="00BE0A1D" w:rsidRPr="00F508C3">
        <w:tab/>
      </w:r>
      <w:r w:rsidRPr="005C550F">
        <w:t xml:space="preserve">Philibert, R. A. (2018). Discrimination, segregation, and chronic inflammation: Testing </w:t>
      </w:r>
      <w:r w:rsidR="00BE0A1D" w:rsidRPr="00F508C3">
        <w:tab/>
      </w:r>
      <w:r w:rsidRPr="005C550F">
        <w:t xml:space="preserve">the weathering explanation for the poor health of Black Americans. </w:t>
      </w:r>
      <w:r w:rsidRPr="005C550F">
        <w:rPr>
          <w:i/>
          <w:iCs/>
        </w:rPr>
        <w:t xml:space="preserve">Developmental </w:t>
      </w:r>
      <w:r w:rsidR="00BE0A1D" w:rsidRPr="00F508C3">
        <w:rPr>
          <w:i/>
          <w:iCs/>
        </w:rPr>
        <w:tab/>
      </w:r>
      <w:r w:rsidRPr="005C550F">
        <w:rPr>
          <w:i/>
          <w:iCs/>
        </w:rPr>
        <w:t>Psychology</w:t>
      </w:r>
      <w:r w:rsidRPr="005C550F">
        <w:t xml:space="preserve">, </w:t>
      </w:r>
      <w:r w:rsidRPr="005C550F">
        <w:rPr>
          <w:i/>
          <w:iCs/>
        </w:rPr>
        <w:t>54</w:t>
      </w:r>
      <w:r w:rsidRPr="005C550F">
        <w:t xml:space="preserve">(10), 1993–2006. </w:t>
      </w:r>
      <w:r w:rsidR="00F70451" w:rsidRPr="00F70451">
        <w:t>https://doi.org</w:t>
      </w:r>
      <w:r w:rsidR="00F70451">
        <w:t>/</w:t>
      </w:r>
      <w:r w:rsidRPr="005C550F">
        <w:t>10.1037/dev0000511</w:t>
      </w:r>
    </w:p>
    <w:p w14:paraId="76460F33" w14:textId="17E37359" w:rsidR="005C550F" w:rsidRPr="005C550F" w:rsidRDefault="005C550F" w:rsidP="005F1C1C">
      <w:pPr>
        <w:spacing w:line="480" w:lineRule="auto"/>
      </w:pPr>
      <w:r w:rsidRPr="005C550F">
        <w:t xml:space="preserve">Sims, R., Gordon, S., Garcia, W., Clark, E., </w:t>
      </w:r>
      <w:proofErr w:type="spellStart"/>
      <w:r w:rsidRPr="005C550F">
        <w:t>Monye</w:t>
      </w:r>
      <w:proofErr w:type="spellEnd"/>
      <w:r w:rsidRPr="005C550F">
        <w:t xml:space="preserve">, D., </w:t>
      </w:r>
      <w:proofErr w:type="spellStart"/>
      <w:r w:rsidRPr="005C550F">
        <w:t>Callender</w:t>
      </w:r>
      <w:proofErr w:type="spellEnd"/>
      <w:r w:rsidRPr="005C550F">
        <w:t xml:space="preserve">, C., &amp; Campbell, A. (2008). </w:t>
      </w:r>
      <w:r w:rsidR="00BE0A1D" w:rsidRPr="00F508C3">
        <w:tab/>
      </w:r>
      <w:r w:rsidRPr="005C550F">
        <w:t xml:space="preserve">Perceived stress and eating behaviors in a community-based sample of African </w:t>
      </w:r>
      <w:r w:rsidR="00BE0A1D" w:rsidRPr="00F508C3">
        <w:tab/>
      </w:r>
      <w:r w:rsidRPr="005C550F">
        <w:t xml:space="preserve">Americans. </w:t>
      </w:r>
      <w:r w:rsidRPr="005C550F">
        <w:rPr>
          <w:i/>
          <w:iCs/>
        </w:rPr>
        <w:t>Eating Behaviors</w:t>
      </w:r>
      <w:r w:rsidRPr="005C550F">
        <w:t xml:space="preserve">, </w:t>
      </w:r>
      <w:r w:rsidRPr="005C550F">
        <w:rPr>
          <w:i/>
          <w:iCs/>
        </w:rPr>
        <w:t>9</w:t>
      </w:r>
      <w:r w:rsidRPr="005C550F">
        <w:t xml:space="preserve">(2), 137–142. </w:t>
      </w:r>
      <w:r w:rsidR="00F70451">
        <w:tab/>
      </w:r>
      <w:r w:rsidR="00F70451" w:rsidRPr="00F70451">
        <w:t>https://doi.org</w:t>
      </w:r>
      <w:r w:rsidR="00F70451">
        <w:t>/</w:t>
      </w:r>
      <w:r w:rsidRPr="005C550F">
        <w:t>10.1016/j.eatbeh.2007.06.006</w:t>
      </w:r>
    </w:p>
    <w:p w14:paraId="78C2206B" w14:textId="3E57E152" w:rsidR="005C550F" w:rsidRPr="005C550F" w:rsidRDefault="005C550F" w:rsidP="005F1C1C">
      <w:pPr>
        <w:spacing w:line="480" w:lineRule="auto"/>
      </w:pPr>
      <w:r w:rsidRPr="005C550F">
        <w:t xml:space="preserve">Sinha, R., Gu, P., Hart, R., &amp; </w:t>
      </w:r>
      <w:proofErr w:type="spellStart"/>
      <w:r w:rsidRPr="005C550F">
        <w:t>Guarnaccia</w:t>
      </w:r>
      <w:proofErr w:type="spellEnd"/>
      <w:r w:rsidRPr="005C550F">
        <w:t xml:space="preserve">, J. B. (2019). Food craving, cortisol and ghrelin </w:t>
      </w:r>
      <w:r w:rsidR="00BE0A1D" w:rsidRPr="00F508C3">
        <w:tab/>
      </w:r>
      <w:r w:rsidRPr="005C550F">
        <w:t xml:space="preserve">responses in modeling highly palatable snack intake in the laboratory. </w:t>
      </w:r>
      <w:r w:rsidRPr="005C550F">
        <w:rPr>
          <w:i/>
          <w:iCs/>
        </w:rPr>
        <w:t xml:space="preserve">Physiology &amp; </w:t>
      </w:r>
      <w:r w:rsidR="00BE0A1D" w:rsidRPr="00F508C3">
        <w:rPr>
          <w:i/>
          <w:iCs/>
        </w:rPr>
        <w:tab/>
      </w:r>
      <w:r w:rsidRPr="005C550F">
        <w:rPr>
          <w:i/>
          <w:iCs/>
        </w:rPr>
        <w:t>Behavior</w:t>
      </w:r>
      <w:r w:rsidRPr="005C550F">
        <w:t xml:space="preserve">, </w:t>
      </w:r>
      <w:r w:rsidRPr="005C550F">
        <w:rPr>
          <w:i/>
          <w:iCs/>
        </w:rPr>
        <w:t>208</w:t>
      </w:r>
      <w:r w:rsidRPr="005C550F">
        <w:t xml:space="preserve">, 112563. </w:t>
      </w:r>
      <w:r w:rsidR="00F70451" w:rsidRPr="00F70451">
        <w:t>https://doi.org</w:t>
      </w:r>
      <w:r w:rsidR="00F70451">
        <w:t>/</w:t>
      </w:r>
      <w:r w:rsidRPr="005C550F">
        <w:t>10.1016/j.physbeh.2019.112563</w:t>
      </w:r>
    </w:p>
    <w:p w14:paraId="4A62A3AE" w14:textId="54D1C96A" w:rsidR="005C550F" w:rsidRPr="005C550F" w:rsidRDefault="005C550F" w:rsidP="005F1C1C">
      <w:pPr>
        <w:spacing w:line="480" w:lineRule="auto"/>
      </w:pPr>
      <w:r w:rsidRPr="005C550F">
        <w:t xml:space="preserve">Skewes, M. C. &amp; Blume, A. W. (2019). Understanding the link between racial trauma and </w:t>
      </w:r>
      <w:r w:rsidR="00BE0A1D" w:rsidRPr="00F508C3">
        <w:tab/>
      </w:r>
      <w:r w:rsidRPr="005C550F">
        <w:t xml:space="preserve">substance use among American Indians. </w:t>
      </w:r>
      <w:r w:rsidRPr="005C550F">
        <w:rPr>
          <w:i/>
          <w:iCs/>
        </w:rPr>
        <w:t>American Psychologist</w:t>
      </w:r>
      <w:r w:rsidRPr="005C550F">
        <w:t xml:space="preserve">, </w:t>
      </w:r>
      <w:r w:rsidRPr="005C550F">
        <w:rPr>
          <w:i/>
          <w:iCs/>
        </w:rPr>
        <w:t>74</w:t>
      </w:r>
      <w:r w:rsidRPr="005C550F">
        <w:t xml:space="preserve">(1), 88–100. </w:t>
      </w:r>
      <w:r w:rsidR="00BE0A1D" w:rsidRPr="00F508C3">
        <w:tab/>
      </w:r>
      <w:r w:rsidR="00F70451" w:rsidRPr="00F70451">
        <w:t>https://doi.org</w:t>
      </w:r>
      <w:r w:rsidR="00F70451">
        <w:t>/</w:t>
      </w:r>
      <w:r w:rsidRPr="005C550F">
        <w:t>10.1037/amp0000331</w:t>
      </w:r>
    </w:p>
    <w:p w14:paraId="452E18F6" w14:textId="469F6590" w:rsidR="005C550F" w:rsidRDefault="005C550F" w:rsidP="005F1C1C">
      <w:pPr>
        <w:spacing w:line="480" w:lineRule="auto"/>
      </w:pPr>
      <w:proofErr w:type="spellStart"/>
      <w:r w:rsidRPr="005C550F">
        <w:t>Stice</w:t>
      </w:r>
      <w:proofErr w:type="spellEnd"/>
      <w:r w:rsidRPr="005C550F">
        <w:t xml:space="preserve">, E., </w:t>
      </w:r>
      <w:proofErr w:type="spellStart"/>
      <w:r w:rsidRPr="005C550F">
        <w:t>Presnell</w:t>
      </w:r>
      <w:proofErr w:type="spellEnd"/>
      <w:r w:rsidRPr="005C550F">
        <w:t xml:space="preserve">, K., &amp; Spangler, D. (2002). Risk factors for binge eating onset in adolescent </w:t>
      </w:r>
      <w:r w:rsidR="00BE0A1D" w:rsidRPr="00F508C3">
        <w:tab/>
      </w:r>
      <w:r w:rsidRPr="005C550F">
        <w:t xml:space="preserve">girls: A 2-year prospective investigation. </w:t>
      </w:r>
      <w:r w:rsidRPr="005C550F">
        <w:rPr>
          <w:i/>
          <w:iCs/>
        </w:rPr>
        <w:t>Health Psychology</w:t>
      </w:r>
      <w:r w:rsidRPr="005C550F">
        <w:t xml:space="preserve">, </w:t>
      </w:r>
      <w:r w:rsidRPr="005C550F">
        <w:rPr>
          <w:i/>
          <w:iCs/>
        </w:rPr>
        <w:t>21</w:t>
      </w:r>
      <w:r w:rsidRPr="005C550F">
        <w:t xml:space="preserve">(2), 131–138. </w:t>
      </w:r>
      <w:r w:rsidR="00BE0A1D" w:rsidRPr="00F508C3">
        <w:tab/>
      </w:r>
      <w:r w:rsidR="00F70451" w:rsidRPr="00F70451">
        <w:t>https://doi.org</w:t>
      </w:r>
      <w:r w:rsidR="00F70451">
        <w:t>/</w:t>
      </w:r>
      <w:r w:rsidRPr="005C550F">
        <w:t>10.1037/0278-6133.21.2.131</w:t>
      </w:r>
    </w:p>
    <w:p w14:paraId="6C082BAA" w14:textId="7911570C" w:rsidR="00327996" w:rsidRPr="00327996" w:rsidRDefault="00327996" w:rsidP="005F1C1C">
      <w:pPr>
        <w:spacing w:line="480" w:lineRule="auto"/>
        <w:rPr>
          <w:color w:val="000000" w:themeColor="text1"/>
        </w:rPr>
      </w:pPr>
      <w:proofErr w:type="spellStart"/>
      <w:r>
        <w:rPr>
          <w:color w:val="000000" w:themeColor="text1"/>
        </w:rPr>
        <w:t>Stice</w:t>
      </w:r>
      <w:proofErr w:type="spellEnd"/>
      <w:r>
        <w:rPr>
          <w:color w:val="000000" w:themeColor="text1"/>
        </w:rPr>
        <w:t xml:space="preserve">, E., </w:t>
      </w:r>
      <w:proofErr w:type="spellStart"/>
      <w:r>
        <w:rPr>
          <w:color w:val="000000" w:themeColor="text1"/>
        </w:rPr>
        <w:t>Yokum</w:t>
      </w:r>
      <w:proofErr w:type="spellEnd"/>
      <w:r>
        <w:rPr>
          <w:color w:val="000000" w:themeColor="text1"/>
        </w:rPr>
        <w:t xml:space="preserve">, S., </w:t>
      </w:r>
      <w:proofErr w:type="spellStart"/>
      <w:r>
        <w:rPr>
          <w:color w:val="000000" w:themeColor="text1"/>
        </w:rPr>
        <w:t>Veling</w:t>
      </w:r>
      <w:proofErr w:type="spellEnd"/>
      <w:r>
        <w:rPr>
          <w:color w:val="000000" w:themeColor="text1"/>
        </w:rPr>
        <w:t xml:space="preserve">, H., Kemps, E., &amp; Lawrence, N. (2017). Pilot test of a novel food </w:t>
      </w:r>
      <w:r>
        <w:rPr>
          <w:color w:val="000000" w:themeColor="text1"/>
        </w:rPr>
        <w:tab/>
        <w:t xml:space="preserve">response and attention training treatment for obesity: Brain imaging data suggests actions </w:t>
      </w:r>
      <w:r>
        <w:rPr>
          <w:color w:val="000000" w:themeColor="text1"/>
        </w:rPr>
        <w:lastRenderedPageBreak/>
        <w:tab/>
        <w:t xml:space="preserve">shape valuation. </w:t>
      </w:r>
      <w:r>
        <w:rPr>
          <w:i/>
          <w:iCs/>
          <w:color w:val="000000" w:themeColor="text1"/>
        </w:rPr>
        <w:t>Behavior Research and Therapy, 94</w:t>
      </w:r>
      <w:r>
        <w:rPr>
          <w:color w:val="000000" w:themeColor="text1"/>
        </w:rPr>
        <w:t xml:space="preserve">, 60–70. </w:t>
      </w:r>
      <w:r>
        <w:rPr>
          <w:color w:val="000000" w:themeColor="text1"/>
        </w:rPr>
        <w:tab/>
        <w:t>http://doi.org/10.1016/jbrat.2017.04.007</w:t>
      </w:r>
    </w:p>
    <w:p w14:paraId="7106C8F7" w14:textId="45B13033" w:rsidR="001250A5" w:rsidRPr="00F508C3" w:rsidRDefault="001250A5" w:rsidP="005F1C1C">
      <w:pPr>
        <w:pStyle w:val="Bibliography"/>
        <w:spacing w:line="480" w:lineRule="auto"/>
      </w:pPr>
      <w:proofErr w:type="spellStart"/>
      <w:r w:rsidRPr="00F508C3">
        <w:t>Subica</w:t>
      </w:r>
      <w:proofErr w:type="spellEnd"/>
      <w:r w:rsidRPr="00F508C3">
        <w:t xml:space="preserve">, A. M., Agarwal, N., Sullivan, J. G., &amp; Link, B. G. (2017). Obesity and associated health </w:t>
      </w:r>
      <w:r w:rsidRPr="00F508C3">
        <w:tab/>
        <w:t xml:space="preserve">disparities among understudied multiracial, Pacific Islander, and American Indian adults. </w:t>
      </w:r>
      <w:r w:rsidRPr="00F508C3">
        <w:tab/>
      </w:r>
      <w:r w:rsidRPr="00F508C3">
        <w:rPr>
          <w:i/>
          <w:iCs/>
        </w:rPr>
        <w:t>Obesity</w:t>
      </w:r>
      <w:r w:rsidRPr="00F508C3">
        <w:t xml:space="preserve">, </w:t>
      </w:r>
      <w:r w:rsidRPr="00F508C3">
        <w:rPr>
          <w:i/>
          <w:iCs/>
        </w:rPr>
        <w:t>25</w:t>
      </w:r>
      <w:r w:rsidRPr="00F508C3">
        <w:t xml:space="preserve">(12), 1228–2136. </w:t>
      </w:r>
      <w:r w:rsidR="00F70451" w:rsidRPr="00F70451">
        <w:t>https://doi.org</w:t>
      </w:r>
      <w:r w:rsidR="00F70451">
        <w:t>/</w:t>
      </w:r>
      <w:r w:rsidRPr="00F508C3">
        <w:rPr>
          <w:rFonts w:eastAsiaTheme="minorHAnsi"/>
        </w:rPr>
        <w:t>10.1002/oby.21954</w:t>
      </w:r>
    </w:p>
    <w:p w14:paraId="20A0BE89" w14:textId="126D7C4B" w:rsidR="00FA53C2" w:rsidRPr="00FF0E1A" w:rsidRDefault="00FA53C2" w:rsidP="005F1C1C">
      <w:pPr>
        <w:spacing w:line="480" w:lineRule="auto"/>
        <w:contextualSpacing/>
        <w:rPr>
          <w:color w:val="000000"/>
        </w:rPr>
      </w:pPr>
      <w:r w:rsidRPr="00FF0E1A">
        <w:rPr>
          <w:color w:val="000000"/>
          <w:shd w:val="clear" w:color="auto" w:fill="FFFFFF"/>
        </w:rPr>
        <w:t xml:space="preserve">Thurston, I. B., Hardin, R., </w:t>
      </w:r>
      <w:proofErr w:type="spellStart"/>
      <w:r w:rsidRPr="00FF0E1A">
        <w:rPr>
          <w:color w:val="000000"/>
          <w:shd w:val="clear" w:color="auto" w:fill="FFFFFF"/>
        </w:rPr>
        <w:t>Kamody</w:t>
      </w:r>
      <w:proofErr w:type="spellEnd"/>
      <w:r w:rsidRPr="00FF0E1A">
        <w:rPr>
          <w:color w:val="000000"/>
          <w:shd w:val="clear" w:color="auto" w:fill="FFFFFF"/>
        </w:rPr>
        <w:t xml:space="preserve">, R. C., </w:t>
      </w:r>
      <w:r w:rsidR="00F2128A">
        <w:rPr>
          <w:color w:val="000000"/>
          <w:shd w:val="clear" w:color="auto" w:fill="FFFFFF"/>
        </w:rPr>
        <w:t>&amp; d</w:t>
      </w:r>
      <w:r w:rsidRPr="00FF0E1A">
        <w:rPr>
          <w:color w:val="000000"/>
          <w:shd w:val="clear" w:color="auto" w:fill="FFFFFF"/>
        </w:rPr>
        <w:t>(2018). The moderating role of </w:t>
      </w:r>
    </w:p>
    <w:p w14:paraId="51BA46DD" w14:textId="3C027CC8" w:rsidR="00FA53C2" w:rsidRPr="00FF0E1A" w:rsidRDefault="00FA53C2" w:rsidP="005F1C1C">
      <w:pPr>
        <w:spacing w:line="480" w:lineRule="auto"/>
        <w:ind w:firstLine="720"/>
        <w:contextualSpacing/>
        <w:rPr>
          <w:color w:val="000000"/>
        </w:rPr>
      </w:pPr>
      <w:r w:rsidRPr="00FF0E1A">
        <w:rPr>
          <w:color w:val="000000"/>
          <w:shd w:val="clear" w:color="auto" w:fill="FFFFFF"/>
        </w:rPr>
        <w:t xml:space="preserve">resilience on the relationship between perceived stress and binge eating symptoms </w:t>
      </w:r>
      <w:r>
        <w:rPr>
          <w:color w:val="000000"/>
          <w:shd w:val="clear" w:color="auto" w:fill="FFFFFF"/>
        </w:rPr>
        <w:tab/>
      </w:r>
      <w:r w:rsidRPr="00FF0E1A">
        <w:rPr>
          <w:color w:val="000000"/>
          <w:shd w:val="clear" w:color="auto" w:fill="FFFFFF"/>
        </w:rPr>
        <w:t xml:space="preserve">among young adult women. </w:t>
      </w:r>
      <w:r w:rsidRPr="00FF0E1A">
        <w:rPr>
          <w:i/>
          <w:iCs/>
          <w:color w:val="000000"/>
          <w:shd w:val="clear" w:color="auto" w:fill="FFFFFF"/>
        </w:rPr>
        <w:t xml:space="preserve">Eating Behaviors, </w:t>
      </w:r>
      <w:r w:rsidRPr="00CF47A3">
        <w:rPr>
          <w:i/>
          <w:iCs/>
          <w:color w:val="000000"/>
          <w:shd w:val="clear" w:color="auto" w:fill="FFFFFF"/>
        </w:rPr>
        <w:t>29</w:t>
      </w:r>
      <w:r w:rsidRPr="00CF47A3">
        <w:rPr>
          <w:color w:val="000000"/>
          <w:shd w:val="clear" w:color="auto" w:fill="FFFFFF"/>
        </w:rPr>
        <w:t>:</w:t>
      </w:r>
      <w:r w:rsidRPr="00FF0E1A">
        <w:rPr>
          <w:color w:val="000000"/>
          <w:shd w:val="clear" w:color="auto" w:fill="FFFFFF"/>
        </w:rPr>
        <w:t xml:space="preserve"> 114–119. </w:t>
      </w:r>
      <w:r w:rsidR="00F70451">
        <w:rPr>
          <w:color w:val="000000"/>
          <w:shd w:val="clear" w:color="auto" w:fill="FFFFFF"/>
        </w:rPr>
        <w:tab/>
      </w:r>
      <w:r w:rsidR="00F70451" w:rsidRPr="00F70451">
        <w:t>https://doi.org</w:t>
      </w:r>
      <w:r w:rsidR="00F70451">
        <w:t>/</w:t>
      </w:r>
      <w:r w:rsidRPr="00FF0E1A">
        <w:rPr>
          <w:color w:val="000000"/>
          <w:shd w:val="clear" w:color="auto" w:fill="FFFFFF"/>
        </w:rPr>
        <w:t>10.1016/j.eatbeh.2018.03.009</w:t>
      </w:r>
    </w:p>
    <w:p w14:paraId="723D75DB" w14:textId="7600FE9E" w:rsidR="00FA53C2" w:rsidRPr="00FF0E1A" w:rsidRDefault="00FA53C2" w:rsidP="005F1C1C">
      <w:pPr>
        <w:spacing w:line="480" w:lineRule="auto"/>
        <w:contextualSpacing/>
        <w:rPr>
          <w:color w:val="000000"/>
        </w:rPr>
      </w:pPr>
      <w:r w:rsidRPr="00FF0E1A">
        <w:rPr>
          <w:color w:val="000000"/>
          <w:shd w:val="clear" w:color="auto" w:fill="FFFFFF"/>
        </w:rPr>
        <w:t xml:space="preserve">Torres, L. </w:t>
      </w:r>
      <w:r w:rsidR="00872216">
        <w:rPr>
          <w:color w:val="000000"/>
          <w:shd w:val="clear" w:color="auto" w:fill="FFFFFF"/>
        </w:rPr>
        <w:t>&amp;</w:t>
      </w:r>
      <w:r w:rsidRPr="00FF0E1A">
        <w:rPr>
          <w:color w:val="000000"/>
          <w:shd w:val="clear" w:color="auto" w:fill="FFFFFF"/>
        </w:rPr>
        <w:t xml:space="preserve"> Ong, A. D. (2010). A daily diary investigation of Latino ethnic identity, </w:t>
      </w:r>
    </w:p>
    <w:p w14:paraId="3ADF5024" w14:textId="77777777" w:rsidR="00FA53C2" w:rsidRPr="00FF0E1A" w:rsidRDefault="00FA53C2" w:rsidP="005F1C1C">
      <w:pPr>
        <w:spacing w:line="480" w:lineRule="auto"/>
        <w:ind w:firstLine="720"/>
        <w:contextualSpacing/>
        <w:rPr>
          <w:color w:val="000000"/>
        </w:rPr>
      </w:pPr>
      <w:r w:rsidRPr="00FF0E1A">
        <w:rPr>
          <w:color w:val="000000"/>
          <w:shd w:val="clear" w:color="auto" w:fill="FFFFFF"/>
        </w:rPr>
        <w:t xml:space="preserve">discrimination, and depression. </w:t>
      </w:r>
      <w:r w:rsidRPr="00FF0E1A">
        <w:rPr>
          <w:i/>
          <w:iCs/>
          <w:color w:val="000000"/>
          <w:shd w:val="clear" w:color="auto" w:fill="FFFFFF"/>
        </w:rPr>
        <w:t>Cultural Diversity and Ethnic Minority Psychology, </w:t>
      </w:r>
    </w:p>
    <w:p w14:paraId="2BACD629" w14:textId="7D415FFF" w:rsidR="00FA53C2" w:rsidRDefault="00FA53C2" w:rsidP="005F1C1C">
      <w:pPr>
        <w:spacing w:line="480" w:lineRule="auto"/>
        <w:contextualSpacing/>
      </w:pPr>
      <w:r>
        <w:rPr>
          <w:i/>
          <w:iCs/>
          <w:color w:val="000000"/>
          <w:shd w:val="clear" w:color="auto" w:fill="FFFFFF"/>
        </w:rPr>
        <w:tab/>
      </w:r>
      <w:r w:rsidRPr="00FF0E1A">
        <w:rPr>
          <w:i/>
          <w:iCs/>
          <w:color w:val="000000"/>
          <w:shd w:val="clear" w:color="auto" w:fill="FFFFFF"/>
        </w:rPr>
        <w:t>16</w:t>
      </w:r>
      <w:r w:rsidRPr="00FF0E1A">
        <w:rPr>
          <w:color w:val="000000"/>
          <w:shd w:val="clear" w:color="auto" w:fill="FFFFFF"/>
        </w:rPr>
        <w:t xml:space="preserve">(4), 561–568. </w:t>
      </w:r>
      <w:r w:rsidR="00F70451" w:rsidRPr="00F70451">
        <w:t>https://doi.org</w:t>
      </w:r>
      <w:r w:rsidR="00F70451">
        <w:t>/</w:t>
      </w:r>
      <w:r w:rsidRPr="00FF0E1A">
        <w:rPr>
          <w:color w:val="000000"/>
          <w:shd w:val="clear" w:color="auto" w:fill="FFFFFF"/>
        </w:rPr>
        <w:t>10.1037/a0020652</w:t>
      </w:r>
    </w:p>
    <w:p w14:paraId="14806B8A" w14:textId="4511E3D4" w:rsidR="005C550F" w:rsidRPr="005C550F" w:rsidRDefault="005C550F" w:rsidP="005F1C1C">
      <w:pPr>
        <w:spacing w:line="480" w:lineRule="auto"/>
      </w:pPr>
      <w:proofErr w:type="spellStart"/>
      <w:r w:rsidRPr="005C550F">
        <w:t>Utsey</w:t>
      </w:r>
      <w:proofErr w:type="spellEnd"/>
      <w:r w:rsidRPr="005C550F">
        <w:t xml:space="preserve">, S. O., Chae, M. H., Brown, C. F., &amp; Kelly, D. (2002). Effect of ethnic group membership </w:t>
      </w:r>
      <w:r w:rsidR="00BE0A1D" w:rsidRPr="00F508C3">
        <w:tab/>
      </w:r>
      <w:r w:rsidRPr="005C550F">
        <w:t xml:space="preserve">on ethnic identity, race-related stress, and quality of life. </w:t>
      </w:r>
      <w:r w:rsidRPr="005C550F">
        <w:rPr>
          <w:i/>
          <w:iCs/>
        </w:rPr>
        <w:t xml:space="preserve">Cultural Diversity and Ethnic </w:t>
      </w:r>
      <w:r w:rsidR="00BE0A1D" w:rsidRPr="00F508C3">
        <w:rPr>
          <w:i/>
          <w:iCs/>
        </w:rPr>
        <w:tab/>
      </w:r>
      <w:r w:rsidRPr="005C550F">
        <w:rPr>
          <w:i/>
          <w:iCs/>
        </w:rPr>
        <w:t>Minority Psychology</w:t>
      </w:r>
      <w:r w:rsidRPr="005C550F">
        <w:t xml:space="preserve">, </w:t>
      </w:r>
      <w:r w:rsidRPr="005C550F">
        <w:rPr>
          <w:i/>
          <w:iCs/>
        </w:rPr>
        <w:t>8</w:t>
      </w:r>
      <w:r w:rsidRPr="005C550F">
        <w:t xml:space="preserve">(4), 366–377. </w:t>
      </w:r>
      <w:r w:rsidR="00F70451" w:rsidRPr="00F70451">
        <w:t>https://doi.org</w:t>
      </w:r>
      <w:r w:rsidR="00F70451">
        <w:t>/</w:t>
      </w:r>
      <w:r w:rsidRPr="005C550F">
        <w:t>10.1037/1099-9809.8.4.367</w:t>
      </w:r>
    </w:p>
    <w:p w14:paraId="73FD2200" w14:textId="28DA13D6" w:rsidR="0035459B" w:rsidRPr="00F508C3" w:rsidRDefault="0035459B" w:rsidP="005F1C1C">
      <w:pPr>
        <w:spacing w:line="480" w:lineRule="auto"/>
      </w:pPr>
      <w:proofErr w:type="spellStart"/>
      <w:r w:rsidRPr="00F508C3">
        <w:t>Vieten</w:t>
      </w:r>
      <w:proofErr w:type="spellEnd"/>
      <w:r w:rsidRPr="00F508C3">
        <w:t xml:space="preserve">, C., </w:t>
      </w:r>
      <w:proofErr w:type="spellStart"/>
      <w:r w:rsidRPr="00F508C3">
        <w:t>Laraia</w:t>
      </w:r>
      <w:proofErr w:type="spellEnd"/>
      <w:r w:rsidRPr="00F508C3">
        <w:t xml:space="preserve">, B. A., </w:t>
      </w:r>
      <w:proofErr w:type="spellStart"/>
      <w:r w:rsidRPr="00F508C3">
        <w:t>Kristeller</w:t>
      </w:r>
      <w:proofErr w:type="spellEnd"/>
      <w:r w:rsidRPr="00F508C3">
        <w:t>, J., Adler, N., Coleman-</w:t>
      </w:r>
      <w:proofErr w:type="spellStart"/>
      <w:r w:rsidRPr="00F508C3">
        <w:t>Phox</w:t>
      </w:r>
      <w:proofErr w:type="spellEnd"/>
      <w:r w:rsidRPr="00F508C3">
        <w:t xml:space="preserve">, K., Bush, N. R., </w:t>
      </w:r>
      <w:r w:rsidRPr="00F508C3">
        <w:tab/>
      </w:r>
      <w:proofErr w:type="spellStart"/>
      <w:r w:rsidRPr="00F508C3">
        <w:t>Wahbeh</w:t>
      </w:r>
      <w:proofErr w:type="spellEnd"/>
      <w:r w:rsidRPr="00F508C3">
        <w:t xml:space="preserve">, H., Duncan, L. G., &amp; </w:t>
      </w:r>
      <w:proofErr w:type="spellStart"/>
      <w:r w:rsidRPr="00F508C3">
        <w:t>Epel</w:t>
      </w:r>
      <w:proofErr w:type="spellEnd"/>
      <w:r w:rsidRPr="00F508C3">
        <w:t xml:space="preserve">, E. (2018). The mindful moms training: </w:t>
      </w:r>
      <w:r w:rsidRPr="00F508C3">
        <w:tab/>
        <w:t xml:space="preserve">Development of a mindfulness-based intervention to reduce stress and overeating during </w:t>
      </w:r>
      <w:r w:rsidRPr="00F508C3">
        <w:tab/>
        <w:t xml:space="preserve">pregnancy. </w:t>
      </w:r>
      <w:r w:rsidRPr="00F508C3">
        <w:rPr>
          <w:i/>
        </w:rPr>
        <w:t>BMC Pregnancy and Childbirth, 18</w:t>
      </w:r>
      <w:r w:rsidRPr="00F508C3">
        <w:t xml:space="preserve">(201), 1–14. </w:t>
      </w:r>
      <w:r w:rsidR="00F70451">
        <w:tab/>
      </w:r>
      <w:r w:rsidR="00F70451" w:rsidRPr="00F70451">
        <w:t>https://doi.org</w:t>
      </w:r>
      <w:r w:rsidR="00F70451">
        <w:t>/</w:t>
      </w:r>
      <w:r w:rsidRPr="00F508C3">
        <w:t>10.1186/s12884-018-</w:t>
      </w:r>
      <w:r w:rsidRPr="00F508C3">
        <w:tab/>
        <w:t>1757-6</w:t>
      </w:r>
    </w:p>
    <w:p w14:paraId="21A246F7" w14:textId="5137BECD" w:rsidR="00BE0A1D" w:rsidRPr="00F508C3" w:rsidRDefault="005C550F" w:rsidP="005F1C1C">
      <w:pPr>
        <w:spacing w:line="480" w:lineRule="auto"/>
      </w:pPr>
      <w:r w:rsidRPr="005C550F">
        <w:t xml:space="preserve">Webber, K. H., </w:t>
      </w:r>
      <w:proofErr w:type="spellStart"/>
      <w:r w:rsidRPr="005C550F">
        <w:t>Mellin</w:t>
      </w:r>
      <w:proofErr w:type="spellEnd"/>
      <w:r w:rsidRPr="005C550F">
        <w:t xml:space="preserve">, L., Mayes, L., Mitrovic, I., &amp; Saulnier, M. (2018). Pilot </w:t>
      </w:r>
      <w:r w:rsidR="00BE0A1D" w:rsidRPr="00F508C3">
        <w:t>i</w:t>
      </w:r>
      <w:r w:rsidRPr="005C550F">
        <w:t xml:space="preserve">nvestigation of </w:t>
      </w:r>
      <w:r w:rsidR="00BE0A1D" w:rsidRPr="00F508C3">
        <w:tab/>
      </w:r>
      <w:r w:rsidRPr="005C550F">
        <w:t xml:space="preserve">2 </w:t>
      </w:r>
      <w:proofErr w:type="spellStart"/>
      <w:r w:rsidR="00BE0A1D" w:rsidRPr="00F508C3">
        <w:t>n</w:t>
      </w:r>
      <w:r w:rsidRPr="005C550F">
        <w:t>ondiet</w:t>
      </w:r>
      <w:proofErr w:type="spellEnd"/>
      <w:r w:rsidRPr="005C550F">
        <w:t xml:space="preserve"> </w:t>
      </w:r>
      <w:r w:rsidR="00BE0A1D" w:rsidRPr="00F508C3">
        <w:t>a</w:t>
      </w:r>
      <w:r w:rsidRPr="005C550F">
        <w:t xml:space="preserve">pproaches to </w:t>
      </w:r>
      <w:r w:rsidR="00BE0A1D" w:rsidRPr="00F508C3">
        <w:t>i</w:t>
      </w:r>
      <w:r w:rsidRPr="005C550F">
        <w:t xml:space="preserve">mprove </w:t>
      </w:r>
      <w:r w:rsidR="00BE0A1D" w:rsidRPr="00F508C3">
        <w:t>w</w:t>
      </w:r>
      <w:r w:rsidRPr="005C550F">
        <w:t xml:space="preserve">eight and </w:t>
      </w:r>
      <w:r w:rsidR="00BE0A1D" w:rsidRPr="00F508C3">
        <w:t>h</w:t>
      </w:r>
      <w:r w:rsidRPr="005C550F">
        <w:t xml:space="preserve">ealth. </w:t>
      </w:r>
      <w:r w:rsidRPr="005C550F">
        <w:rPr>
          <w:i/>
          <w:iCs/>
        </w:rPr>
        <w:t xml:space="preserve">Alternative Therapies in Health &amp; </w:t>
      </w:r>
      <w:r w:rsidR="00BE0A1D" w:rsidRPr="00F508C3">
        <w:rPr>
          <w:i/>
          <w:iCs/>
        </w:rPr>
        <w:tab/>
      </w:r>
      <w:r w:rsidRPr="005C550F">
        <w:rPr>
          <w:i/>
          <w:iCs/>
        </w:rPr>
        <w:t>Medicine</w:t>
      </w:r>
      <w:r w:rsidRPr="005C550F">
        <w:t xml:space="preserve">, </w:t>
      </w:r>
      <w:r w:rsidRPr="005C550F">
        <w:rPr>
          <w:i/>
          <w:iCs/>
        </w:rPr>
        <w:t>24</w:t>
      </w:r>
      <w:r w:rsidRPr="005C550F">
        <w:t>(1), 16–20.</w:t>
      </w:r>
      <w:r w:rsidR="00BE0A1D" w:rsidRPr="00F508C3">
        <w:t xml:space="preserve"> </w:t>
      </w:r>
      <w:hyperlink r:id="rId11" w:history="1">
        <w:r w:rsidR="00BE0A1D" w:rsidRPr="00F508C3">
          <w:rPr>
            <w:rStyle w:val="Hyperlink"/>
            <w:color w:val="000000" w:themeColor="text1"/>
            <w:u w:val="none"/>
          </w:rPr>
          <w:t>https://www.ebtconnect.net/mindfulness.pdf</w:t>
        </w:r>
      </w:hyperlink>
    </w:p>
    <w:p w14:paraId="3B619433" w14:textId="598055A5" w:rsidR="005C550F" w:rsidRPr="00F508C3" w:rsidRDefault="005C550F" w:rsidP="005F1C1C">
      <w:pPr>
        <w:spacing w:line="480" w:lineRule="auto"/>
      </w:pPr>
      <w:r w:rsidRPr="005C550F">
        <w:lastRenderedPageBreak/>
        <w:t xml:space="preserve">White, M. A., &amp; </w:t>
      </w:r>
      <w:proofErr w:type="spellStart"/>
      <w:r w:rsidRPr="005C550F">
        <w:t>Grilo</w:t>
      </w:r>
      <w:proofErr w:type="spellEnd"/>
      <w:r w:rsidRPr="005C550F">
        <w:t xml:space="preserve">, C. M. (2011). Diagnostic efficiency of DSM– IV indicators for binge </w:t>
      </w:r>
      <w:r w:rsidR="00BE0A1D" w:rsidRPr="00F508C3">
        <w:tab/>
      </w:r>
      <w:r w:rsidRPr="005C550F">
        <w:t xml:space="preserve">eating episodes. </w:t>
      </w:r>
      <w:r w:rsidRPr="005C550F">
        <w:rPr>
          <w:i/>
          <w:iCs/>
        </w:rPr>
        <w:t>Journal of Consulting and Clinical Psychology</w:t>
      </w:r>
      <w:r w:rsidRPr="005C550F">
        <w:t xml:space="preserve">, </w:t>
      </w:r>
      <w:r w:rsidRPr="005C550F">
        <w:rPr>
          <w:i/>
          <w:iCs/>
        </w:rPr>
        <w:t>79</w:t>
      </w:r>
      <w:r w:rsidRPr="005C550F">
        <w:t xml:space="preserve">(1), 75–83. </w:t>
      </w:r>
      <w:r w:rsidR="00BE0A1D" w:rsidRPr="00F508C3">
        <w:tab/>
      </w:r>
      <w:r w:rsidR="00F70451" w:rsidRPr="00F70451">
        <w:t>https://doi.org</w:t>
      </w:r>
      <w:r w:rsidR="00F70451">
        <w:t>/</w:t>
      </w:r>
      <w:r w:rsidRPr="005C550F">
        <w:t>10.1037/a0022210</w:t>
      </w:r>
    </w:p>
    <w:p w14:paraId="0E9AD24A" w14:textId="0742F6B4" w:rsidR="0075682B" w:rsidRDefault="0075682B" w:rsidP="005F1C1C">
      <w:pPr>
        <w:spacing w:line="480" w:lineRule="auto"/>
      </w:pPr>
      <w:r w:rsidRPr="0075682B">
        <w:t xml:space="preserve">Wilson, G. T., </w:t>
      </w:r>
      <w:proofErr w:type="spellStart"/>
      <w:r w:rsidRPr="0075682B">
        <w:t>Nonas</w:t>
      </w:r>
      <w:proofErr w:type="spellEnd"/>
      <w:r w:rsidRPr="0075682B">
        <w:t xml:space="preserve">, C. A., &amp; Rosenblum, G. D. (1993). Assessment of binge eating in obese </w:t>
      </w:r>
      <w:r>
        <w:tab/>
      </w:r>
      <w:r w:rsidRPr="0075682B">
        <w:t>patients. </w:t>
      </w:r>
      <w:r w:rsidRPr="0075682B">
        <w:rPr>
          <w:i/>
          <w:iCs/>
        </w:rPr>
        <w:t>International Journal of Eating Disorders</w:t>
      </w:r>
      <w:r w:rsidRPr="0075682B">
        <w:t>, </w:t>
      </w:r>
      <w:r w:rsidRPr="0075682B">
        <w:rPr>
          <w:i/>
          <w:iCs/>
        </w:rPr>
        <w:t>13</w:t>
      </w:r>
      <w:r w:rsidRPr="0075682B">
        <w:t>(1), 25</w:t>
      </w:r>
      <w:r w:rsidR="00327996" w:rsidRPr="006317E4">
        <w:rPr>
          <w:color w:val="333333"/>
          <w:shd w:val="clear" w:color="auto" w:fill="FFFFFF"/>
        </w:rPr>
        <w:t>–</w:t>
      </w:r>
      <w:r w:rsidRPr="0075682B">
        <w:t>33.</w:t>
      </w:r>
      <w:r>
        <w:t xml:space="preserve"> </w:t>
      </w:r>
      <w:r>
        <w:tab/>
      </w:r>
      <w:r w:rsidRPr="0075682B">
        <w:t>https://doi</w:t>
      </w:r>
      <w:r>
        <w:t>.</w:t>
      </w:r>
      <w:r w:rsidRPr="0075682B">
        <w:t>org/10.1002/1098-108X(199301)13:1%3C25::AID-</w:t>
      </w:r>
      <w:r>
        <w:tab/>
      </w:r>
      <w:r w:rsidRPr="0075682B">
        <w:t>EAT2260130104%3E3.0.CO;2-T</w:t>
      </w:r>
    </w:p>
    <w:p w14:paraId="6258EBB9" w14:textId="3D3EFB20" w:rsidR="00403C5A" w:rsidRDefault="00403C5A" w:rsidP="005F1C1C">
      <w:pPr>
        <w:spacing w:line="480" w:lineRule="auto"/>
      </w:pPr>
      <w:r w:rsidRPr="00F508C3">
        <w:t xml:space="preserve">Word Health Organization (2020). </w:t>
      </w:r>
      <w:r w:rsidRPr="00F508C3">
        <w:rPr>
          <w:i/>
          <w:iCs/>
        </w:rPr>
        <w:t>Health topics: Obesity</w:t>
      </w:r>
      <w:r w:rsidRPr="00F508C3">
        <w:t>.</w:t>
      </w:r>
      <w:r w:rsidRPr="00F508C3">
        <w:tab/>
        <w:t xml:space="preserve">https://www.who.int/topics/obesity/en/ </w:t>
      </w:r>
    </w:p>
    <w:p w14:paraId="68E4951E" w14:textId="77777777" w:rsidR="00327996" w:rsidRDefault="00327996" w:rsidP="00327996">
      <w:pPr>
        <w:spacing w:line="480" w:lineRule="auto"/>
        <w:rPr>
          <w:color w:val="000000" w:themeColor="text1"/>
        </w:rPr>
      </w:pPr>
      <w:proofErr w:type="spellStart"/>
      <w:r>
        <w:t>Yanvoski</w:t>
      </w:r>
      <w:proofErr w:type="spellEnd"/>
      <w:r>
        <w:t xml:space="preserve">, S. Z., Marcus, M. D., </w:t>
      </w:r>
      <w:proofErr w:type="spellStart"/>
      <w:r>
        <w:t>Wadden</w:t>
      </w:r>
      <w:proofErr w:type="spellEnd"/>
      <w:r>
        <w:t xml:space="preserve">, T. A., &amp; Walsh, B. T. (2015). The Questionnaire on </w:t>
      </w:r>
      <w:r>
        <w:tab/>
        <w:t>Eating and Weight Patterns</w:t>
      </w:r>
      <w:r>
        <w:rPr>
          <w:color w:val="000000" w:themeColor="text1"/>
        </w:rPr>
        <w:t xml:space="preserve">–5: An updated screening instrument for binge eating </w:t>
      </w:r>
      <w:r>
        <w:rPr>
          <w:color w:val="000000" w:themeColor="text1"/>
        </w:rPr>
        <w:tab/>
        <w:t xml:space="preserve">disorder: QEWP–5. </w:t>
      </w:r>
      <w:r>
        <w:rPr>
          <w:i/>
          <w:iCs/>
          <w:color w:val="000000" w:themeColor="text1"/>
        </w:rPr>
        <w:t>International Journal of Eating Disorders, 48</w:t>
      </w:r>
      <w:r>
        <w:rPr>
          <w:color w:val="000000" w:themeColor="text1"/>
        </w:rPr>
        <w:t xml:space="preserve">(3), 259–261. </w:t>
      </w:r>
      <w:r>
        <w:rPr>
          <w:color w:val="000000" w:themeColor="text1"/>
        </w:rPr>
        <w:tab/>
        <w:t>http://doi.org/10.1002/eat.22372</w:t>
      </w:r>
    </w:p>
    <w:p w14:paraId="3434CE8C" w14:textId="77777777" w:rsidR="00327996" w:rsidRPr="00F508C3" w:rsidRDefault="00327996" w:rsidP="005F1C1C">
      <w:pPr>
        <w:spacing w:line="480" w:lineRule="auto"/>
      </w:pPr>
    </w:p>
    <w:p w14:paraId="740E4423" w14:textId="6C0B46AB" w:rsidR="00403C5A" w:rsidRDefault="00403C5A" w:rsidP="005C550F"/>
    <w:p w14:paraId="07A30D81" w14:textId="1549B940" w:rsidR="00327996" w:rsidRDefault="00327996" w:rsidP="005C550F"/>
    <w:p w14:paraId="4854863F" w14:textId="6DAEE8FD" w:rsidR="00327996" w:rsidRDefault="00327996" w:rsidP="005C550F"/>
    <w:p w14:paraId="6A2D2466" w14:textId="60DA4BDF" w:rsidR="00327996" w:rsidRDefault="00327996" w:rsidP="005C550F"/>
    <w:p w14:paraId="319D9CA7" w14:textId="068F8910" w:rsidR="00327996" w:rsidRDefault="00327996" w:rsidP="005C550F"/>
    <w:p w14:paraId="4B89EED9" w14:textId="059CD1FA" w:rsidR="00327996" w:rsidRDefault="00327996" w:rsidP="005C550F"/>
    <w:p w14:paraId="6C3020CF" w14:textId="0D679FDC" w:rsidR="00327996" w:rsidRDefault="00327996" w:rsidP="005C550F"/>
    <w:p w14:paraId="5B6C7BBC" w14:textId="6BD3B9B4" w:rsidR="00327996" w:rsidRDefault="00327996" w:rsidP="005C550F"/>
    <w:p w14:paraId="34882980" w14:textId="66ACD7C2" w:rsidR="00327996" w:rsidRDefault="00327996" w:rsidP="005C550F"/>
    <w:p w14:paraId="0FDE1987" w14:textId="568600AC" w:rsidR="00327996" w:rsidRDefault="00327996" w:rsidP="005C550F"/>
    <w:p w14:paraId="6DD49BE6" w14:textId="106DC975" w:rsidR="00327996" w:rsidRDefault="00327996" w:rsidP="005C550F"/>
    <w:p w14:paraId="5ED64D91" w14:textId="5E6A9921" w:rsidR="00327996" w:rsidRDefault="00327996" w:rsidP="005C550F"/>
    <w:p w14:paraId="3A815E95" w14:textId="10163A92" w:rsidR="00327996" w:rsidRDefault="00327996" w:rsidP="005C550F"/>
    <w:p w14:paraId="3FD1AE9B" w14:textId="6A2459A8" w:rsidR="00327996" w:rsidRDefault="00327996" w:rsidP="005C550F"/>
    <w:p w14:paraId="0F906AB6" w14:textId="325A7214" w:rsidR="00327996" w:rsidRDefault="00327996" w:rsidP="005C550F"/>
    <w:p w14:paraId="52D73850" w14:textId="2598471B" w:rsidR="00327996" w:rsidRDefault="00327996" w:rsidP="005C550F"/>
    <w:p w14:paraId="5DEC9BD1" w14:textId="592285EE" w:rsidR="00327996" w:rsidRDefault="00327996" w:rsidP="005C550F"/>
    <w:p w14:paraId="1C78CF9C" w14:textId="61C14679" w:rsidR="00327996" w:rsidRDefault="00327996" w:rsidP="005C550F"/>
    <w:p w14:paraId="4EB96FA4" w14:textId="0F78798E" w:rsidR="00327996" w:rsidRDefault="00327996" w:rsidP="00327996">
      <w:pPr>
        <w:jc w:val="center"/>
        <w:rPr>
          <w:b/>
          <w:bCs/>
        </w:rPr>
      </w:pPr>
      <w:r>
        <w:rPr>
          <w:b/>
          <w:bCs/>
        </w:rPr>
        <w:lastRenderedPageBreak/>
        <w:t>Appendix A: IRB Approval Le</w:t>
      </w:r>
      <w:r w:rsidR="00F2128A">
        <w:rPr>
          <w:b/>
          <w:bCs/>
        </w:rPr>
        <w:t>t</w:t>
      </w:r>
      <w:r>
        <w:rPr>
          <w:b/>
          <w:bCs/>
        </w:rPr>
        <w:t>ter</w:t>
      </w:r>
    </w:p>
    <w:p w14:paraId="6D14A91F" w14:textId="006D302B" w:rsidR="00327996" w:rsidRDefault="00327996" w:rsidP="00327996">
      <w:pPr>
        <w:jc w:val="center"/>
        <w:rPr>
          <w:b/>
          <w:bCs/>
        </w:rPr>
      </w:pPr>
      <w:r w:rsidRPr="00327996">
        <w:rPr>
          <w:b/>
          <w:bCs/>
          <w:noProof/>
        </w:rPr>
        <w:drawing>
          <wp:inline distT="0" distB="0" distL="0" distR="0" wp14:anchorId="1FF49590" wp14:editId="04457968">
            <wp:extent cx="6019762" cy="6864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7692" t="8948" r="8975" b="23868"/>
                    <a:stretch/>
                  </pic:blipFill>
                  <pic:spPr bwMode="auto">
                    <a:xfrm>
                      <a:off x="0" y="0"/>
                      <a:ext cx="6020473" cy="6865796"/>
                    </a:xfrm>
                    <a:prstGeom prst="rect">
                      <a:avLst/>
                    </a:prstGeom>
                    <a:ln>
                      <a:noFill/>
                    </a:ln>
                    <a:extLst>
                      <a:ext uri="{53640926-AAD7-44D8-BBD7-CCE9431645EC}">
                        <a14:shadowObscured xmlns:a14="http://schemas.microsoft.com/office/drawing/2010/main"/>
                      </a:ext>
                    </a:extLst>
                  </pic:spPr>
                </pic:pic>
              </a:graphicData>
            </a:graphic>
          </wp:inline>
        </w:drawing>
      </w:r>
    </w:p>
    <w:p w14:paraId="77DD8EBA" w14:textId="3C12B1CC" w:rsidR="00327996" w:rsidRDefault="00327996" w:rsidP="00327996">
      <w:pPr>
        <w:jc w:val="center"/>
        <w:rPr>
          <w:b/>
          <w:bCs/>
        </w:rPr>
      </w:pPr>
    </w:p>
    <w:p w14:paraId="343BB188" w14:textId="711680C0" w:rsidR="00327996" w:rsidRDefault="00327996" w:rsidP="00327996">
      <w:pPr>
        <w:jc w:val="center"/>
        <w:rPr>
          <w:b/>
          <w:bCs/>
        </w:rPr>
      </w:pPr>
    </w:p>
    <w:p w14:paraId="3BD4BA0F" w14:textId="77777777" w:rsidR="00327996" w:rsidRDefault="00327996" w:rsidP="00327996">
      <w:pPr>
        <w:jc w:val="center"/>
        <w:rPr>
          <w:b/>
          <w:bCs/>
        </w:rPr>
      </w:pPr>
    </w:p>
    <w:p w14:paraId="78A25E92" w14:textId="77777777" w:rsidR="00327996" w:rsidRDefault="00327996" w:rsidP="00327996">
      <w:pPr>
        <w:jc w:val="center"/>
        <w:rPr>
          <w:b/>
          <w:bCs/>
        </w:rPr>
      </w:pPr>
    </w:p>
    <w:p w14:paraId="5DAAA007" w14:textId="77777777" w:rsidR="00327996" w:rsidRDefault="00327996" w:rsidP="00327996">
      <w:pPr>
        <w:jc w:val="center"/>
        <w:rPr>
          <w:b/>
          <w:bCs/>
        </w:rPr>
      </w:pPr>
    </w:p>
    <w:p w14:paraId="598ACB8B" w14:textId="77777777" w:rsidR="00327996" w:rsidRDefault="00327996" w:rsidP="00327996">
      <w:pPr>
        <w:jc w:val="center"/>
        <w:rPr>
          <w:b/>
          <w:bCs/>
        </w:rPr>
      </w:pPr>
    </w:p>
    <w:p w14:paraId="30B79147" w14:textId="77777777" w:rsidR="00327996" w:rsidRDefault="00327996" w:rsidP="00327996">
      <w:pPr>
        <w:jc w:val="center"/>
        <w:rPr>
          <w:b/>
          <w:bCs/>
        </w:rPr>
      </w:pPr>
    </w:p>
    <w:p w14:paraId="0756377F" w14:textId="2F3401BA" w:rsidR="00327996" w:rsidRDefault="00327996" w:rsidP="00327996">
      <w:pPr>
        <w:jc w:val="center"/>
        <w:rPr>
          <w:b/>
          <w:bCs/>
        </w:rPr>
      </w:pPr>
      <w:r>
        <w:rPr>
          <w:b/>
          <w:bCs/>
        </w:rPr>
        <w:t>Appendix B: Survey</w:t>
      </w:r>
    </w:p>
    <w:p w14:paraId="35D8E3DF" w14:textId="77777777" w:rsidR="00327996" w:rsidRDefault="00327996" w:rsidP="00327996">
      <w:r>
        <w:t>What is your race?  Do you consider yourself</w:t>
      </w:r>
      <w:proofErr w:type="gramStart"/>
      <w:r>
        <w:t>…(</w:t>
      </w:r>
      <w:proofErr w:type="gramEnd"/>
      <w:r>
        <w:t>select one or more):</w:t>
      </w:r>
    </w:p>
    <w:p w14:paraId="5CAABAA7" w14:textId="77777777" w:rsidR="00327996" w:rsidRDefault="00327996" w:rsidP="00327996">
      <w:pPr>
        <w:pStyle w:val="ListParagraph"/>
        <w:numPr>
          <w:ilvl w:val="0"/>
          <w:numId w:val="27"/>
        </w:numPr>
        <w:rPr>
          <w:rFonts w:ascii="Times New Roman" w:hAnsi="Times New Roman" w:cs="Times New Roman"/>
        </w:rPr>
      </w:pPr>
      <w:r>
        <w:rPr>
          <w:rFonts w:ascii="Times New Roman" w:hAnsi="Times New Roman" w:cs="Times New Roman"/>
        </w:rPr>
        <w:t xml:space="preserve">White </w:t>
      </w:r>
    </w:p>
    <w:p w14:paraId="1CC76DF0" w14:textId="77777777" w:rsidR="00327996" w:rsidRDefault="00327996" w:rsidP="00327996">
      <w:pPr>
        <w:pStyle w:val="ListParagraph"/>
        <w:numPr>
          <w:ilvl w:val="0"/>
          <w:numId w:val="27"/>
        </w:numPr>
        <w:rPr>
          <w:rFonts w:ascii="Times New Roman" w:hAnsi="Times New Roman" w:cs="Times New Roman"/>
        </w:rPr>
      </w:pPr>
      <w:r>
        <w:rPr>
          <w:rFonts w:ascii="Times New Roman" w:hAnsi="Times New Roman" w:cs="Times New Roman"/>
        </w:rPr>
        <w:t>Black or African American</w:t>
      </w:r>
    </w:p>
    <w:p w14:paraId="29D15ECA" w14:textId="77777777" w:rsidR="00327996" w:rsidRDefault="00327996" w:rsidP="00327996">
      <w:pPr>
        <w:pStyle w:val="ListParagraph"/>
        <w:numPr>
          <w:ilvl w:val="0"/>
          <w:numId w:val="27"/>
        </w:numPr>
        <w:rPr>
          <w:rFonts w:ascii="Times New Roman" w:hAnsi="Times New Roman" w:cs="Times New Roman"/>
        </w:rPr>
      </w:pPr>
      <w:r>
        <w:rPr>
          <w:rFonts w:ascii="Times New Roman" w:hAnsi="Times New Roman" w:cs="Times New Roman"/>
        </w:rPr>
        <w:t>Asian</w:t>
      </w:r>
    </w:p>
    <w:p w14:paraId="602E339D" w14:textId="77777777" w:rsidR="00327996" w:rsidRDefault="00327996" w:rsidP="00327996">
      <w:pPr>
        <w:pStyle w:val="ListParagraph"/>
        <w:numPr>
          <w:ilvl w:val="0"/>
          <w:numId w:val="27"/>
        </w:numPr>
        <w:rPr>
          <w:rFonts w:ascii="Times New Roman" w:hAnsi="Times New Roman" w:cs="Times New Roman"/>
        </w:rPr>
      </w:pPr>
      <w:r>
        <w:rPr>
          <w:rFonts w:ascii="Times New Roman" w:hAnsi="Times New Roman" w:cs="Times New Roman"/>
        </w:rPr>
        <w:t xml:space="preserve">Native Hawaiian or </w:t>
      </w:r>
      <w:proofErr w:type="gramStart"/>
      <w:r>
        <w:rPr>
          <w:rFonts w:ascii="Times New Roman" w:hAnsi="Times New Roman" w:cs="Times New Roman"/>
        </w:rPr>
        <w:t>other</w:t>
      </w:r>
      <w:proofErr w:type="gramEnd"/>
      <w:r>
        <w:rPr>
          <w:rFonts w:ascii="Times New Roman" w:hAnsi="Times New Roman" w:cs="Times New Roman"/>
        </w:rPr>
        <w:t xml:space="preserve"> Pacific Islander</w:t>
      </w:r>
    </w:p>
    <w:p w14:paraId="677EEBC5" w14:textId="77777777" w:rsidR="00327996" w:rsidRDefault="00327996" w:rsidP="00327996">
      <w:pPr>
        <w:pStyle w:val="ListParagraph"/>
        <w:numPr>
          <w:ilvl w:val="0"/>
          <w:numId w:val="27"/>
        </w:numPr>
        <w:rPr>
          <w:rFonts w:ascii="Times New Roman" w:hAnsi="Times New Roman" w:cs="Times New Roman"/>
        </w:rPr>
      </w:pPr>
      <w:r>
        <w:rPr>
          <w:rFonts w:ascii="Times New Roman" w:hAnsi="Times New Roman" w:cs="Times New Roman"/>
        </w:rPr>
        <w:t>American Indian or Alaska Native</w:t>
      </w:r>
    </w:p>
    <w:p w14:paraId="0B27C753" w14:textId="77777777" w:rsidR="00327996" w:rsidRDefault="00327996" w:rsidP="00327996">
      <w:pPr>
        <w:pStyle w:val="ListParagraph"/>
        <w:numPr>
          <w:ilvl w:val="0"/>
          <w:numId w:val="27"/>
        </w:numPr>
        <w:rPr>
          <w:rFonts w:ascii="Times New Roman" w:hAnsi="Times New Roman" w:cs="Times New Roman"/>
        </w:rPr>
      </w:pPr>
      <w:r>
        <w:rPr>
          <w:rFonts w:ascii="Times New Roman" w:hAnsi="Times New Roman" w:cs="Times New Roman"/>
        </w:rPr>
        <w:t>Other:________</w:t>
      </w:r>
    </w:p>
    <w:p w14:paraId="10167E11" w14:textId="77777777" w:rsidR="00327996" w:rsidRDefault="00327996" w:rsidP="00327996">
      <w:r>
        <w:t>Are you Hispanic, Latino(a), or Spanish origin?</w:t>
      </w:r>
    </w:p>
    <w:p w14:paraId="49EF0D85" w14:textId="77777777" w:rsidR="00327996" w:rsidRDefault="00327996" w:rsidP="00327996">
      <w:pPr>
        <w:pStyle w:val="ListParagraph"/>
        <w:numPr>
          <w:ilvl w:val="0"/>
          <w:numId w:val="29"/>
        </w:numPr>
        <w:rPr>
          <w:rFonts w:ascii="Times New Roman" w:hAnsi="Times New Roman" w:cs="Times New Roman"/>
        </w:rPr>
      </w:pPr>
      <w:r>
        <w:rPr>
          <w:rFonts w:ascii="Times New Roman" w:hAnsi="Times New Roman" w:cs="Times New Roman"/>
        </w:rPr>
        <w:t>Yes</w:t>
      </w:r>
    </w:p>
    <w:p w14:paraId="72E67BC2" w14:textId="77777777" w:rsidR="00327996" w:rsidRPr="00007CD7" w:rsidRDefault="00327996" w:rsidP="00327996">
      <w:pPr>
        <w:pStyle w:val="ListParagraph"/>
        <w:numPr>
          <w:ilvl w:val="0"/>
          <w:numId w:val="29"/>
        </w:numPr>
        <w:rPr>
          <w:rFonts w:ascii="Times New Roman" w:hAnsi="Times New Roman" w:cs="Times New Roman"/>
        </w:rPr>
      </w:pPr>
      <w:r>
        <w:rPr>
          <w:rFonts w:ascii="Times New Roman" w:hAnsi="Times New Roman" w:cs="Times New Roman"/>
        </w:rPr>
        <w:t>No</w:t>
      </w:r>
    </w:p>
    <w:p w14:paraId="0F26B685" w14:textId="77777777" w:rsidR="00327996" w:rsidRDefault="00327996" w:rsidP="00327996">
      <w:r>
        <w:t>What is your current age in years?</w:t>
      </w:r>
    </w:p>
    <w:p w14:paraId="5B34B54D" w14:textId="77777777" w:rsidR="00327996" w:rsidRDefault="00327996" w:rsidP="00327996"/>
    <w:p w14:paraId="101C3287" w14:textId="77777777" w:rsidR="00327996" w:rsidRDefault="00327996" w:rsidP="00327996">
      <w:r>
        <w:t>What is your weight in pounds?</w:t>
      </w:r>
    </w:p>
    <w:p w14:paraId="24CB1992" w14:textId="77777777" w:rsidR="00327996" w:rsidRDefault="00327996" w:rsidP="00327996"/>
    <w:p w14:paraId="1EA0B62E" w14:textId="77777777" w:rsidR="00327996" w:rsidRDefault="00327996" w:rsidP="00327996">
      <w:r>
        <w:t>What is your height? __</w:t>
      </w:r>
      <w:proofErr w:type="spellStart"/>
      <w:r>
        <w:t>feet___inches</w:t>
      </w:r>
      <w:proofErr w:type="spellEnd"/>
    </w:p>
    <w:p w14:paraId="1679C8C6" w14:textId="77777777" w:rsidR="00327996" w:rsidRDefault="00327996" w:rsidP="00327996"/>
    <w:p w14:paraId="59180109" w14:textId="77777777" w:rsidR="00327996" w:rsidRDefault="00327996" w:rsidP="00327996">
      <w:r>
        <w:t>What was your annual household earnings in 2019?</w:t>
      </w:r>
    </w:p>
    <w:p w14:paraId="08EC9D73" w14:textId="77777777" w:rsidR="00327996" w:rsidRDefault="00327996" w:rsidP="00327996"/>
    <w:p w14:paraId="7860FCD2" w14:textId="77777777" w:rsidR="00327996" w:rsidRDefault="00327996" w:rsidP="00327996">
      <w:r>
        <w:t>How many people TYPICALLY live in your household?</w:t>
      </w:r>
    </w:p>
    <w:p w14:paraId="3BCFFF66" w14:textId="77777777" w:rsidR="00327996" w:rsidRDefault="00327996" w:rsidP="00327996"/>
    <w:p w14:paraId="3585B051" w14:textId="77777777" w:rsidR="00327996" w:rsidRDefault="00327996" w:rsidP="00327996">
      <w:r>
        <w:t>What is your biological sex?</w:t>
      </w:r>
    </w:p>
    <w:p w14:paraId="64C9D91B" w14:textId="77777777" w:rsidR="00327996" w:rsidRDefault="00327996" w:rsidP="00327996">
      <w:pPr>
        <w:pStyle w:val="ListParagraph"/>
        <w:numPr>
          <w:ilvl w:val="0"/>
          <w:numId w:val="30"/>
        </w:numPr>
        <w:rPr>
          <w:rFonts w:ascii="Times New Roman" w:hAnsi="Times New Roman" w:cs="Times New Roman"/>
        </w:rPr>
      </w:pPr>
      <w:r>
        <w:rPr>
          <w:rFonts w:ascii="Times New Roman" w:hAnsi="Times New Roman" w:cs="Times New Roman"/>
        </w:rPr>
        <w:t>Male</w:t>
      </w:r>
    </w:p>
    <w:p w14:paraId="2E9ADE2A" w14:textId="77777777" w:rsidR="00327996" w:rsidRPr="00007CD7" w:rsidRDefault="00327996" w:rsidP="00327996">
      <w:pPr>
        <w:pStyle w:val="ListParagraph"/>
        <w:numPr>
          <w:ilvl w:val="0"/>
          <w:numId w:val="30"/>
        </w:numPr>
        <w:rPr>
          <w:rFonts w:ascii="Times New Roman" w:hAnsi="Times New Roman" w:cs="Times New Roman"/>
        </w:rPr>
      </w:pPr>
      <w:r>
        <w:rPr>
          <w:rFonts w:ascii="Times New Roman" w:hAnsi="Times New Roman" w:cs="Times New Roman"/>
        </w:rPr>
        <w:t>Female</w:t>
      </w:r>
    </w:p>
    <w:p w14:paraId="0649C6AE" w14:textId="77777777" w:rsidR="00327996" w:rsidRDefault="00327996" w:rsidP="00327996"/>
    <w:p w14:paraId="5757B762" w14:textId="77777777" w:rsidR="00327996" w:rsidRDefault="00327996" w:rsidP="00327996">
      <w:r>
        <w:t>In which region of the United States do you currently reside?</w:t>
      </w:r>
    </w:p>
    <w:p w14:paraId="5B2310F4" w14:textId="77777777" w:rsidR="00327996" w:rsidRDefault="00327996" w:rsidP="00327996">
      <w:pPr>
        <w:pStyle w:val="ListParagraph"/>
        <w:numPr>
          <w:ilvl w:val="0"/>
          <w:numId w:val="28"/>
        </w:numPr>
        <w:rPr>
          <w:rFonts w:ascii="Times New Roman" w:hAnsi="Times New Roman" w:cs="Times New Roman"/>
        </w:rPr>
      </w:pPr>
      <w:r>
        <w:rPr>
          <w:rFonts w:ascii="Times New Roman" w:hAnsi="Times New Roman" w:cs="Times New Roman"/>
        </w:rPr>
        <w:t>West (e.g., Alaska, Arizona, California, Colorado, Hawaii, Idaho, Montana, Nevada, New Mexico, Oregon, Utah, Washington, Wyoming)</w:t>
      </w:r>
    </w:p>
    <w:p w14:paraId="6B4E3F1F" w14:textId="77777777" w:rsidR="00327996" w:rsidRDefault="00327996" w:rsidP="00327996">
      <w:pPr>
        <w:pStyle w:val="ListParagraph"/>
        <w:numPr>
          <w:ilvl w:val="0"/>
          <w:numId w:val="28"/>
        </w:numPr>
        <w:rPr>
          <w:rFonts w:ascii="Times New Roman" w:hAnsi="Times New Roman" w:cs="Times New Roman"/>
        </w:rPr>
      </w:pPr>
      <w:r>
        <w:rPr>
          <w:rFonts w:ascii="Times New Roman" w:hAnsi="Times New Roman" w:cs="Times New Roman"/>
        </w:rPr>
        <w:t>Midwest (e.g., Illinois, Indiana, Iowa, Kansas, Michigan, Missouri, Minnesota, Nebraska, North Dakota, Ohio, South Dakota, Wisconsin)</w:t>
      </w:r>
    </w:p>
    <w:p w14:paraId="33D88A57" w14:textId="77777777" w:rsidR="00327996" w:rsidRDefault="00327996" w:rsidP="00327996">
      <w:pPr>
        <w:pStyle w:val="ListParagraph"/>
        <w:numPr>
          <w:ilvl w:val="0"/>
          <w:numId w:val="28"/>
        </w:numPr>
        <w:rPr>
          <w:rFonts w:ascii="Times New Roman" w:hAnsi="Times New Roman" w:cs="Times New Roman"/>
        </w:rPr>
      </w:pPr>
      <w:r>
        <w:rPr>
          <w:rFonts w:ascii="Times New Roman" w:hAnsi="Times New Roman" w:cs="Times New Roman"/>
        </w:rPr>
        <w:t>South (e.g., Alabama, Arkansas, Delaware, Florida, Georgia, Kentucky, Louisiana, Maryland, Mississippi, Oklahoma, North Carolina, Tennessee, Texas, West Virginia)</w:t>
      </w:r>
    </w:p>
    <w:p w14:paraId="153FEBAC" w14:textId="77777777" w:rsidR="00327996" w:rsidRPr="00B74CE8" w:rsidRDefault="00327996" w:rsidP="00327996">
      <w:pPr>
        <w:pStyle w:val="ListParagraph"/>
        <w:numPr>
          <w:ilvl w:val="0"/>
          <w:numId w:val="28"/>
        </w:numPr>
        <w:rPr>
          <w:rFonts w:ascii="Times New Roman" w:hAnsi="Times New Roman" w:cs="Times New Roman"/>
        </w:rPr>
      </w:pPr>
      <w:r>
        <w:rPr>
          <w:rFonts w:ascii="Times New Roman" w:hAnsi="Times New Roman" w:cs="Times New Roman"/>
        </w:rPr>
        <w:t>Northeast (e.g., Connecticut, Maine, New Hampshire, Massachusetts, New Jersey, New York, Pennsylvania, Rhode Island, Vermont.)</w:t>
      </w:r>
    </w:p>
    <w:p w14:paraId="5040E493" w14:textId="77777777" w:rsidR="00327996" w:rsidRDefault="00327996" w:rsidP="00327996">
      <w:pPr>
        <w:rPr>
          <w:b/>
          <w:bCs/>
        </w:rPr>
      </w:pPr>
    </w:p>
    <w:p w14:paraId="648DB2FE" w14:textId="77777777" w:rsidR="00327996" w:rsidRDefault="00327996" w:rsidP="00327996">
      <w:r w:rsidRPr="00007CD7">
        <w:t xml:space="preserve">We are interested in your experiences with discrimination. As you answer the questions below, please think about your ENTIRE LIFE, from when you were a child to the present. For each question, please select the response that best captures the things that have happened to you. Answer each question TWICE, once for what has happened to you IN THE PAST YEAR, and once for what YOUR ENTIRE LIFE HAS BEEN LIKE. Use these numbers: </w:t>
      </w:r>
    </w:p>
    <w:p w14:paraId="2B18A114" w14:textId="77777777" w:rsidR="00327996" w:rsidRDefault="00327996" w:rsidP="00327996">
      <w:r>
        <w:tab/>
      </w:r>
      <w:r w:rsidRPr="00007CD7">
        <w:t xml:space="preserve">Select </w:t>
      </w:r>
      <w:r w:rsidRPr="00007CD7">
        <w:rPr>
          <w:u w:val="single"/>
        </w:rPr>
        <w:t>Never</w:t>
      </w:r>
      <w:r w:rsidRPr="00007CD7">
        <w:t xml:space="preserve"> = If you have not experienced this scenario </w:t>
      </w:r>
    </w:p>
    <w:p w14:paraId="6AE837D5" w14:textId="77777777" w:rsidR="00327996" w:rsidRDefault="00327996" w:rsidP="00327996">
      <w:r>
        <w:tab/>
      </w:r>
      <w:r w:rsidRPr="00007CD7">
        <w:t xml:space="preserve">Select </w:t>
      </w:r>
      <w:r w:rsidRPr="00007CD7">
        <w:rPr>
          <w:u w:val="single"/>
        </w:rPr>
        <w:t>Once in a while</w:t>
      </w:r>
      <w:r w:rsidRPr="00007CD7">
        <w:t xml:space="preserve"> = If this has happened infrequently (less than 10% of the time) </w:t>
      </w:r>
      <w:r>
        <w:tab/>
      </w:r>
      <w:r w:rsidRPr="00007CD7">
        <w:t xml:space="preserve">Select </w:t>
      </w:r>
      <w:proofErr w:type="spellStart"/>
      <w:proofErr w:type="gramStart"/>
      <w:r w:rsidRPr="00007CD7">
        <w:rPr>
          <w:u w:val="single"/>
        </w:rPr>
        <w:t>Some times</w:t>
      </w:r>
      <w:proofErr w:type="spellEnd"/>
      <w:proofErr w:type="gramEnd"/>
      <w:r w:rsidRPr="00007CD7">
        <w:t xml:space="preserve"> = If this has happened occasionally (10 - 25% of the time) </w:t>
      </w:r>
    </w:p>
    <w:p w14:paraId="69B2CFBA" w14:textId="77777777" w:rsidR="00327996" w:rsidRDefault="00327996" w:rsidP="00327996">
      <w:r>
        <w:tab/>
      </w:r>
      <w:r w:rsidRPr="00007CD7">
        <w:t xml:space="preserve">Select </w:t>
      </w:r>
      <w:r w:rsidRPr="00007CD7">
        <w:rPr>
          <w:u w:val="single"/>
        </w:rPr>
        <w:t>A lot</w:t>
      </w:r>
      <w:r w:rsidRPr="00007CD7">
        <w:t xml:space="preserve"> = If this has happened frequently (26 - 49% of the time) </w:t>
      </w:r>
    </w:p>
    <w:p w14:paraId="0BD7FB66" w14:textId="77777777" w:rsidR="00327996" w:rsidRDefault="00327996" w:rsidP="00327996">
      <w:r>
        <w:lastRenderedPageBreak/>
        <w:tab/>
      </w:r>
      <w:r w:rsidRPr="00007CD7">
        <w:t xml:space="preserve">Select </w:t>
      </w:r>
      <w:r w:rsidRPr="00007CD7">
        <w:rPr>
          <w:u w:val="single"/>
        </w:rPr>
        <w:t>Most of the time</w:t>
      </w:r>
      <w:r w:rsidRPr="00007CD7">
        <w:t xml:space="preserve"> = If this has happened more than half of the time (50 —70% of </w:t>
      </w:r>
      <w:r>
        <w:tab/>
      </w:r>
      <w:r w:rsidRPr="00007CD7">
        <w:t xml:space="preserve">the time) </w:t>
      </w:r>
    </w:p>
    <w:p w14:paraId="77D42FF3" w14:textId="77777777" w:rsidR="00327996" w:rsidRPr="00007CD7" w:rsidRDefault="00327996" w:rsidP="00327996">
      <w:r>
        <w:tab/>
      </w:r>
      <w:r w:rsidRPr="00007CD7">
        <w:t xml:space="preserve">Select </w:t>
      </w:r>
      <w:r w:rsidRPr="00007CD7">
        <w:rPr>
          <w:u w:val="single"/>
        </w:rPr>
        <w:t>Almost all of the time</w:t>
      </w:r>
      <w:r w:rsidRPr="00007CD7">
        <w:t xml:space="preserve"> = If this has happened regularly (more than 70% of the </w:t>
      </w:r>
      <w:r>
        <w:tab/>
      </w:r>
      <w:r w:rsidRPr="00007CD7">
        <w:t>time)</w:t>
      </w:r>
    </w:p>
    <w:p w14:paraId="22406A73" w14:textId="77777777" w:rsidR="00327996" w:rsidRPr="00B74CE8" w:rsidRDefault="00327996" w:rsidP="00327996"/>
    <w:p w14:paraId="1C408A48" w14:textId="77777777" w:rsidR="00327996" w:rsidRPr="00E67F0B" w:rsidRDefault="00327996" w:rsidP="00327996">
      <w:r w:rsidRPr="00E67F0B">
        <w:t xml:space="preserve">1. How many times have you been treated unfairly by </w:t>
      </w:r>
      <w:r w:rsidRPr="00007CD7">
        <w:rPr>
          <w:b/>
          <w:bCs/>
        </w:rPr>
        <w:t>teachers</w:t>
      </w:r>
      <w:r w:rsidRPr="00E67F0B">
        <w:t xml:space="preserve"> and </w:t>
      </w:r>
      <w:r w:rsidRPr="00007CD7">
        <w:rPr>
          <w:b/>
          <w:bCs/>
        </w:rPr>
        <w:t>professors</w:t>
      </w:r>
      <w:r w:rsidRPr="00E67F0B">
        <w:t xml:space="preserve"> because of your race or ethnic group? </w:t>
      </w:r>
    </w:p>
    <w:p w14:paraId="7305B116" w14:textId="77777777" w:rsidR="00327996" w:rsidRDefault="00327996" w:rsidP="00327996">
      <w:pPr>
        <w:pStyle w:val="ListParagraph"/>
        <w:numPr>
          <w:ilvl w:val="0"/>
          <w:numId w:val="8"/>
        </w:numPr>
        <w:rPr>
          <w:rFonts w:ascii="Times New Roman" w:hAnsi="Times New Roman" w:cs="Times New Roman"/>
        </w:rPr>
      </w:pPr>
      <w:r w:rsidRPr="00B74CE8">
        <w:rPr>
          <w:rFonts w:ascii="Times New Roman" w:hAnsi="Times New Roman" w:cs="Times New Roman"/>
        </w:rPr>
        <w:t xml:space="preserve">How many times in the past year? </w:t>
      </w:r>
    </w:p>
    <w:p w14:paraId="3C679D64" w14:textId="77777777" w:rsidR="00327996" w:rsidRDefault="00327996" w:rsidP="00327996">
      <w:pPr>
        <w:pStyle w:val="ListParagraph"/>
        <w:numPr>
          <w:ilvl w:val="0"/>
          <w:numId w:val="8"/>
        </w:numPr>
        <w:rPr>
          <w:rFonts w:ascii="Times New Roman" w:hAnsi="Times New Roman" w:cs="Times New Roman"/>
        </w:rPr>
      </w:pPr>
      <w:r w:rsidRPr="00B74CE8">
        <w:rPr>
          <w:rFonts w:ascii="Times New Roman" w:hAnsi="Times New Roman" w:cs="Times New Roman"/>
        </w:rPr>
        <w:t xml:space="preserve">How many times in your entire life? </w:t>
      </w:r>
    </w:p>
    <w:p w14:paraId="6E0DDDAB" w14:textId="77777777" w:rsidR="00327996" w:rsidRDefault="00327996" w:rsidP="00327996">
      <w:pPr>
        <w:pStyle w:val="ListParagraph"/>
        <w:numPr>
          <w:ilvl w:val="0"/>
          <w:numId w:val="8"/>
        </w:numPr>
        <w:rPr>
          <w:rFonts w:ascii="Times New Roman" w:hAnsi="Times New Roman" w:cs="Times New Roman"/>
        </w:rPr>
      </w:pPr>
      <w:r w:rsidRPr="00B74CE8">
        <w:rPr>
          <w:rFonts w:ascii="Times New Roman" w:hAnsi="Times New Roman" w:cs="Times New Roman"/>
        </w:rPr>
        <w:t xml:space="preserve">How stressful was this for you? </w:t>
      </w:r>
    </w:p>
    <w:p w14:paraId="24FDC8E2" w14:textId="77777777" w:rsidR="00327996" w:rsidRPr="00007CD7" w:rsidRDefault="00327996" w:rsidP="00327996">
      <w:r>
        <w:tab/>
        <w:t>(1=Not at all to 6=Extremely)</w:t>
      </w:r>
    </w:p>
    <w:p w14:paraId="37103EF9" w14:textId="77777777" w:rsidR="00327996" w:rsidRPr="00E67F0B" w:rsidRDefault="00327996" w:rsidP="00327996">
      <w:r w:rsidRPr="00E67F0B">
        <w:t xml:space="preserve">2. How many times have you been treated unfairly by your </w:t>
      </w:r>
      <w:r w:rsidRPr="00007CD7">
        <w:rPr>
          <w:b/>
          <w:bCs/>
        </w:rPr>
        <w:t>employers, bosses</w:t>
      </w:r>
      <w:r w:rsidRPr="00E67F0B">
        <w:t xml:space="preserve"> and </w:t>
      </w:r>
      <w:r w:rsidRPr="00007CD7">
        <w:rPr>
          <w:b/>
          <w:bCs/>
        </w:rPr>
        <w:t>supervisors</w:t>
      </w:r>
      <w:r w:rsidRPr="00E67F0B">
        <w:t xml:space="preserve"> because of your race or ethnic group? </w:t>
      </w:r>
    </w:p>
    <w:p w14:paraId="054CAB21" w14:textId="77777777" w:rsidR="00327996" w:rsidRDefault="00327996" w:rsidP="00327996">
      <w:pPr>
        <w:pStyle w:val="ListParagraph"/>
        <w:numPr>
          <w:ilvl w:val="0"/>
          <w:numId w:val="9"/>
        </w:numPr>
        <w:rPr>
          <w:rFonts w:ascii="Times New Roman" w:hAnsi="Times New Roman" w:cs="Times New Roman"/>
        </w:rPr>
      </w:pPr>
      <w:r w:rsidRPr="00B74CE8">
        <w:rPr>
          <w:rFonts w:ascii="Times New Roman" w:hAnsi="Times New Roman" w:cs="Times New Roman"/>
        </w:rPr>
        <w:t>How many times in the past year?</w:t>
      </w:r>
    </w:p>
    <w:p w14:paraId="694DCE34" w14:textId="77777777" w:rsidR="00327996" w:rsidRDefault="00327996" w:rsidP="00327996">
      <w:pPr>
        <w:pStyle w:val="ListParagraph"/>
        <w:numPr>
          <w:ilvl w:val="0"/>
          <w:numId w:val="9"/>
        </w:numPr>
        <w:rPr>
          <w:rFonts w:ascii="Times New Roman" w:hAnsi="Times New Roman" w:cs="Times New Roman"/>
        </w:rPr>
      </w:pPr>
      <w:r w:rsidRPr="00B74CE8">
        <w:rPr>
          <w:rFonts w:ascii="Times New Roman" w:hAnsi="Times New Roman" w:cs="Times New Roman"/>
        </w:rPr>
        <w:t xml:space="preserve">How many times in your entire life? </w:t>
      </w:r>
    </w:p>
    <w:p w14:paraId="68EC8A16" w14:textId="77777777" w:rsidR="00327996" w:rsidRPr="00B74CE8" w:rsidRDefault="00327996" w:rsidP="00327996">
      <w:pPr>
        <w:pStyle w:val="ListParagraph"/>
        <w:numPr>
          <w:ilvl w:val="0"/>
          <w:numId w:val="9"/>
        </w:numPr>
        <w:rPr>
          <w:rFonts w:ascii="Times New Roman" w:hAnsi="Times New Roman" w:cs="Times New Roman"/>
        </w:rPr>
      </w:pPr>
      <w:r w:rsidRPr="00B74CE8">
        <w:rPr>
          <w:rFonts w:ascii="Times New Roman" w:hAnsi="Times New Roman" w:cs="Times New Roman"/>
        </w:rPr>
        <w:t xml:space="preserve">How stressful was this for you? </w:t>
      </w:r>
    </w:p>
    <w:p w14:paraId="557A6F18" w14:textId="77777777" w:rsidR="00327996" w:rsidRPr="00E67F0B" w:rsidRDefault="00327996" w:rsidP="00327996">
      <w:r w:rsidRPr="00E67F0B">
        <w:t xml:space="preserve">3. How many times have you been treated unfairly by your </w:t>
      </w:r>
      <w:r w:rsidRPr="00007CD7">
        <w:rPr>
          <w:b/>
          <w:bCs/>
        </w:rPr>
        <w:t>co-workers, fellow students</w:t>
      </w:r>
      <w:r w:rsidRPr="00E67F0B">
        <w:t xml:space="preserve"> and </w:t>
      </w:r>
      <w:r w:rsidRPr="00007CD7">
        <w:rPr>
          <w:b/>
          <w:bCs/>
        </w:rPr>
        <w:t xml:space="preserve">colleagues </w:t>
      </w:r>
      <w:r w:rsidRPr="00E67F0B">
        <w:t xml:space="preserve">because of your race or ethnic group? </w:t>
      </w:r>
    </w:p>
    <w:p w14:paraId="5504C448" w14:textId="77777777" w:rsidR="00327996" w:rsidRDefault="00327996" w:rsidP="00327996">
      <w:pPr>
        <w:pStyle w:val="ListParagraph"/>
        <w:numPr>
          <w:ilvl w:val="0"/>
          <w:numId w:val="10"/>
        </w:numPr>
        <w:rPr>
          <w:rFonts w:ascii="Times New Roman" w:hAnsi="Times New Roman" w:cs="Times New Roman"/>
        </w:rPr>
      </w:pPr>
      <w:r w:rsidRPr="00B74CE8">
        <w:rPr>
          <w:rFonts w:ascii="Times New Roman" w:hAnsi="Times New Roman" w:cs="Times New Roman"/>
        </w:rPr>
        <w:t>How many times in the past year?</w:t>
      </w:r>
    </w:p>
    <w:p w14:paraId="32EAF2D2" w14:textId="77777777" w:rsidR="00327996" w:rsidRDefault="00327996" w:rsidP="00327996">
      <w:pPr>
        <w:pStyle w:val="ListParagraph"/>
        <w:numPr>
          <w:ilvl w:val="0"/>
          <w:numId w:val="10"/>
        </w:numPr>
        <w:rPr>
          <w:rFonts w:ascii="Times New Roman" w:hAnsi="Times New Roman" w:cs="Times New Roman"/>
        </w:rPr>
      </w:pPr>
      <w:r w:rsidRPr="00B74CE8">
        <w:rPr>
          <w:rFonts w:ascii="Times New Roman" w:hAnsi="Times New Roman" w:cs="Times New Roman"/>
        </w:rPr>
        <w:t xml:space="preserve">How many times in your entire life? </w:t>
      </w:r>
    </w:p>
    <w:p w14:paraId="7A723502" w14:textId="77777777" w:rsidR="00327996" w:rsidRPr="00B74CE8" w:rsidRDefault="00327996" w:rsidP="00327996">
      <w:pPr>
        <w:pStyle w:val="ListParagraph"/>
        <w:numPr>
          <w:ilvl w:val="0"/>
          <w:numId w:val="10"/>
        </w:numPr>
        <w:rPr>
          <w:rFonts w:ascii="Times New Roman" w:hAnsi="Times New Roman" w:cs="Times New Roman"/>
        </w:rPr>
      </w:pPr>
      <w:r w:rsidRPr="00B74CE8">
        <w:rPr>
          <w:rFonts w:ascii="Times New Roman" w:hAnsi="Times New Roman" w:cs="Times New Roman"/>
        </w:rPr>
        <w:t xml:space="preserve">How stressful was this for you? </w:t>
      </w:r>
    </w:p>
    <w:p w14:paraId="0A687BF3" w14:textId="77777777" w:rsidR="00327996" w:rsidRPr="00E67F0B" w:rsidRDefault="00327996" w:rsidP="00327996">
      <w:r w:rsidRPr="00E67F0B">
        <w:t xml:space="preserve">4. How many times have you been treated unfairly by </w:t>
      </w:r>
      <w:r w:rsidRPr="00007CD7">
        <w:rPr>
          <w:b/>
          <w:bCs/>
        </w:rPr>
        <w:t>people in service jobs</w:t>
      </w:r>
      <w:r w:rsidRPr="00E67F0B">
        <w:t xml:space="preserve"> (by store clerks, waiters, bartenders, bank tellers and others) because of your race or ethnic group? </w:t>
      </w:r>
    </w:p>
    <w:p w14:paraId="6567D43E" w14:textId="77777777" w:rsidR="00327996" w:rsidRDefault="00327996" w:rsidP="00327996">
      <w:pPr>
        <w:pStyle w:val="ListParagraph"/>
        <w:numPr>
          <w:ilvl w:val="0"/>
          <w:numId w:val="11"/>
        </w:numPr>
        <w:rPr>
          <w:rFonts w:ascii="Times New Roman" w:hAnsi="Times New Roman" w:cs="Times New Roman"/>
        </w:rPr>
      </w:pPr>
      <w:r w:rsidRPr="00B74CE8">
        <w:rPr>
          <w:rFonts w:ascii="Times New Roman" w:hAnsi="Times New Roman" w:cs="Times New Roman"/>
        </w:rPr>
        <w:t xml:space="preserve">How many times in the past year? </w:t>
      </w:r>
    </w:p>
    <w:p w14:paraId="5B464CDA" w14:textId="77777777" w:rsidR="00327996" w:rsidRPr="00B74CE8" w:rsidRDefault="00327996" w:rsidP="00327996">
      <w:pPr>
        <w:pStyle w:val="ListParagraph"/>
        <w:numPr>
          <w:ilvl w:val="0"/>
          <w:numId w:val="11"/>
        </w:numPr>
        <w:rPr>
          <w:rFonts w:ascii="Times New Roman" w:hAnsi="Times New Roman" w:cs="Times New Roman"/>
        </w:rPr>
      </w:pPr>
      <w:r w:rsidRPr="00B74CE8">
        <w:rPr>
          <w:rFonts w:ascii="Times New Roman" w:hAnsi="Times New Roman" w:cs="Times New Roman"/>
        </w:rPr>
        <w:t xml:space="preserve">How many times in your entire life? </w:t>
      </w:r>
    </w:p>
    <w:p w14:paraId="32FF2A7A" w14:textId="77777777" w:rsidR="00327996" w:rsidRDefault="00327996" w:rsidP="00327996">
      <w:pPr>
        <w:pStyle w:val="ListParagraph"/>
        <w:numPr>
          <w:ilvl w:val="0"/>
          <w:numId w:val="11"/>
        </w:numPr>
        <w:rPr>
          <w:rFonts w:ascii="Times New Roman" w:hAnsi="Times New Roman" w:cs="Times New Roman"/>
        </w:rPr>
      </w:pPr>
      <w:r w:rsidRPr="00B74CE8">
        <w:rPr>
          <w:rFonts w:ascii="Times New Roman" w:hAnsi="Times New Roman" w:cs="Times New Roman"/>
        </w:rPr>
        <w:t>How stressful was this for you?</w:t>
      </w:r>
    </w:p>
    <w:p w14:paraId="020D57A7" w14:textId="77777777" w:rsidR="00327996" w:rsidRPr="00B74CE8" w:rsidRDefault="00327996" w:rsidP="00327996">
      <w:r w:rsidRPr="00B74CE8">
        <w:t xml:space="preserve">5. How many times have you been treated unfairly by </w:t>
      </w:r>
      <w:r w:rsidRPr="00007CD7">
        <w:rPr>
          <w:b/>
          <w:bCs/>
        </w:rPr>
        <w:t>strangers</w:t>
      </w:r>
      <w:r w:rsidRPr="00B74CE8">
        <w:t xml:space="preserve"> because of your race or ethnic group? </w:t>
      </w:r>
    </w:p>
    <w:p w14:paraId="54E8402A" w14:textId="77777777" w:rsidR="00327996" w:rsidRDefault="00327996" w:rsidP="00327996">
      <w:pPr>
        <w:pStyle w:val="ListParagraph"/>
        <w:numPr>
          <w:ilvl w:val="0"/>
          <w:numId w:val="12"/>
        </w:numPr>
        <w:rPr>
          <w:rFonts w:ascii="Times New Roman" w:hAnsi="Times New Roman" w:cs="Times New Roman"/>
        </w:rPr>
      </w:pPr>
      <w:r w:rsidRPr="00B74CE8">
        <w:rPr>
          <w:rFonts w:ascii="Times New Roman" w:hAnsi="Times New Roman" w:cs="Times New Roman"/>
        </w:rPr>
        <w:t xml:space="preserve">How many times in the past year? </w:t>
      </w:r>
    </w:p>
    <w:p w14:paraId="6CF26253" w14:textId="77777777" w:rsidR="00327996" w:rsidRPr="00B74CE8" w:rsidRDefault="00327996" w:rsidP="00327996">
      <w:pPr>
        <w:pStyle w:val="ListParagraph"/>
        <w:numPr>
          <w:ilvl w:val="0"/>
          <w:numId w:val="12"/>
        </w:numPr>
        <w:rPr>
          <w:rFonts w:ascii="Times New Roman" w:hAnsi="Times New Roman" w:cs="Times New Roman"/>
        </w:rPr>
      </w:pPr>
      <w:r w:rsidRPr="00B74CE8">
        <w:rPr>
          <w:rFonts w:ascii="Times New Roman" w:hAnsi="Times New Roman" w:cs="Times New Roman"/>
        </w:rPr>
        <w:t xml:space="preserve">How many times in your entire life? </w:t>
      </w:r>
    </w:p>
    <w:p w14:paraId="29B2FD8B" w14:textId="77777777" w:rsidR="00327996" w:rsidRPr="00B74CE8" w:rsidRDefault="00327996" w:rsidP="00327996">
      <w:pPr>
        <w:pStyle w:val="ListParagraph"/>
        <w:numPr>
          <w:ilvl w:val="0"/>
          <w:numId w:val="12"/>
        </w:numPr>
        <w:rPr>
          <w:rFonts w:ascii="Times New Roman" w:hAnsi="Times New Roman" w:cs="Times New Roman"/>
        </w:rPr>
      </w:pPr>
      <w:r w:rsidRPr="00B74CE8">
        <w:rPr>
          <w:rFonts w:ascii="Times New Roman" w:hAnsi="Times New Roman" w:cs="Times New Roman"/>
        </w:rPr>
        <w:t xml:space="preserve">How stressful was this for you? </w:t>
      </w:r>
    </w:p>
    <w:p w14:paraId="52B58CD8" w14:textId="77777777" w:rsidR="00327996" w:rsidRPr="00E67F0B" w:rsidRDefault="00327996" w:rsidP="00327996">
      <w:r w:rsidRPr="00E67F0B">
        <w:t xml:space="preserve">6. How many times have you been treated unfairly by </w:t>
      </w:r>
      <w:r w:rsidRPr="00007CD7">
        <w:rPr>
          <w:b/>
          <w:bCs/>
        </w:rPr>
        <w:t>people in helping jobs</w:t>
      </w:r>
      <w:r w:rsidRPr="00E67F0B">
        <w:t xml:space="preserve"> (by doctors, nurses, psychiatrists, case workers, dentists, school counselors, therapists, social workers and others) because of your race or ethnic group? </w:t>
      </w:r>
    </w:p>
    <w:p w14:paraId="19E92206" w14:textId="77777777" w:rsidR="00327996" w:rsidRDefault="00327996" w:rsidP="00327996">
      <w:pPr>
        <w:pStyle w:val="ListParagraph"/>
        <w:numPr>
          <w:ilvl w:val="0"/>
          <w:numId w:val="13"/>
        </w:numPr>
        <w:rPr>
          <w:rFonts w:ascii="Times New Roman" w:hAnsi="Times New Roman" w:cs="Times New Roman"/>
        </w:rPr>
      </w:pPr>
      <w:r w:rsidRPr="00B74CE8">
        <w:rPr>
          <w:rFonts w:ascii="Times New Roman" w:hAnsi="Times New Roman" w:cs="Times New Roman"/>
        </w:rPr>
        <w:t xml:space="preserve">How many times in the past year? How many times in your entire life? </w:t>
      </w:r>
    </w:p>
    <w:p w14:paraId="1FCAF4B5" w14:textId="77777777" w:rsidR="00327996" w:rsidRPr="00B74CE8" w:rsidRDefault="00327996" w:rsidP="00327996">
      <w:pPr>
        <w:pStyle w:val="ListParagraph"/>
        <w:numPr>
          <w:ilvl w:val="0"/>
          <w:numId w:val="13"/>
        </w:numPr>
        <w:rPr>
          <w:rFonts w:ascii="Times New Roman" w:hAnsi="Times New Roman" w:cs="Times New Roman"/>
        </w:rPr>
      </w:pPr>
      <w:r w:rsidRPr="00B74CE8">
        <w:rPr>
          <w:rFonts w:ascii="Times New Roman" w:hAnsi="Times New Roman" w:cs="Times New Roman"/>
        </w:rPr>
        <w:t>How stressful was this for you?</w:t>
      </w:r>
    </w:p>
    <w:p w14:paraId="481A83E4" w14:textId="77777777" w:rsidR="00327996" w:rsidRPr="00B74CE8" w:rsidRDefault="00327996" w:rsidP="00327996">
      <w:r w:rsidRPr="00B74CE8">
        <w:t xml:space="preserve">7.How many times have you been treated unfairly by </w:t>
      </w:r>
      <w:r w:rsidRPr="00007CD7">
        <w:rPr>
          <w:b/>
          <w:bCs/>
        </w:rPr>
        <w:t xml:space="preserve">neighbors </w:t>
      </w:r>
      <w:r w:rsidRPr="00B74CE8">
        <w:t xml:space="preserve">because of your race or ethnic group? </w:t>
      </w:r>
    </w:p>
    <w:p w14:paraId="3C42AE40" w14:textId="77777777" w:rsidR="00327996" w:rsidRDefault="00327996" w:rsidP="00327996">
      <w:pPr>
        <w:pStyle w:val="ListParagraph"/>
        <w:numPr>
          <w:ilvl w:val="0"/>
          <w:numId w:val="14"/>
        </w:numPr>
        <w:rPr>
          <w:rFonts w:ascii="Times New Roman" w:hAnsi="Times New Roman" w:cs="Times New Roman"/>
        </w:rPr>
      </w:pPr>
      <w:r w:rsidRPr="00B74CE8">
        <w:rPr>
          <w:rFonts w:ascii="Times New Roman" w:hAnsi="Times New Roman" w:cs="Times New Roman"/>
        </w:rPr>
        <w:t xml:space="preserve">How many times in the past year? </w:t>
      </w:r>
    </w:p>
    <w:p w14:paraId="6523A0B8" w14:textId="77777777" w:rsidR="00327996" w:rsidRPr="00B74CE8" w:rsidRDefault="00327996" w:rsidP="00327996">
      <w:pPr>
        <w:pStyle w:val="ListParagraph"/>
        <w:numPr>
          <w:ilvl w:val="0"/>
          <w:numId w:val="14"/>
        </w:numPr>
        <w:rPr>
          <w:rFonts w:ascii="Times New Roman" w:hAnsi="Times New Roman" w:cs="Times New Roman"/>
        </w:rPr>
      </w:pPr>
      <w:r w:rsidRPr="00B74CE8">
        <w:rPr>
          <w:rFonts w:ascii="Times New Roman" w:hAnsi="Times New Roman" w:cs="Times New Roman"/>
        </w:rPr>
        <w:t xml:space="preserve">How many times in your entire life? </w:t>
      </w:r>
    </w:p>
    <w:p w14:paraId="22D99A06" w14:textId="77777777" w:rsidR="00327996" w:rsidRPr="00B74CE8" w:rsidRDefault="00327996" w:rsidP="00327996">
      <w:pPr>
        <w:pStyle w:val="ListParagraph"/>
        <w:numPr>
          <w:ilvl w:val="0"/>
          <w:numId w:val="14"/>
        </w:numPr>
        <w:rPr>
          <w:rFonts w:ascii="Times New Roman" w:hAnsi="Times New Roman" w:cs="Times New Roman"/>
        </w:rPr>
      </w:pPr>
      <w:r w:rsidRPr="00B74CE8">
        <w:rPr>
          <w:rFonts w:ascii="Times New Roman" w:hAnsi="Times New Roman" w:cs="Times New Roman"/>
        </w:rPr>
        <w:t xml:space="preserve">How stressful was this for you? </w:t>
      </w:r>
    </w:p>
    <w:p w14:paraId="10F6903B" w14:textId="77777777" w:rsidR="00327996" w:rsidRPr="00E67F0B" w:rsidRDefault="00327996" w:rsidP="00327996">
      <w:r w:rsidRPr="00E67F0B">
        <w:t xml:space="preserve">8. How many times have you been treated unfairly by </w:t>
      </w:r>
      <w:r w:rsidRPr="00007CD7">
        <w:rPr>
          <w:b/>
          <w:bCs/>
        </w:rPr>
        <w:t>institutions</w:t>
      </w:r>
      <w:r w:rsidRPr="00E67F0B">
        <w:t xml:space="preserve"> (schools, universities, law firms, the police, the courts, the Department of Social Services, the Unemployment Office and others) because of your race or ethnic group? </w:t>
      </w:r>
    </w:p>
    <w:p w14:paraId="5E07D5D0" w14:textId="77777777" w:rsidR="00327996" w:rsidRDefault="00327996" w:rsidP="00327996">
      <w:pPr>
        <w:pStyle w:val="ListParagraph"/>
        <w:numPr>
          <w:ilvl w:val="0"/>
          <w:numId w:val="15"/>
        </w:numPr>
        <w:rPr>
          <w:rFonts w:ascii="Times New Roman" w:hAnsi="Times New Roman" w:cs="Times New Roman"/>
        </w:rPr>
      </w:pPr>
      <w:r w:rsidRPr="00B74CE8">
        <w:rPr>
          <w:rFonts w:ascii="Times New Roman" w:hAnsi="Times New Roman" w:cs="Times New Roman"/>
        </w:rPr>
        <w:t xml:space="preserve">How many times in the past year? </w:t>
      </w:r>
    </w:p>
    <w:p w14:paraId="6DA2771C" w14:textId="77777777" w:rsidR="00327996" w:rsidRPr="00B74CE8" w:rsidRDefault="00327996" w:rsidP="00327996">
      <w:pPr>
        <w:pStyle w:val="ListParagraph"/>
        <w:numPr>
          <w:ilvl w:val="0"/>
          <w:numId w:val="15"/>
        </w:numPr>
        <w:rPr>
          <w:rFonts w:ascii="Times New Roman" w:hAnsi="Times New Roman" w:cs="Times New Roman"/>
        </w:rPr>
      </w:pPr>
      <w:r w:rsidRPr="00B74CE8">
        <w:rPr>
          <w:rFonts w:ascii="Times New Roman" w:hAnsi="Times New Roman" w:cs="Times New Roman"/>
        </w:rPr>
        <w:lastRenderedPageBreak/>
        <w:t xml:space="preserve">How many times in your entire life? </w:t>
      </w:r>
    </w:p>
    <w:p w14:paraId="0CC05241" w14:textId="77777777" w:rsidR="00327996" w:rsidRPr="00B74CE8" w:rsidRDefault="00327996" w:rsidP="00327996">
      <w:pPr>
        <w:pStyle w:val="ListParagraph"/>
        <w:numPr>
          <w:ilvl w:val="0"/>
          <w:numId w:val="15"/>
        </w:numPr>
        <w:rPr>
          <w:rFonts w:ascii="Times New Roman" w:hAnsi="Times New Roman" w:cs="Times New Roman"/>
        </w:rPr>
      </w:pPr>
      <w:r w:rsidRPr="00B74CE8">
        <w:rPr>
          <w:rFonts w:ascii="Times New Roman" w:hAnsi="Times New Roman" w:cs="Times New Roman"/>
        </w:rPr>
        <w:t xml:space="preserve">How stressful was this for you? </w:t>
      </w:r>
    </w:p>
    <w:p w14:paraId="49203C70" w14:textId="77777777" w:rsidR="00327996" w:rsidRPr="00E67F0B" w:rsidRDefault="00327996" w:rsidP="00327996">
      <w:r w:rsidRPr="00E67F0B">
        <w:t xml:space="preserve">9. How many times have you been treated unfairly by people that you thought were your </w:t>
      </w:r>
      <w:r w:rsidRPr="00007CD7">
        <w:rPr>
          <w:b/>
          <w:bCs/>
        </w:rPr>
        <w:t>friends</w:t>
      </w:r>
      <w:r w:rsidRPr="00E67F0B">
        <w:t xml:space="preserve"> because of your race or ethnic group? </w:t>
      </w:r>
    </w:p>
    <w:p w14:paraId="74BB70B2" w14:textId="77777777" w:rsidR="00327996" w:rsidRDefault="00327996" w:rsidP="00327996">
      <w:pPr>
        <w:pStyle w:val="ListParagraph"/>
        <w:numPr>
          <w:ilvl w:val="0"/>
          <w:numId w:val="16"/>
        </w:numPr>
        <w:rPr>
          <w:rFonts w:ascii="Times New Roman" w:hAnsi="Times New Roman" w:cs="Times New Roman"/>
        </w:rPr>
      </w:pPr>
      <w:r w:rsidRPr="00B74CE8">
        <w:rPr>
          <w:rFonts w:ascii="Times New Roman" w:hAnsi="Times New Roman" w:cs="Times New Roman"/>
        </w:rPr>
        <w:t xml:space="preserve">How many times in the past year? </w:t>
      </w:r>
    </w:p>
    <w:p w14:paraId="55DF5EF7" w14:textId="77777777" w:rsidR="00327996" w:rsidRPr="00B74CE8" w:rsidRDefault="00327996" w:rsidP="00327996">
      <w:pPr>
        <w:pStyle w:val="ListParagraph"/>
        <w:numPr>
          <w:ilvl w:val="0"/>
          <w:numId w:val="16"/>
        </w:numPr>
        <w:rPr>
          <w:rFonts w:ascii="Times New Roman" w:hAnsi="Times New Roman" w:cs="Times New Roman"/>
        </w:rPr>
      </w:pPr>
      <w:r w:rsidRPr="00B74CE8">
        <w:rPr>
          <w:rFonts w:ascii="Times New Roman" w:hAnsi="Times New Roman" w:cs="Times New Roman"/>
        </w:rPr>
        <w:t xml:space="preserve">How many times in your entire life? </w:t>
      </w:r>
    </w:p>
    <w:p w14:paraId="754AFEC5" w14:textId="77777777" w:rsidR="00327996" w:rsidRPr="00B74CE8" w:rsidRDefault="00327996" w:rsidP="00327996">
      <w:pPr>
        <w:pStyle w:val="ListParagraph"/>
        <w:numPr>
          <w:ilvl w:val="0"/>
          <w:numId w:val="16"/>
        </w:numPr>
        <w:rPr>
          <w:rFonts w:ascii="Times New Roman" w:hAnsi="Times New Roman" w:cs="Times New Roman"/>
        </w:rPr>
      </w:pPr>
      <w:r w:rsidRPr="00B74CE8">
        <w:rPr>
          <w:rFonts w:ascii="Times New Roman" w:hAnsi="Times New Roman" w:cs="Times New Roman"/>
        </w:rPr>
        <w:t xml:space="preserve">How stressful was this for you? </w:t>
      </w:r>
    </w:p>
    <w:p w14:paraId="591CD1FD" w14:textId="77777777" w:rsidR="00327996" w:rsidRPr="00E67F0B" w:rsidRDefault="00327996" w:rsidP="00327996">
      <w:r w:rsidRPr="00E67F0B">
        <w:t xml:space="preserve">10. How many times have you been accused or suspected of doing something wrong (such as stealing, cheating, not doing your share of the work, or breaking the law) because of your race or ethnic group? </w:t>
      </w:r>
    </w:p>
    <w:p w14:paraId="41B0ABA7" w14:textId="77777777" w:rsidR="00327996" w:rsidRDefault="00327996" w:rsidP="00327996">
      <w:pPr>
        <w:pStyle w:val="ListParagraph"/>
        <w:numPr>
          <w:ilvl w:val="0"/>
          <w:numId w:val="17"/>
        </w:numPr>
        <w:rPr>
          <w:rFonts w:ascii="Times New Roman" w:hAnsi="Times New Roman" w:cs="Times New Roman"/>
        </w:rPr>
      </w:pPr>
      <w:r w:rsidRPr="00B74CE8">
        <w:rPr>
          <w:rFonts w:ascii="Times New Roman" w:hAnsi="Times New Roman" w:cs="Times New Roman"/>
        </w:rPr>
        <w:t xml:space="preserve">How many times in the past year? </w:t>
      </w:r>
    </w:p>
    <w:p w14:paraId="31B61038" w14:textId="77777777" w:rsidR="00327996" w:rsidRPr="00B74CE8" w:rsidRDefault="00327996" w:rsidP="00327996">
      <w:pPr>
        <w:pStyle w:val="ListParagraph"/>
        <w:numPr>
          <w:ilvl w:val="0"/>
          <w:numId w:val="17"/>
        </w:numPr>
        <w:rPr>
          <w:rFonts w:ascii="Times New Roman" w:hAnsi="Times New Roman" w:cs="Times New Roman"/>
        </w:rPr>
      </w:pPr>
      <w:r w:rsidRPr="00B74CE8">
        <w:rPr>
          <w:rFonts w:ascii="Times New Roman" w:hAnsi="Times New Roman" w:cs="Times New Roman"/>
        </w:rPr>
        <w:t xml:space="preserve">How many times in your entire life? </w:t>
      </w:r>
    </w:p>
    <w:p w14:paraId="3098F30F" w14:textId="77777777" w:rsidR="00327996" w:rsidRPr="00B74CE8" w:rsidRDefault="00327996" w:rsidP="00327996">
      <w:pPr>
        <w:pStyle w:val="ListParagraph"/>
        <w:numPr>
          <w:ilvl w:val="0"/>
          <w:numId w:val="17"/>
        </w:numPr>
        <w:rPr>
          <w:rFonts w:ascii="Times New Roman" w:hAnsi="Times New Roman" w:cs="Times New Roman"/>
        </w:rPr>
      </w:pPr>
      <w:r w:rsidRPr="00B74CE8">
        <w:rPr>
          <w:rFonts w:ascii="Times New Roman" w:hAnsi="Times New Roman" w:cs="Times New Roman"/>
        </w:rPr>
        <w:t xml:space="preserve">How stressful was this for you? </w:t>
      </w:r>
    </w:p>
    <w:p w14:paraId="76B1618F" w14:textId="77777777" w:rsidR="00327996" w:rsidRPr="00E67F0B" w:rsidRDefault="00327996" w:rsidP="00327996">
      <w:r w:rsidRPr="00E67F0B">
        <w:t xml:space="preserve">11. How many times have people misunderstood your intentions and motives because of your race or ethnic group? </w:t>
      </w:r>
    </w:p>
    <w:p w14:paraId="0DF8A65C" w14:textId="77777777" w:rsidR="00327996" w:rsidRDefault="00327996" w:rsidP="00327996">
      <w:pPr>
        <w:pStyle w:val="ListParagraph"/>
        <w:numPr>
          <w:ilvl w:val="0"/>
          <w:numId w:val="18"/>
        </w:numPr>
        <w:rPr>
          <w:rFonts w:ascii="Times New Roman" w:hAnsi="Times New Roman" w:cs="Times New Roman"/>
        </w:rPr>
      </w:pPr>
      <w:r w:rsidRPr="00B74CE8">
        <w:rPr>
          <w:rFonts w:ascii="Times New Roman" w:hAnsi="Times New Roman" w:cs="Times New Roman"/>
        </w:rPr>
        <w:t xml:space="preserve">How many times in the past year? </w:t>
      </w:r>
    </w:p>
    <w:p w14:paraId="1712D132" w14:textId="77777777" w:rsidR="00327996" w:rsidRDefault="00327996" w:rsidP="00327996">
      <w:pPr>
        <w:pStyle w:val="ListParagraph"/>
        <w:numPr>
          <w:ilvl w:val="0"/>
          <w:numId w:val="18"/>
        </w:numPr>
        <w:rPr>
          <w:rFonts w:ascii="Times New Roman" w:hAnsi="Times New Roman" w:cs="Times New Roman"/>
        </w:rPr>
      </w:pPr>
      <w:r w:rsidRPr="00B74CE8">
        <w:rPr>
          <w:rFonts w:ascii="Times New Roman" w:hAnsi="Times New Roman" w:cs="Times New Roman"/>
        </w:rPr>
        <w:t xml:space="preserve">How many times in your entire life? </w:t>
      </w:r>
    </w:p>
    <w:p w14:paraId="47F0205D" w14:textId="77777777" w:rsidR="00327996" w:rsidRPr="00B74CE8" w:rsidRDefault="00327996" w:rsidP="00327996">
      <w:pPr>
        <w:pStyle w:val="ListParagraph"/>
        <w:numPr>
          <w:ilvl w:val="0"/>
          <w:numId w:val="18"/>
        </w:numPr>
        <w:rPr>
          <w:rFonts w:ascii="Times New Roman" w:hAnsi="Times New Roman" w:cs="Times New Roman"/>
        </w:rPr>
      </w:pPr>
      <w:r w:rsidRPr="00B74CE8">
        <w:rPr>
          <w:rFonts w:ascii="Times New Roman" w:hAnsi="Times New Roman" w:cs="Times New Roman"/>
        </w:rPr>
        <w:t>How stressful was this for you?</w:t>
      </w:r>
    </w:p>
    <w:p w14:paraId="62166846" w14:textId="77777777" w:rsidR="00327996" w:rsidRPr="00B74CE8" w:rsidRDefault="00327996" w:rsidP="00327996">
      <w:r w:rsidRPr="00B74CE8">
        <w:t xml:space="preserve">12. How many times did you want to tell someone off for being racist but didn’t say anything? </w:t>
      </w:r>
    </w:p>
    <w:p w14:paraId="10AB3321" w14:textId="77777777" w:rsidR="00327996" w:rsidRDefault="00327996" w:rsidP="00327996">
      <w:pPr>
        <w:pStyle w:val="ListParagraph"/>
        <w:numPr>
          <w:ilvl w:val="0"/>
          <w:numId w:val="19"/>
        </w:numPr>
        <w:rPr>
          <w:rFonts w:ascii="Times New Roman" w:hAnsi="Times New Roman" w:cs="Times New Roman"/>
        </w:rPr>
      </w:pPr>
      <w:r w:rsidRPr="00B74CE8">
        <w:rPr>
          <w:rFonts w:ascii="Times New Roman" w:hAnsi="Times New Roman" w:cs="Times New Roman"/>
        </w:rPr>
        <w:t xml:space="preserve">How many times in the past year? </w:t>
      </w:r>
    </w:p>
    <w:p w14:paraId="12D52978" w14:textId="77777777" w:rsidR="00327996" w:rsidRPr="00B74CE8" w:rsidRDefault="00327996" w:rsidP="00327996">
      <w:pPr>
        <w:pStyle w:val="ListParagraph"/>
        <w:numPr>
          <w:ilvl w:val="0"/>
          <w:numId w:val="19"/>
        </w:numPr>
        <w:rPr>
          <w:rFonts w:ascii="Times New Roman" w:hAnsi="Times New Roman" w:cs="Times New Roman"/>
        </w:rPr>
      </w:pPr>
      <w:r w:rsidRPr="00B74CE8">
        <w:rPr>
          <w:rFonts w:ascii="Times New Roman" w:hAnsi="Times New Roman" w:cs="Times New Roman"/>
        </w:rPr>
        <w:t xml:space="preserve">How many times in your entire life? </w:t>
      </w:r>
    </w:p>
    <w:p w14:paraId="16A4A814" w14:textId="77777777" w:rsidR="00327996" w:rsidRPr="00B74CE8" w:rsidRDefault="00327996" w:rsidP="00327996">
      <w:pPr>
        <w:pStyle w:val="ListParagraph"/>
        <w:numPr>
          <w:ilvl w:val="0"/>
          <w:numId w:val="19"/>
        </w:numPr>
        <w:rPr>
          <w:rFonts w:ascii="Times New Roman" w:hAnsi="Times New Roman" w:cs="Times New Roman"/>
        </w:rPr>
      </w:pPr>
      <w:r w:rsidRPr="00B74CE8">
        <w:rPr>
          <w:rFonts w:ascii="Times New Roman" w:hAnsi="Times New Roman" w:cs="Times New Roman"/>
        </w:rPr>
        <w:t xml:space="preserve">How stressful was this for you? </w:t>
      </w:r>
    </w:p>
    <w:p w14:paraId="45D0C5AE" w14:textId="77777777" w:rsidR="00327996" w:rsidRPr="00E67F0B" w:rsidRDefault="00327996" w:rsidP="00327996">
      <w:r w:rsidRPr="00E67F0B">
        <w:t xml:space="preserve">13. How many times have you been really angry about something racist that was done to you? </w:t>
      </w:r>
    </w:p>
    <w:p w14:paraId="753C89D0" w14:textId="77777777" w:rsidR="00327996" w:rsidRDefault="00327996" w:rsidP="00327996">
      <w:pPr>
        <w:pStyle w:val="ListParagraph"/>
        <w:numPr>
          <w:ilvl w:val="0"/>
          <w:numId w:val="20"/>
        </w:numPr>
        <w:rPr>
          <w:rFonts w:ascii="Times New Roman" w:hAnsi="Times New Roman" w:cs="Times New Roman"/>
        </w:rPr>
      </w:pPr>
      <w:r w:rsidRPr="00B74CE8">
        <w:rPr>
          <w:rFonts w:ascii="Times New Roman" w:hAnsi="Times New Roman" w:cs="Times New Roman"/>
        </w:rPr>
        <w:t xml:space="preserve">How many times in the past year? </w:t>
      </w:r>
    </w:p>
    <w:p w14:paraId="2E7FD617" w14:textId="77777777" w:rsidR="00327996" w:rsidRDefault="00327996" w:rsidP="00327996">
      <w:pPr>
        <w:pStyle w:val="ListParagraph"/>
        <w:numPr>
          <w:ilvl w:val="0"/>
          <w:numId w:val="20"/>
        </w:numPr>
        <w:rPr>
          <w:rFonts w:ascii="Times New Roman" w:hAnsi="Times New Roman" w:cs="Times New Roman"/>
        </w:rPr>
      </w:pPr>
      <w:r w:rsidRPr="00B74CE8">
        <w:rPr>
          <w:rFonts w:ascii="Times New Roman" w:hAnsi="Times New Roman" w:cs="Times New Roman"/>
        </w:rPr>
        <w:t xml:space="preserve">How many times in your entire life? </w:t>
      </w:r>
    </w:p>
    <w:p w14:paraId="79450EFD" w14:textId="77777777" w:rsidR="00327996" w:rsidRPr="00B74CE8" w:rsidRDefault="00327996" w:rsidP="00327996">
      <w:pPr>
        <w:pStyle w:val="ListParagraph"/>
        <w:numPr>
          <w:ilvl w:val="0"/>
          <w:numId w:val="20"/>
        </w:numPr>
        <w:rPr>
          <w:rFonts w:ascii="Times New Roman" w:hAnsi="Times New Roman" w:cs="Times New Roman"/>
        </w:rPr>
      </w:pPr>
      <w:r w:rsidRPr="00B74CE8">
        <w:rPr>
          <w:rFonts w:ascii="Times New Roman" w:hAnsi="Times New Roman" w:cs="Times New Roman"/>
        </w:rPr>
        <w:t>How stressful was this for you?</w:t>
      </w:r>
    </w:p>
    <w:p w14:paraId="695CE98F" w14:textId="77777777" w:rsidR="00327996" w:rsidRPr="00E67F0B" w:rsidRDefault="00327996" w:rsidP="00327996">
      <w:r w:rsidRPr="00B74CE8">
        <w:t xml:space="preserve">14. How many times </w:t>
      </w:r>
      <w:proofErr w:type="gramStart"/>
      <w:r w:rsidRPr="00B74CE8">
        <w:t>were</w:t>
      </w:r>
      <w:proofErr w:type="gramEnd"/>
      <w:r w:rsidRPr="00B74CE8">
        <w:t xml:space="preserve"> you forced to take drastic steps (such as filing a grievance, filing a lawsuit, </w:t>
      </w:r>
      <w:r w:rsidRPr="00E67F0B">
        <w:t xml:space="preserve">quitting your job, moving away, and other actions) to deal with </w:t>
      </w:r>
    </w:p>
    <w:p w14:paraId="2C78F149" w14:textId="77777777" w:rsidR="00327996" w:rsidRPr="00E67F0B" w:rsidRDefault="00327996" w:rsidP="00327996">
      <w:r w:rsidRPr="00E67F0B">
        <w:t xml:space="preserve">some racist thing that was done to </w:t>
      </w:r>
      <w:proofErr w:type="gramStart"/>
      <w:r w:rsidRPr="00E67F0B">
        <w:t>you?</w:t>
      </w:r>
      <w:proofErr w:type="gramEnd"/>
      <w:r w:rsidRPr="00E67F0B">
        <w:t xml:space="preserve"> </w:t>
      </w:r>
    </w:p>
    <w:p w14:paraId="36CD4B4C" w14:textId="77777777" w:rsidR="00327996" w:rsidRDefault="00327996" w:rsidP="00327996">
      <w:pPr>
        <w:pStyle w:val="ListParagraph"/>
        <w:numPr>
          <w:ilvl w:val="0"/>
          <w:numId w:val="21"/>
        </w:numPr>
        <w:rPr>
          <w:rFonts w:ascii="Times New Roman" w:hAnsi="Times New Roman" w:cs="Times New Roman"/>
        </w:rPr>
      </w:pPr>
      <w:r w:rsidRPr="00B74CE8">
        <w:rPr>
          <w:rFonts w:ascii="Times New Roman" w:hAnsi="Times New Roman" w:cs="Times New Roman"/>
        </w:rPr>
        <w:t xml:space="preserve">How many times in the past year? </w:t>
      </w:r>
    </w:p>
    <w:p w14:paraId="7CCE6AE9" w14:textId="77777777" w:rsidR="00327996" w:rsidRPr="00B74CE8" w:rsidRDefault="00327996" w:rsidP="00327996">
      <w:pPr>
        <w:pStyle w:val="ListParagraph"/>
        <w:numPr>
          <w:ilvl w:val="0"/>
          <w:numId w:val="21"/>
        </w:numPr>
        <w:rPr>
          <w:rFonts w:ascii="Times New Roman" w:hAnsi="Times New Roman" w:cs="Times New Roman"/>
        </w:rPr>
      </w:pPr>
      <w:r w:rsidRPr="00B74CE8">
        <w:rPr>
          <w:rFonts w:ascii="Times New Roman" w:hAnsi="Times New Roman" w:cs="Times New Roman"/>
        </w:rPr>
        <w:t xml:space="preserve">How many times in your entire life? </w:t>
      </w:r>
    </w:p>
    <w:p w14:paraId="15E877B7" w14:textId="77777777" w:rsidR="00327996" w:rsidRDefault="00327996" w:rsidP="00327996">
      <w:pPr>
        <w:pStyle w:val="ListParagraph"/>
        <w:numPr>
          <w:ilvl w:val="0"/>
          <w:numId w:val="21"/>
        </w:numPr>
        <w:rPr>
          <w:rFonts w:ascii="Times New Roman" w:hAnsi="Times New Roman" w:cs="Times New Roman"/>
        </w:rPr>
      </w:pPr>
      <w:r w:rsidRPr="00B74CE8">
        <w:rPr>
          <w:rFonts w:ascii="Times New Roman" w:hAnsi="Times New Roman" w:cs="Times New Roman"/>
        </w:rPr>
        <w:t>How stressful was this for you?</w:t>
      </w:r>
    </w:p>
    <w:p w14:paraId="12455FC1" w14:textId="77777777" w:rsidR="00327996" w:rsidRPr="00B74CE8" w:rsidRDefault="00327996" w:rsidP="00327996">
      <w:r w:rsidRPr="00B74CE8">
        <w:t xml:space="preserve">15. How many times have you been called a racist name? </w:t>
      </w:r>
    </w:p>
    <w:p w14:paraId="0A773267" w14:textId="77777777" w:rsidR="00327996" w:rsidRDefault="00327996" w:rsidP="00327996">
      <w:pPr>
        <w:pStyle w:val="ListParagraph"/>
        <w:numPr>
          <w:ilvl w:val="0"/>
          <w:numId w:val="22"/>
        </w:numPr>
        <w:rPr>
          <w:rFonts w:ascii="Times New Roman" w:hAnsi="Times New Roman" w:cs="Times New Roman"/>
        </w:rPr>
      </w:pPr>
      <w:r w:rsidRPr="00B74CE8">
        <w:rPr>
          <w:rFonts w:ascii="Times New Roman" w:hAnsi="Times New Roman" w:cs="Times New Roman"/>
        </w:rPr>
        <w:t xml:space="preserve">How many times in the past year? </w:t>
      </w:r>
    </w:p>
    <w:p w14:paraId="19D5513E" w14:textId="77777777" w:rsidR="00327996" w:rsidRPr="00B74CE8" w:rsidRDefault="00327996" w:rsidP="00327996">
      <w:pPr>
        <w:pStyle w:val="ListParagraph"/>
        <w:numPr>
          <w:ilvl w:val="0"/>
          <w:numId w:val="22"/>
        </w:numPr>
        <w:rPr>
          <w:rFonts w:ascii="Times New Roman" w:hAnsi="Times New Roman" w:cs="Times New Roman"/>
        </w:rPr>
      </w:pPr>
      <w:r w:rsidRPr="00B74CE8">
        <w:rPr>
          <w:rFonts w:ascii="Times New Roman" w:hAnsi="Times New Roman" w:cs="Times New Roman"/>
        </w:rPr>
        <w:t xml:space="preserve">How many times in your entire life? </w:t>
      </w:r>
    </w:p>
    <w:p w14:paraId="279A775D" w14:textId="77777777" w:rsidR="00327996" w:rsidRPr="00B74CE8" w:rsidRDefault="00327996" w:rsidP="00327996">
      <w:pPr>
        <w:pStyle w:val="ListParagraph"/>
        <w:numPr>
          <w:ilvl w:val="0"/>
          <w:numId w:val="22"/>
        </w:numPr>
        <w:rPr>
          <w:rFonts w:ascii="Times New Roman" w:hAnsi="Times New Roman" w:cs="Times New Roman"/>
        </w:rPr>
      </w:pPr>
      <w:r w:rsidRPr="00B74CE8">
        <w:rPr>
          <w:rFonts w:ascii="Times New Roman" w:hAnsi="Times New Roman" w:cs="Times New Roman"/>
        </w:rPr>
        <w:t xml:space="preserve">How stressful was this for you? </w:t>
      </w:r>
    </w:p>
    <w:p w14:paraId="6BE1FB55" w14:textId="77777777" w:rsidR="00327996" w:rsidRPr="00E67F0B" w:rsidRDefault="00327996" w:rsidP="00327996">
      <w:r w:rsidRPr="00E67F0B">
        <w:t xml:space="preserve">16. How many times have you gotten into an argument or a fight about something racist that was done to somebody else? </w:t>
      </w:r>
    </w:p>
    <w:p w14:paraId="5773CFD5" w14:textId="77777777" w:rsidR="00327996" w:rsidRDefault="00327996" w:rsidP="00327996">
      <w:pPr>
        <w:pStyle w:val="ListParagraph"/>
        <w:numPr>
          <w:ilvl w:val="0"/>
          <w:numId w:val="23"/>
        </w:numPr>
        <w:rPr>
          <w:rFonts w:ascii="Times New Roman" w:hAnsi="Times New Roman" w:cs="Times New Roman"/>
        </w:rPr>
      </w:pPr>
      <w:r w:rsidRPr="00B74CE8">
        <w:rPr>
          <w:rFonts w:ascii="Times New Roman" w:hAnsi="Times New Roman" w:cs="Times New Roman"/>
        </w:rPr>
        <w:t xml:space="preserve">How many times in the past year? </w:t>
      </w:r>
    </w:p>
    <w:p w14:paraId="10F90436" w14:textId="77777777" w:rsidR="00327996" w:rsidRPr="00B74CE8" w:rsidRDefault="00327996" w:rsidP="00327996">
      <w:pPr>
        <w:pStyle w:val="ListParagraph"/>
        <w:numPr>
          <w:ilvl w:val="0"/>
          <w:numId w:val="23"/>
        </w:numPr>
        <w:rPr>
          <w:rFonts w:ascii="Times New Roman" w:hAnsi="Times New Roman" w:cs="Times New Roman"/>
        </w:rPr>
      </w:pPr>
      <w:r w:rsidRPr="00B74CE8">
        <w:rPr>
          <w:rFonts w:ascii="Times New Roman" w:hAnsi="Times New Roman" w:cs="Times New Roman"/>
        </w:rPr>
        <w:t xml:space="preserve">How many times in your entire life? </w:t>
      </w:r>
    </w:p>
    <w:p w14:paraId="3C233953" w14:textId="77777777" w:rsidR="00327996" w:rsidRPr="00B74CE8" w:rsidRDefault="00327996" w:rsidP="00327996">
      <w:pPr>
        <w:pStyle w:val="ListParagraph"/>
        <w:numPr>
          <w:ilvl w:val="0"/>
          <w:numId w:val="23"/>
        </w:numPr>
        <w:rPr>
          <w:rFonts w:ascii="Times New Roman" w:hAnsi="Times New Roman" w:cs="Times New Roman"/>
        </w:rPr>
      </w:pPr>
      <w:r w:rsidRPr="00B74CE8">
        <w:rPr>
          <w:rFonts w:ascii="Times New Roman" w:hAnsi="Times New Roman" w:cs="Times New Roman"/>
        </w:rPr>
        <w:t xml:space="preserve">How stressful was this for you? </w:t>
      </w:r>
    </w:p>
    <w:p w14:paraId="2E5AF75A" w14:textId="77777777" w:rsidR="00327996" w:rsidRPr="00E67F0B" w:rsidRDefault="00327996" w:rsidP="00327996">
      <w:r w:rsidRPr="00E67F0B">
        <w:t xml:space="preserve">17. How many times have you been made fun of, picked on, pushed, shoved, hit, or threatened with harm because of your race or ethnic group? </w:t>
      </w:r>
    </w:p>
    <w:p w14:paraId="72CFF522" w14:textId="77777777" w:rsidR="00327996" w:rsidRDefault="00327996" w:rsidP="00327996">
      <w:pPr>
        <w:pStyle w:val="ListParagraph"/>
        <w:numPr>
          <w:ilvl w:val="0"/>
          <w:numId w:val="24"/>
        </w:numPr>
        <w:rPr>
          <w:rFonts w:ascii="Times New Roman" w:hAnsi="Times New Roman" w:cs="Times New Roman"/>
        </w:rPr>
      </w:pPr>
      <w:r w:rsidRPr="00B74CE8">
        <w:rPr>
          <w:rFonts w:ascii="Times New Roman" w:hAnsi="Times New Roman" w:cs="Times New Roman"/>
        </w:rPr>
        <w:t xml:space="preserve">How many times in the past year? </w:t>
      </w:r>
    </w:p>
    <w:p w14:paraId="2EFC1775" w14:textId="77777777" w:rsidR="00327996" w:rsidRPr="00B74CE8" w:rsidRDefault="00327996" w:rsidP="00327996">
      <w:pPr>
        <w:pStyle w:val="ListParagraph"/>
        <w:numPr>
          <w:ilvl w:val="0"/>
          <w:numId w:val="24"/>
        </w:numPr>
        <w:rPr>
          <w:rFonts w:ascii="Times New Roman" w:hAnsi="Times New Roman" w:cs="Times New Roman"/>
        </w:rPr>
      </w:pPr>
      <w:r w:rsidRPr="00B74CE8">
        <w:rPr>
          <w:rFonts w:ascii="Times New Roman" w:hAnsi="Times New Roman" w:cs="Times New Roman"/>
        </w:rPr>
        <w:t xml:space="preserve">How many times in your entire life? </w:t>
      </w:r>
    </w:p>
    <w:p w14:paraId="181CB1F5" w14:textId="77777777" w:rsidR="00327996" w:rsidRPr="00B74CE8" w:rsidRDefault="00327996" w:rsidP="00327996">
      <w:pPr>
        <w:pStyle w:val="ListParagraph"/>
        <w:numPr>
          <w:ilvl w:val="0"/>
          <w:numId w:val="24"/>
        </w:numPr>
        <w:rPr>
          <w:rFonts w:ascii="Times New Roman" w:hAnsi="Times New Roman" w:cs="Times New Roman"/>
        </w:rPr>
      </w:pPr>
      <w:r w:rsidRPr="00B74CE8">
        <w:rPr>
          <w:rFonts w:ascii="Times New Roman" w:hAnsi="Times New Roman" w:cs="Times New Roman"/>
        </w:rPr>
        <w:lastRenderedPageBreak/>
        <w:t>How stressful was this for you?</w:t>
      </w:r>
    </w:p>
    <w:p w14:paraId="1FE3BE4D" w14:textId="77777777" w:rsidR="00327996" w:rsidRPr="00B74CE8" w:rsidRDefault="00327996" w:rsidP="00327996">
      <w:r w:rsidRPr="00B74CE8">
        <w:t xml:space="preserve">18. How different would your life be now if you HAD NOT BEEN treated in a racist and unfair way? </w:t>
      </w:r>
    </w:p>
    <w:p w14:paraId="7F084F95" w14:textId="77777777" w:rsidR="00327996" w:rsidRPr="00B74CE8" w:rsidRDefault="00327996" w:rsidP="00327996">
      <w:pPr>
        <w:pStyle w:val="ListParagraph"/>
        <w:numPr>
          <w:ilvl w:val="0"/>
          <w:numId w:val="25"/>
        </w:numPr>
        <w:rPr>
          <w:rFonts w:ascii="Times New Roman" w:hAnsi="Times New Roman" w:cs="Times New Roman"/>
        </w:rPr>
      </w:pPr>
      <w:r w:rsidRPr="00B74CE8">
        <w:rPr>
          <w:rFonts w:ascii="Times New Roman" w:hAnsi="Times New Roman" w:cs="Times New Roman"/>
        </w:rPr>
        <w:t>In the Past Year?</w:t>
      </w:r>
    </w:p>
    <w:p w14:paraId="7CE20F7F" w14:textId="77777777" w:rsidR="00327996" w:rsidRDefault="00327996" w:rsidP="00327996">
      <w:pPr>
        <w:pStyle w:val="ListParagraph"/>
        <w:numPr>
          <w:ilvl w:val="0"/>
          <w:numId w:val="25"/>
        </w:numPr>
        <w:rPr>
          <w:rFonts w:ascii="Times New Roman" w:hAnsi="Times New Roman" w:cs="Times New Roman"/>
        </w:rPr>
      </w:pPr>
      <w:r w:rsidRPr="00B74CE8">
        <w:rPr>
          <w:rFonts w:ascii="Times New Roman" w:hAnsi="Times New Roman" w:cs="Times New Roman"/>
        </w:rPr>
        <w:t>In your Entire Life?</w:t>
      </w:r>
    </w:p>
    <w:p w14:paraId="07796B75" w14:textId="77777777" w:rsidR="00327996" w:rsidRDefault="00327996" w:rsidP="00327996">
      <w:pPr>
        <w:pStyle w:val="ListParagraph"/>
        <w:rPr>
          <w:rFonts w:ascii="Times New Roman" w:hAnsi="Times New Roman" w:cs="Times New Roman"/>
        </w:rPr>
      </w:pPr>
    </w:p>
    <w:p w14:paraId="581C25C5" w14:textId="77777777" w:rsidR="00327996" w:rsidRDefault="00327996" w:rsidP="00327996">
      <w:pPr>
        <w:pStyle w:val="ListParagraph"/>
        <w:numPr>
          <w:ilvl w:val="0"/>
          <w:numId w:val="26"/>
        </w:numPr>
        <w:rPr>
          <w:rFonts w:ascii="Times New Roman" w:hAnsi="Times New Roman" w:cs="Times New Roman"/>
        </w:rPr>
      </w:pPr>
      <w:r>
        <w:rPr>
          <w:rFonts w:ascii="Times New Roman" w:hAnsi="Times New Roman" w:cs="Times New Roman"/>
        </w:rPr>
        <w:t xml:space="preserve">Over the past 28 days, how many </w:t>
      </w:r>
      <w:r>
        <w:rPr>
          <w:rFonts w:ascii="Times New Roman" w:hAnsi="Times New Roman" w:cs="Times New Roman"/>
          <w:u w:val="single"/>
        </w:rPr>
        <w:t>times</w:t>
      </w:r>
      <w:r>
        <w:rPr>
          <w:rFonts w:ascii="Times New Roman" w:hAnsi="Times New Roman" w:cs="Times New Roman"/>
        </w:rPr>
        <w:t xml:space="preserve"> have you eaten what other people would regard as an </w:t>
      </w:r>
      <w:r>
        <w:rPr>
          <w:rFonts w:ascii="Times New Roman" w:hAnsi="Times New Roman" w:cs="Times New Roman"/>
          <w:u w:val="single"/>
        </w:rPr>
        <w:t>unusually large amount of food</w:t>
      </w:r>
      <w:r>
        <w:rPr>
          <w:rFonts w:ascii="Times New Roman" w:hAnsi="Times New Roman" w:cs="Times New Roman"/>
        </w:rPr>
        <w:t xml:space="preserve"> (given the circumstances)?</w:t>
      </w:r>
    </w:p>
    <w:p w14:paraId="4AE1CE3B" w14:textId="77777777" w:rsidR="00327996" w:rsidRPr="00007CD7" w:rsidRDefault="00327996" w:rsidP="00327996">
      <w:r>
        <w:tab/>
      </w:r>
      <w:r>
        <w:tab/>
        <w:t>Number of days:_________</w:t>
      </w:r>
    </w:p>
    <w:p w14:paraId="53B19B34" w14:textId="77777777" w:rsidR="00327996" w:rsidRDefault="00327996" w:rsidP="00327996">
      <w:pPr>
        <w:pStyle w:val="ListParagraph"/>
        <w:numPr>
          <w:ilvl w:val="0"/>
          <w:numId w:val="26"/>
        </w:numPr>
        <w:rPr>
          <w:rFonts w:ascii="Times New Roman" w:hAnsi="Times New Roman" w:cs="Times New Roman"/>
        </w:rPr>
      </w:pPr>
      <w:r>
        <w:rPr>
          <w:rFonts w:ascii="Times New Roman" w:hAnsi="Times New Roman" w:cs="Times New Roman"/>
        </w:rPr>
        <w:t>On how many of these times did you have a sense of having lost control over your eating (at the time that you were eating)?</w:t>
      </w:r>
    </w:p>
    <w:p w14:paraId="5F9BF7B3" w14:textId="77777777" w:rsidR="00327996" w:rsidRPr="00007CD7" w:rsidRDefault="00327996" w:rsidP="00327996">
      <w:r>
        <w:tab/>
      </w:r>
      <w:r>
        <w:tab/>
        <w:t>Number of days:_________</w:t>
      </w:r>
      <w:r w:rsidRPr="00007CD7">
        <w:br/>
      </w:r>
    </w:p>
    <w:p w14:paraId="7D7A77BF" w14:textId="77777777" w:rsidR="00327996" w:rsidRDefault="00327996" w:rsidP="00327996">
      <w:pPr>
        <w:rPr>
          <w:b/>
          <w:bCs/>
        </w:rPr>
      </w:pPr>
    </w:p>
    <w:p w14:paraId="79330878" w14:textId="77777777" w:rsidR="00327996" w:rsidRPr="00327996" w:rsidRDefault="00327996" w:rsidP="00327996">
      <w:pPr>
        <w:jc w:val="center"/>
        <w:rPr>
          <w:b/>
          <w:bCs/>
        </w:rPr>
      </w:pPr>
    </w:p>
    <w:sectPr w:rsidR="00327996" w:rsidRPr="00327996" w:rsidSect="003F3EB9">
      <w:pgSz w:w="12240" w:h="15840"/>
      <w:pgMar w:top="1440" w:right="1440" w:bottom="1440" w:left="1440" w:header="720" w:footer="720" w:gutter="0"/>
      <w:pgNumType w:start="4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C7D303" w14:textId="77777777" w:rsidR="003041C7" w:rsidRDefault="003041C7" w:rsidP="00F71A79">
      <w:r>
        <w:separator/>
      </w:r>
    </w:p>
  </w:endnote>
  <w:endnote w:type="continuationSeparator" w:id="0">
    <w:p w14:paraId="17AB7DA6" w14:textId="77777777" w:rsidR="003041C7" w:rsidRDefault="003041C7" w:rsidP="00F71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imesNewRomanPSMT">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59415782"/>
      <w:docPartObj>
        <w:docPartGallery w:val="Page Numbers (Bottom of Page)"/>
        <w:docPartUnique/>
      </w:docPartObj>
    </w:sdtPr>
    <w:sdtEndPr>
      <w:rPr>
        <w:rStyle w:val="PageNumber"/>
      </w:rPr>
    </w:sdtEndPr>
    <w:sdtContent>
      <w:p w14:paraId="3757364E" w14:textId="396945A8" w:rsidR="00523637" w:rsidRDefault="00523637" w:rsidP="00BB219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5879082"/>
      <w:docPartObj>
        <w:docPartGallery w:val="Page Numbers (Bottom of Page)"/>
        <w:docPartUnique/>
      </w:docPartObj>
    </w:sdtPr>
    <w:sdtEndPr>
      <w:rPr>
        <w:rStyle w:val="PageNumber"/>
      </w:rPr>
    </w:sdtEndPr>
    <w:sdtContent>
      <w:p w14:paraId="3EE9025D" w14:textId="5439E44B" w:rsidR="00523637" w:rsidRDefault="00523637" w:rsidP="00BB219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45062803"/>
      <w:docPartObj>
        <w:docPartGallery w:val="Page Numbers (Bottom of Page)"/>
        <w:docPartUnique/>
      </w:docPartObj>
    </w:sdtPr>
    <w:sdtEndPr>
      <w:rPr>
        <w:rStyle w:val="PageNumber"/>
      </w:rPr>
    </w:sdtEndPr>
    <w:sdtContent>
      <w:p w14:paraId="502838C7" w14:textId="3AEBFCA8" w:rsidR="00523637" w:rsidRDefault="00523637" w:rsidP="00BB219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0D8159" w14:textId="77777777" w:rsidR="00523637" w:rsidRDefault="00523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56431225"/>
      <w:docPartObj>
        <w:docPartGallery w:val="Page Numbers (Bottom of Page)"/>
        <w:docPartUnique/>
      </w:docPartObj>
    </w:sdtPr>
    <w:sdtEndPr>
      <w:rPr>
        <w:rStyle w:val="PageNumber"/>
      </w:rPr>
    </w:sdtEndPr>
    <w:sdtContent>
      <w:p w14:paraId="433C3733" w14:textId="77777777" w:rsidR="00523637" w:rsidRDefault="00523637" w:rsidP="005A2A4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781E6CA0" w14:textId="77777777" w:rsidR="00523637" w:rsidRDefault="005236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53413314"/>
      <w:docPartObj>
        <w:docPartGallery w:val="Page Numbers (Bottom of Page)"/>
        <w:docPartUnique/>
      </w:docPartObj>
    </w:sdtPr>
    <w:sdtEndPr>
      <w:rPr>
        <w:rStyle w:val="PageNumber"/>
      </w:rPr>
    </w:sdtEndPr>
    <w:sdtContent>
      <w:p w14:paraId="5BB1ACD5" w14:textId="4A4CDB2A" w:rsidR="00523637" w:rsidRDefault="00523637" w:rsidP="006528B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74055D" w14:textId="77777777" w:rsidR="00523637" w:rsidRDefault="00523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DF8224" w14:textId="77777777" w:rsidR="003041C7" w:rsidRDefault="003041C7" w:rsidP="00F71A79">
      <w:r>
        <w:separator/>
      </w:r>
    </w:p>
  </w:footnote>
  <w:footnote w:type="continuationSeparator" w:id="0">
    <w:p w14:paraId="73C0C972" w14:textId="77777777" w:rsidR="003041C7" w:rsidRDefault="003041C7" w:rsidP="00F71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93C24"/>
    <w:multiLevelType w:val="hybridMultilevel"/>
    <w:tmpl w:val="DFEA9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759D0"/>
    <w:multiLevelType w:val="hybridMultilevel"/>
    <w:tmpl w:val="706C3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11DF1"/>
    <w:multiLevelType w:val="hybridMultilevel"/>
    <w:tmpl w:val="9A203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8665A"/>
    <w:multiLevelType w:val="hybridMultilevel"/>
    <w:tmpl w:val="FA02E2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34283"/>
    <w:multiLevelType w:val="hybridMultilevel"/>
    <w:tmpl w:val="DB002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A229B"/>
    <w:multiLevelType w:val="hybridMultilevel"/>
    <w:tmpl w:val="7F30D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2C5752"/>
    <w:multiLevelType w:val="hybridMultilevel"/>
    <w:tmpl w:val="3900F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1B0E14"/>
    <w:multiLevelType w:val="hybridMultilevel"/>
    <w:tmpl w:val="9BB2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A022F"/>
    <w:multiLevelType w:val="hybridMultilevel"/>
    <w:tmpl w:val="0A409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191C6E"/>
    <w:multiLevelType w:val="hybridMultilevel"/>
    <w:tmpl w:val="B4A6B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672A4D"/>
    <w:multiLevelType w:val="hybridMultilevel"/>
    <w:tmpl w:val="142C5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44CC2"/>
    <w:multiLevelType w:val="hybridMultilevel"/>
    <w:tmpl w:val="6C22D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7D5B5E"/>
    <w:multiLevelType w:val="hybridMultilevel"/>
    <w:tmpl w:val="D9ECF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14629E"/>
    <w:multiLevelType w:val="hybridMultilevel"/>
    <w:tmpl w:val="0FE2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1062A"/>
    <w:multiLevelType w:val="hybridMultilevel"/>
    <w:tmpl w:val="36C0B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D5150"/>
    <w:multiLevelType w:val="hybridMultilevel"/>
    <w:tmpl w:val="820C8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906E0C"/>
    <w:multiLevelType w:val="hybridMultilevel"/>
    <w:tmpl w:val="2B5AA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14061C"/>
    <w:multiLevelType w:val="hybridMultilevel"/>
    <w:tmpl w:val="0FE62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6412F9"/>
    <w:multiLevelType w:val="hybridMultilevel"/>
    <w:tmpl w:val="12FA5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964F43"/>
    <w:multiLevelType w:val="hybridMultilevel"/>
    <w:tmpl w:val="6D723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250AC9"/>
    <w:multiLevelType w:val="hybridMultilevel"/>
    <w:tmpl w:val="D6B8C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AC495E"/>
    <w:multiLevelType w:val="hybridMultilevel"/>
    <w:tmpl w:val="B1C2F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B008E7"/>
    <w:multiLevelType w:val="hybridMultilevel"/>
    <w:tmpl w:val="8F9E1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546645"/>
    <w:multiLevelType w:val="hybridMultilevel"/>
    <w:tmpl w:val="64C69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EF6B42"/>
    <w:multiLevelType w:val="hybridMultilevel"/>
    <w:tmpl w:val="1D942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497136"/>
    <w:multiLevelType w:val="hybridMultilevel"/>
    <w:tmpl w:val="F85A1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CB7DA9"/>
    <w:multiLevelType w:val="hybridMultilevel"/>
    <w:tmpl w:val="A6745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B421E8"/>
    <w:multiLevelType w:val="hybridMultilevel"/>
    <w:tmpl w:val="68FA9A7E"/>
    <w:lvl w:ilvl="0" w:tplc="04090001">
      <w:start w:val="40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FC4045"/>
    <w:multiLevelType w:val="hybridMultilevel"/>
    <w:tmpl w:val="A16E8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D72EDB"/>
    <w:multiLevelType w:val="hybridMultilevel"/>
    <w:tmpl w:val="32E4A27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29"/>
  </w:num>
  <w:num w:numId="2">
    <w:abstractNumId w:val="12"/>
  </w:num>
  <w:num w:numId="3">
    <w:abstractNumId w:val="27"/>
  </w:num>
  <w:num w:numId="4">
    <w:abstractNumId w:val="11"/>
  </w:num>
  <w:num w:numId="5">
    <w:abstractNumId w:val="3"/>
  </w:num>
  <w:num w:numId="6">
    <w:abstractNumId w:val="26"/>
  </w:num>
  <w:num w:numId="7">
    <w:abstractNumId w:val="22"/>
  </w:num>
  <w:num w:numId="8">
    <w:abstractNumId w:val="15"/>
  </w:num>
  <w:num w:numId="9">
    <w:abstractNumId w:val="7"/>
  </w:num>
  <w:num w:numId="10">
    <w:abstractNumId w:val="0"/>
  </w:num>
  <w:num w:numId="11">
    <w:abstractNumId w:val="16"/>
  </w:num>
  <w:num w:numId="12">
    <w:abstractNumId w:val="20"/>
  </w:num>
  <w:num w:numId="13">
    <w:abstractNumId w:val="14"/>
  </w:num>
  <w:num w:numId="14">
    <w:abstractNumId w:val="25"/>
  </w:num>
  <w:num w:numId="15">
    <w:abstractNumId w:val="9"/>
  </w:num>
  <w:num w:numId="16">
    <w:abstractNumId w:val="10"/>
  </w:num>
  <w:num w:numId="17">
    <w:abstractNumId w:val="21"/>
  </w:num>
  <w:num w:numId="18">
    <w:abstractNumId w:val="19"/>
  </w:num>
  <w:num w:numId="19">
    <w:abstractNumId w:val="8"/>
  </w:num>
  <w:num w:numId="20">
    <w:abstractNumId w:val="23"/>
  </w:num>
  <w:num w:numId="21">
    <w:abstractNumId w:val="2"/>
  </w:num>
  <w:num w:numId="22">
    <w:abstractNumId w:val="13"/>
  </w:num>
  <w:num w:numId="23">
    <w:abstractNumId w:val="6"/>
  </w:num>
  <w:num w:numId="24">
    <w:abstractNumId w:val="28"/>
  </w:num>
  <w:num w:numId="25">
    <w:abstractNumId w:val="1"/>
  </w:num>
  <w:num w:numId="26">
    <w:abstractNumId w:val="18"/>
  </w:num>
  <w:num w:numId="27">
    <w:abstractNumId w:val="17"/>
  </w:num>
  <w:num w:numId="28">
    <w:abstractNumId w:val="24"/>
  </w:num>
  <w:num w:numId="29">
    <w:abstractNumId w:val="4"/>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50F"/>
    <w:rsid w:val="00005CCF"/>
    <w:rsid w:val="00010E78"/>
    <w:rsid w:val="00011433"/>
    <w:rsid w:val="00011C2F"/>
    <w:rsid w:val="000147FA"/>
    <w:rsid w:val="00015DB7"/>
    <w:rsid w:val="00017CD3"/>
    <w:rsid w:val="00021354"/>
    <w:rsid w:val="00022101"/>
    <w:rsid w:val="000231FB"/>
    <w:rsid w:val="000247FC"/>
    <w:rsid w:val="00025464"/>
    <w:rsid w:val="0003176A"/>
    <w:rsid w:val="0003188A"/>
    <w:rsid w:val="00032124"/>
    <w:rsid w:val="00032480"/>
    <w:rsid w:val="00033213"/>
    <w:rsid w:val="00034DCE"/>
    <w:rsid w:val="000409D6"/>
    <w:rsid w:val="000451BF"/>
    <w:rsid w:val="00046461"/>
    <w:rsid w:val="00052745"/>
    <w:rsid w:val="00052A11"/>
    <w:rsid w:val="00054D0F"/>
    <w:rsid w:val="0006093D"/>
    <w:rsid w:val="00060E48"/>
    <w:rsid w:val="00061B21"/>
    <w:rsid w:val="000625FA"/>
    <w:rsid w:val="00062C3E"/>
    <w:rsid w:val="0007205F"/>
    <w:rsid w:val="0007437C"/>
    <w:rsid w:val="0007659B"/>
    <w:rsid w:val="00080E9D"/>
    <w:rsid w:val="00081FA1"/>
    <w:rsid w:val="00082808"/>
    <w:rsid w:val="00082CAF"/>
    <w:rsid w:val="00085D71"/>
    <w:rsid w:val="00094739"/>
    <w:rsid w:val="000A26D2"/>
    <w:rsid w:val="000A4176"/>
    <w:rsid w:val="000A4BF1"/>
    <w:rsid w:val="000A5F3F"/>
    <w:rsid w:val="000B021A"/>
    <w:rsid w:val="000B11A0"/>
    <w:rsid w:val="000B2AED"/>
    <w:rsid w:val="000B754B"/>
    <w:rsid w:val="000B7FA5"/>
    <w:rsid w:val="000C0964"/>
    <w:rsid w:val="000C3869"/>
    <w:rsid w:val="000C4043"/>
    <w:rsid w:val="000C4FB3"/>
    <w:rsid w:val="000C6C7F"/>
    <w:rsid w:val="000C70E5"/>
    <w:rsid w:val="000C7367"/>
    <w:rsid w:val="000D4797"/>
    <w:rsid w:val="000D6C05"/>
    <w:rsid w:val="000E0F27"/>
    <w:rsid w:val="000E1B5A"/>
    <w:rsid w:val="000E333A"/>
    <w:rsid w:val="000E52F0"/>
    <w:rsid w:val="000F40C9"/>
    <w:rsid w:val="000F4CDE"/>
    <w:rsid w:val="000F5222"/>
    <w:rsid w:val="000F62DC"/>
    <w:rsid w:val="00100984"/>
    <w:rsid w:val="0010226C"/>
    <w:rsid w:val="00103434"/>
    <w:rsid w:val="00104F33"/>
    <w:rsid w:val="001055B9"/>
    <w:rsid w:val="00106C79"/>
    <w:rsid w:val="00111C7B"/>
    <w:rsid w:val="00112FE1"/>
    <w:rsid w:val="00114695"/>
    <w:rsid w:val="001154E8"/>
    <w:rsid w:val="00116EED"/>
    <w:rsid w:val="00120237"/>
    <w:rsid w:val="001219A8"/>
    <w:rsid w:val="00121C9C"/>
    <w:rsid w:val="001232DF"/>
    <w:rsid w:val="001241FF"/>
    <w:rsid w:val="001250A5"/>
    <w:rsid w:val="001253AF"/>
    <w:rsid w:val="001254E2"/>
    <w:rsid w:val="001262BB"/>
    <w:rsid w:val="00127A53"/>
    <w:rsid w:val="001366CC"/>
    <w:rsid w:val="001378F2"/>
    <w:rsid w:val="00140C2D"/>
    <w:rsid w:val="00141A48"/>
    <w:rsid w:val="00150C87"/>
    <w:rsid w:val="0015192B"/>
    <w:rsid w:val="00151AF3"/>
    <w:rsid w:val="00154317"/>
    <w:rsid w:val="00154761"/>
    <w:rsid w:val="001568F7"/>
    <w:rsid w:val="001619B8"/>
    <w:rsid w:val="00164599"/>
    <w:rsid w:val="00165419"/>
    <w:rsid w:val="00167ED1"/>
    <w:rsid w:val="001727FE"/>
    <w:rsid w:val="00174A99"/>
    <w:rsid w:val="00174EBE"/>
    <w:rsid w:val="001754FA"/>
    <w:rsid w:val="00176C93"/>
    <w:rsid w:val="001773CA"/>
    <w:rsid w:val="0018126C"/>
    <w:rsid w:val="00190AF4"/>
    <w:rsid w:val="0019339A"/>
    <w:rsid w:val="00193D81"/>
    <w:rsid w:val="001A021C"/>
    <w:rsid w:val="001A08C0"/>
    <w:rsid w:val="001A2272"/>
    <w:rsid w:val="001A5F9D"/>
    <w:rsid w:val="001A6523"/>
    <w:rsid w:val="001A6E76"/>
    <w:rsid w:val="001A6F5C"/>
    <w:rsid w:val="001A7B47"/>
    <w:rsid w:val="001A7BDF"/>
    <w:rsid w:val="001B2F02"/>
    <w:rsid w:val="001B4A96"/>
    <w:rsid w:val="001B4BE1"/>
    <w:rsid w:val="001B7DCF"/>
    <w:rsid w:val="001C2551"/>
    <w:rsid w:val="001C4EC6"/>
    <w:rsid w:val="001D045B"/>
    <w:rsid w:val="001D2546"/>
    <w:rsid w:val="001D5E88"/>
    <w:rsid w:val="001D7C57"/>
    <w:rsid w:val="001E0EAE"/>
    <w:rsid w:val="001E143A"/>
    <w:rsid w:val="001E2307"/>
    <w:rsid w:val="001F28D9"/>
    <w:rsid w:val="001F2C28"/>
    <w:rsid w:val="001F5EE7"/>
    <w:rsid w:val="001F6B2A"/>
    <w:rsid w:val="002020BE"/>
    <w:rsid w:val="00202D8A"/>
    <w:rsid w:val="002040EA"/>
    <w:rsid w:val="0021014C"/>
    <w:rsid w:val="002120F7"/>
    <w:rsid w:val="0021645C"/>
    <w:rsid w:val="0021658A"/>
    <w:rsid w:val="00216A52"/>
    <w:rsid w:val="00221F0B"/>
    <w:rsid w:val="00225E04"/>
    <w:rsid w:val="0022729C"/>
    <w:rsid w:val="002313C3"/>
    <w:rsid w:val="00234D9D"/>
    <w:rsid w:val="002358CF"/>
    <w:rsid w:val="002376F6"/>
    <w:rsid w:val="002440A6"/>
    <w:rsid w:val="00245042"/>
    <w:rsid w:val="002470BA"/>
    <w:rsid w:val="0025001F"/>
    <w:rsid w:val="00250738"/>
    <w:rsid w:val="0025225C"/>
    <w:rsid w:val="00252ACC"/>
    <w:rsid w:val="00252C01"/>
    <w:rsid w:val="00253D48"/>
    <w:rsid w:val="00254025"/>
    <w:rsid w:val="00256F7D"/>
    <w:rsid w:val="002605D8"/>
    <w:rsid w:val="00264D13"/>
    <w:rsid w:val="0026523A"/>
    <w:rsid w:val="00270DBE"/>
    <w:rsid w:val="00271B3C"/>
    <w:rsid w:val="00281117"/>
    <w:rsid w:val="00282F21"/>
    <w:rsid w:val="00282F2B"/>
    <w:rsid w:val="002842A2"/>
    <w:rsid w:val="00284CA2"/>
    <w:rsid w:val="00290022"/>
    <w:rsid w:val="00291666"/>
    <w:rsid w:val="00292030"/>
    <w:rsid w:val="002A1B93"/>
    <w:rsid w:val="002A2DDD"/>
    <w:rsid w:val="002A3EE8"/>
    <w:rsid w:val="002A5071"/>
    <w:rsid w:val="002A7F1F"/>
    <w:rsid w:val="002B0D26"/>
    <w:rsid w:val="002B38B8"/>
    <w:rsid w:val="002B3E81"/>
    <w:rsid w:val="002B4D2D"/>
    <w:rsid w:val="002B6080"/>
    <w:rsid w:val="002C06B5"/>
    <w:rsid w:val="002C0D77"/>
    <w:rsid w:val="002C3E19"/>
    <w:rsid w:val="002C475D"/>
    <w:rsid w:val="002C6DDE"/>
    <w:rsid w:val="002D055E"/>
    <w:rsid w:val="002D1B8D"/>
    <w:rsid w:val="002E230A"/>
    <w:rsid w:val="002E2882"/>
    <w:rsid w:val="002E34C5"/>
    <w:rsid w:val="002E3693"/>
    <w:rsid w:val="002E4999"/>
    <w:rsid w:val="002E4F64"/>
    <w:rsid w:val="002E5ED3"/>
    <w:rsid w:val="002F1020"/>
    <w:rsid w:val="002F22CB"/>
    <w:rsid w:val="002F7D85"/>
    <w:rsid w:val="003005EA"/>
    <w:rsid w:val="003027E0"/>
    <w:rsid w:val="003041C7"/>
    <w:rsid w:val="00304999"/>
    <w:rsid w:val="00307CC8"/>
    <w:rsid w:val="003116A3"/>
    <w:rsid w:val="00311AC4"/>
    <w:rsid w:val="00312F34"/>
    <w:rsid w:val="003148E0"/>
    <w:rsid w:val="00316B46"/>
    <w:rsid w:val="00316E78"/>
    <w:rsid w:val="003174E8"/>
    <w:rsid w:val="00320836"/>
    <w:rsid w:val="003221E4"/>
    <w:rsid w:val="003228A5"/>
    <w:rsid w:val="003238C7"/>
    <w:rsid w:val="003245A7"/>
    <w:rsid w:val="00327996"/>
    <w:rsid w:val="00327A19"/>
    <w:rsid w:val="00331577"/>
    <w:rsid w:val="00332276"/>
    <w:rsid w:val="0033503D"/>
    <w:rsid w:val="00337EB9"/>
    <w:rsid w:val="00340599"/>
    <w:rsid w:val="0034079E"/>
    <w:rsid w:val="0034397F"/>
    <w:rsid w:val="0034573E"/>
    <w:rsid w:val="00345D52"/>
    <w:rsid w:val="00351062"/>
    <w:rsid w:val="00352C5E"/>
    <w:rsid w:val="0035459B"/>
    <w:rsid w:val="00355709"/>
    <w:rsid w:val="00355CDC"/>
    <w:rsid w:val="00355F6C"/>
    <w:rsid w:val="00360E3F"/>
    <w:rsid w:val="00363EE6"/>
    <w:rsid w:val="00365444"/>
    <w:rsid w:val="00365985"/>
    <w:rsid w:val="003674BE"/>
    <w:rsid w:val="00367A21"/>
    <w:rsid w:val="00367E83"/>
    <w:rsid w:val="003705D9"/>
    <w:rsid w:val="00370BB8"/>
    <w:rsid w:val="00371749"/>
    <w:rsid w:val="00377BF9"/>
    <w:rsid w:val="00384506"/>
    <w:rsid w:val="0038490A"/>
    <w:rsid w:val="0038718D"/>
    <w:rsid w:val="00390306"/>
    <w:rsid w:val="00390384"/>
    <w:rsid w:val="00395220"/>
    <w:rsid w:val="003956AF"/>
    <w:rsid w:val="00396CFF"/>
    <w:rsid w:val="003979B2"/>
    <w:rsid w:val="003A2E79"/>
    <w:rsid w:val="003A4B01"/>
    <w:rsid w:val="003A4C67"/>
    <w:rsid w:val="003A4DC7"/>
    <w:rsid w:val="003A53FF"/>
    <w:rsid w:val="003A5441"/>
    <w:rsid w:val="003A6D45"/>
    <w:rsid w:val="003B14ED"/>
    <w:rsid w:val="003B190C"/>
    <w:rsid w:val="003B2D3E"/>
    <w:rsid w:val="003B526E"/>
    <w:rsid w:val="003B5BB2"/>
    <w:rsid w:val="003B7CE1"/>
    <w:rsid w:val="003C2293"/>
    <w:rsid w:val="003C4A89"/>
    <w:rsid w:val="003C6A71"/>
    <w:rsid w:val="003D1EED"/>
    <w:rsid w:val="003D2F04"/>
    <w:rsid w:val="003D69B2"/>
    <w:rsid w:val="003E0A38"/>
    <w:rsid w:val="003E5E66"/>
    <w:rsid w:val="003F10F3"/>
    <w:rsid w:val="003F3EB9"/>
    <w:rsid w:val="003F4A04"/>
    <w:rsid w:val="003F4EE2"/>
    <w:rsid w:val="003F7002"/>
    <w:rsid w:val="00400413"/>
    <w:rsid w:val="004012BB"/>
    <w:rsid w:val="00402A06"/>
    <w:rsid w:val="00402F83"/>
    <w:rsid w:val="00403C5A"/>
    <w:rsid w:val="00404478"/>
    <w:rsid w:val="00407C5E"/>
    <w:rsid w:val="004101DE"/>
    <w:rsid w:val="00412DF0"/>
    <w:rsid w:val="00413DBA"/>
    <w:rsid w:val="00414F2E"/>
    <w:rsid w:val="004157F9"/>
    <w:rsid w:val="0042049B"/>
    <w:rsid w:val="00424861"/>
    <w:rsid w:val="00424EE2"/>
    <w:rsid w:val="0043395F"/>
    <w:rsid w:val="00436B6A"/>
    <w:rsid w:val="004374F5"/>
    <w:rsid w:val="00440173"/>
    <w:rsid w:val="00442013"/>
    <w:rsid w:val="00446AF7"/>
    <w:rsid w:val="00447871"/>
    <w:rsid w:val="0045561D"/>
    <w:rsid w:val="004565AA"/>
    <w:rsid w:val="00457754"/>
    <w:rsid w:val="00457760"/>
    <w:rsid w:val="00457D12"/>
    <w:rsid w:val="00462159"/>
    <w:rsid w:val="00463841"/>
    <w:rsid w:val="00464690"/>
    <w:rsid w:val="004662EC"/>
    <w:rsid w:val="004707BC"/>
    <w:rsid w:val="00475D8D"/>
    <w:rsid w:val="00481792"/>
    <w:rsid w:val="00484B45"/>
    <w:rsid w:val="00487676"/>
    <w:rsid w:val="0049575B"/>
    <w:rsid w:val="004A0286"/>
    <w:rsid w:val="004A24AC"/>
    <w:rsid w:val="004A388D"/>
    <w:rsid w:val="004A3F57"/>
    <w:rsid w:val="004A544A"/>
    <w:rsid w:val="004A5856"/>
    <w:rsid w:val="004A706D"/>
    <w:rsid w:val="004B0378"/>
    <w:rsid w:val="004B38BA"/>
    <w:rsid w:val="004B4817"/>
    <w:rsid w:val="004B7D13"/>
    <w:rsid w:val="004C191D"/>
    <w:rsid w:val="004C2A78"/>
    <w:rsid w:val="004C3B69"/>
    <w:rsid w:val="004C6247"/>
    <w:rsid w:val="004D3183"/>
    <w:rsid w:val="004D3AC4"/>
    <w:rsid w:val="004D3EEA"/>
    <w:rsid w:val="004D6FB5"/>
    <w:rsid w:val="004D78ED"/>
    <w:rsid w:val="004E1D68"/>
    <w:rsid w:val="004E2103"/>
    <w:rsid w:val="004E3D36"/>
    <w:rsid w:val="004E515E"/>
    <w:rsid w:val="004E5CF9"/>
    <w:rsid w:val="004E759C"/>
    <w:rsid w:val="004F08C4"/>
    <w:rsid w:val="004F1233"/>
    <w:rsid w:val="004F289A"/>
    <w:rsid w:val="004F4353"/>
    <w:rsid w:val="004F5AC2"/>
    <w:rsid w:val="0050488B"/>
    <w:rsid w:val="00504E4F"/>
    <w:rsid w:val="005055F5"/>
    <w:rsid w:val="00506EA6"/>
    <w:rsid w:val="005111A6"/>
    <w:rsid w:val="005119A3"/>
    <w:rsid w:val="0051294F"/>
    <w:rsid w:val="00517219"/>
    <w:rsid w:val="00517491"/>
    <w:rsid w:val="00517BA7"/>
    <w:rsid w:val="005215D1"/>
    <w:rsid w:val="00522B8C"/>
    <w:rsid w:val="00523284"/>
    <w:rsid w:val="00523637"/>
    <w:rsid w:val="00523986"/>
    <w:rsid w:val="0052440B"/>
    <w:rsid w:val="00524F6A"/>
    <w:rsid w:val="00525C4F"/>
    <w:rsid w:val="00525FF5"/>
    <w:rsid w:val="0053644C"/>
    <w:rsid w:val="00536F1B"/>
    <w:rsid w:val="00537B6D"/>
    <w:rsid w:val="005419EB"/>
    <w:rsid w:val="00541CED"/>
    <w:rsid w:val="0054359D"/>
    <w:rsid w:val="00544641"/>
    <w:rsid w:val="00544DF3"/>
    <w:rsid w:val="0054637D"/>
    <w:rsid w:val="005501A5"/>
    <w:rsid w:val="00553F2E"/>
    <w:rsid w:val="00554D7B"/>
    <w:rsid w:val="005559FF"/>
    <w:rsid w:val="0055617F"/>
    <w:rsid w:val="005637C6"/>
    <w:rsid w:val="0056443C"/>
    <w:rsid w:val="0056490D"/>
    <w:rsid w:val="005654D8"/>
    <w:rsid w:val="00566A76"/>
    <w:rsid w:val="00566BE0"/>
    <w:rsid w:val="0057088F"/>
    <w:rsid w:val="00573B33"/>
    <w:rsid w:val="00575BF4"/>
    <w:rsid w:val="00576C27"/>
    <w:rsid w:val="00577B41"/>
    <w:rsid w:val="00580856"/>
    <w:rsid w:val="00585665"/>
    <w:rsid w:val="00585B1A"/>
    <w:rsid w:val="00587C94"/>
    <w:rsid w:val="0059018D"/>
    <w:rsid w:val="005906AD"/>
    <w:rsid w:val="00591370"/>
    <w:rsid w:val="00594E1D"/>
    <w:rsid w:val="00595F04"/>
    <w:rsid w:val="0059786D"/>
    <w:rsid w:val="005A14C4"/>
    <w:rsid w:val="005A2A4A"/>
    <w:rsid w:val="005A4262"/>
    <w:rsid w:val="005A6841"/>
    <w:rsid w:val="005A727F"/>
    <w:rsid w:val="005B30BA"/>
    <w:rsid w:val="005B44A1"/>
    <w:rsid w:val="005C0179"/>
    <w:rsid w:val="005C0F9D"/>
    <w:rsid w:val="005C4397"/>
    <w:rsid w:val="005C550F"/>
    <w:rsid w:val="005C62BB"/>
    <w:rsid w:val="005C7292"/>
    <w:rsid w:val="005C7445"/>
    <w:rsid w:val="005D0991"/>
    <w:rsid w:val="005D1F30"/>
    <w:rsid w:val="005D64D1"/>
    <w:rsid w:val="005D77AC"/>
    <w:rsid w:val="005E2829"/>
    <w:rsid w:val="005E49E8"/>
    <w:rsid w:val="005E513A"/>
    <w:rsid w:val="005E5DF5"/>
    <w:rsid w:val="005F1C1C"/>
    <w:rsid w:val="005F324E"/>
    <w:rsid w:val="005F5BCA"/>
    <w:rsid w:val="005F6E5C"/>
    <w:rsid w:val="005F7FDA"/>
    <w:rsid w:val="00603084"/>
    <w:rsid w:val="006118C3"/>
    <w:rsid w:val="00613B28"/>
    <w:rsid w:val="00615138"/>
    <w:rsid w:val="00615F9E"/>
    <w:rsid w:val="00621B46"/>
    <w:rsid w:val="0062255E"/>
    <w:rsid w:val="006225AA"/>
    <w:rsid w:val="006317E4"/>
    <w:rsid w:val="0063365C"/>
    <w:rsid w:val="00640193"/>
    <w:rsid w:val="00640AF9"/>
    <w:rsid w:val="00640D3A"/>
    <w:rsid w:val="00641983"/>
    <w:rsid w:val="006528BF"/>
    <w:rsid w:val="006539EC"/>
    <w:rsid w:val="00661069"/>
    <w:rsid w:val="00661958"/>
    <w:rsid w:val="00665027"/>
    <w:rsid w:val="00670380"/>
    <w:rsid w:val="00673142"/>
    <w:rsid w:val="0067523A"/>
    <w:rsid w:val="00677665"/>
    <w:rsid w:val="00677971"/>
    <w:rsid w:val="00686B0F"/>
    <w:rsid w:val="00690DFE"/>
    <w:rsid w:val="006932BE"/>
    <w:rsid w:val="00693F00"/>
    <w:rsid w:val="00694027"/>
    <w:rsid w:val="00694F02"/>
    <w:rsid w:val="00695D7E"/>
    <w:rsid w:val="0069627F"/>
    <w:rsid w:val="00696664"/>
    <w:rsid w:val="006A04AE"/>
    <w:rsid w:val="006A0614"/>
    <w:rsid w:val="006A109B"/>
    <w:rsid w:val="006A2B76"/>
    <w:rsid w:val="006A795C"/>
    <w:rsid w:val="006B1D72"/>
    <w:rsid w:val="006B2360"/>
    <w:rsid w:val="006B251F"/>
    <w:rsid w:val="006B33D6"/>
    <w:rsid w:val="006B4C1D"/>
    <w:rsid w:val="006B7AEE"/>
    <w:rsid w:val="006C20D0"/>
    <w:rsid w:val="006C39F9"/>
    <w:rsid w:val="006C5D39"/>
    <w:rsid w:val="006D17B1"/>
    <w:rsid w:val="006D241A"/>
    <w:rsid w:val="006D3A60"/>
    <w:rsid w:val="006D4588"/>
    <w:rsid w:val="006E1AD7"/>
    <w:rsid w:val="006E1BA6"/>
    <w:rsid w:val="006E4060"/>
    <w:rsid w:val="006E4A59"/>
    <w:rsid w:val="006E4DD0"/>
    <w:rsid w:val="006E51E7"/>
    <w:rsid w:val="006E78D5"/>
    <w:rsid w:val="006F16A6"/>
    <w:rsid w:val="00714070"/>
    <w:rsid w:val="007164C3"/>
    <w:rsid w:val="00722CD3"/>
    <w:rsid w:val="007251DD"/>
    <w:rsid w:val="00731833"/>
    <w:rsid w:val="00731991"/>
    <w:rsid w:val="00731ED8"/>
    <w:rsid w:val="00734197"/>
    <w:rsid w:val="0073432A"/>
    <w:rsid w:val="007366C6"/>
    <w:rsid w:val="007403E0"/>
    <w:rsid w:val="007404D1"/>
    <w:rsid w:val="007504F2"/>
    <w:rsid w:val="007512DD"/>
    <w:rsid w:val="007539C6"/>
    <w:rsid w:val="00753C1F"/>
    <w:rsid w:val="00755383"/>
    <w:rsid w:val="00755B0C"/>
    <w:rsid w:val="0075682B"/>
    <w:rsid w:val="00756BD7"/>
    <w:rsid w:val="00760014"/>
    <w:rsid w:val="00761728"/>
    <w:rsid w:val="0076182C"/>
    <w:rsid w:val="00761B65"/>
    <w:rsid w:val="007663B8"/>
    <w:rsid w:val="00767D4F"/>
    <w:rsid w:val="00771294"/>
    <w:rsid w:val="00773366"/>
    <w:rsid w:val="00774854"/>
    <w:rsid w:val="007776D0"/>
    <w:rsid w:val="00780E60"/>
    <w:rsid w:val="00784E66"/>
    <w:rsid w:val="007859BE"/>
    <w:rsid w:val="00786FD1"/>
    <w:rsid w:val="00787307"/>
    <w:rsid w:val="0079112C"/>
    <w:rsid w:val="007921B1"/>
    <w:rsid w:val="007934BC"/>
    <w:rsid w:val="00794103"/>
    <w:rsid w:val="0079501B"/>
    <w:rsid w:val="007952D2"/>
    <w:rsid w:val="007A54C7"/>
    <w:rsid w:val="007A5DA5"/>
    <w:rsid w:val="007B0B44"/>
    <w:rsid w:val="007B1BB4"/>
    <w:rsid w:val="007B75A6"/>
    <w:rsid w:val="007C2B58"/>
    <w:rsid w:val="007C355E"/>
    <w:rsid w:val="007C368F"/>
    <w:rsid w:val="007D021A"/>
    <w:rsid w:val="007D2110"/>
    <w:rsid w:val="007D43C0"/>
    <w:rsid w:val="007D43DB"/>
    <w:rsid w:val="007D5D1C"/>
    <w:rsid w:val="007E1101"/>
    <w:rsid w:val="007E1FA1"/>
    <w:rsid w:val="007E32CE"/>
    <w:rsid w:val="007E4F45"/>
    <w:rsid w:val="007E5446"/>
    <w:rsid w:val="007E63C0"/>
    <w:rsid w:val="007E6608"/>
    <w:rsid w:val="007F0C6E"/>
    <w:rsid w:val="007F4CA2"/>
    <w:rsid w:val="007F68F9"/>
    <w:rsid w:val="007F79B8"/>
    <w:rsid w:val="0080124D"/>
    <w:rsid w:val="0080212F"/>
    <w:rsid w:val="008058BF"/>
    <w:rsid w:val="00805A54"/>
    <w:rsid w:val="00805CB3"/>
    <w:rsid w:val="00805FD8"/>
    <w:rsid w:val="008070AB"/>
    <w:rsid w:val="0081017B"/>
    <w:rsid w:val="008126FE"/>
    <w:rsid w:val="00820489"/>
    <w:rsid w:val="008232F6"/>
    <w:rsid w:val="00830222"/>
    <w:rsid w:val="00830E7D"/>
    <w:rsid w:val="00831B79"/>
    <w:rsid w:val="00834939"/>
    <w:rsid w:val="008360DF"/>
    <w:rsid w:val="00836277"/>
    <w:rsid w:val="00842F35"/>
    <w:rsid w:val="00845084"/>
    <w:rsid w:val="0084598E"/>
    <w:rsid w:val="0085014D"/>
    <w:rsid w:val="00853222"/>
    <w:rsid w:val="00853332"/>
    <w:rsid w:val="00853DD1"/>
    <w:rsid w:val="00854606"/>
    <w:rsid w:val="00857BB3"/>
    <w:rsid w:val="0086065A"/>
    <w:rsid w:val="00860C68"/>
    <w:rsid w:val="00861A2F"/>
    <w:rsid w:val="0086293A"/>
    <w:rsid w:val="008649BA"/>
    <w:rsid w:val="00867F43"/>
    <w:rsid w:val="00870FA1"/>
    <w:rsid w:val="00872216"/>
    <w:rsid w:val="00876D5F"/>
    <w:rsid w:val="00877B1E"/>
    <w:rsid w:val="008825F7"/>
    <w:rsid w:val="00886094"/>
    <w:rsid w:val="00886493"/>
    <w:rsid w:val="008874AC"/>
    <w:rsid w:val="00891CF7"/>
    <w:rsid w:val="00894F9B"/>
    <w:rsid w:val="008A271B"/>
    <w:rsid w:val="008A596E"/>
    <w:rsid w:val="008B1BE2"/>
    <w:rsid w:val="008B4F3B"/>
    <w:rsid w:val="008B7EC7"/>
    <w:rsid w:val="008C0DCB"/>
    <w:rsid w:val="008C21A6"/>
    <w:rsid w:val="008C2539"/>
    <w:rsid w:val="008C2997"/>
    <w:rsid w:val="008C2D00"/>
    <w:rsid w:val="008C389C"/>
    <w:rsid w:val="008C4A0B"/>
    <w:rsid w:val="008C6B53"/>
    <w:rsid w:val="008C7099"/>
    <w:rsid w:val="008D2FEB"/>
    <w:rsid w:val="008D33AD"/>
    <w:rsid w:val="008D79D9"/>
    <w:rsid w:val="008E2143"/>
    <w:rsid w:val="008E4676"/>
    <w:rsid w:val="008E480B"/>
    <w:rsid w:val="008E61CD"/>
    <w:rsid w:val="008F0171"/>
    <w:rsid w:val="008F28CF"/>
    <w:rsid w:val="008F2B73"/>
    <w:rsid w:val="008F6B5A"/>
    <w:rsid w:val="008F6D4C"/>
    <w:rsid w:val="00901D7F"/>
    <w:rsid w:val="00902B62"/>
    <w:rsid w:val="0090365D"/>
    <w:rsid w:val="00904382"/>
    <w:rsid w:val="00911125"/>
    <w:rsid w:val="0091177A"/>
    <w:rsid w:val="0091244B"/>
    <w:rsid w:val="00920C23"/>
    <w:rsid w:val="00921841"/>
    <w:rsid w:val="00922C81"/>
    <w:rsid w:val="00924CF6"/>
    <w:rsid w:val="00927DF8"/>
    <w:rsid w:val="00932390"/>
    <w:rsid w:val="00932535"/>
    <w:rsid w:val="00933D40"/>
    <w:rsid w:val="00935652"/>
    <w:rsid w:val="00935B54"/>
    <w:rsid w:val="00936D46"/>
    <w:rsid w:val="00945016"/>
    <w:rsid w:val="00946097"/>
    <w:rsid w:val="00947D04"/>
    <w:rsid w:val="00950CD9"/>
    <w:rsid w:val="009530F8"/>
    <w:rsid w:val="009630A2"/>
    <w:rsid w:val="00963266"/>
    <w:rsid w:val="009641B1"/>
    <w:rsid w:val="0096533A"/>
    <w:rsid w:val="0096719B"/>
    <w:rsid w:val="009673B0"/>
    <w:rsid w:val="00970EED"/>
    <w:rsid w:val="009716F8"/>
    <w:rsid w:val="00974E60"/>
    <w:rsid w:val="00976CD9"/>
    <w:rsid w:val="00982130"/>
    <w:rsid w:val="009852FC"/>
    <w:rsid w:val="00991C90"/>
    <w:rsid w:val="009925DE"/>
    <w:rsid w:val="00992A9B"/>
    <w:rsid w:val="00993001"/>
    <w:rsid w:val="00996601"/>
    <w:rsid w:val="009A3F1D"/>
    <w:rsid w:val="009A41C1"/>
    <w:rsid w:val="009B0F27"/>
    <w:rsid w:val="009B112A"/>
    <w:rsid w:val="009B16AF"/>
    <w:rsid w:val="009B1837"/>
    <w:rsid w:val="009B7DA2"/>
    <w:rsid w:val="009C0017"/>
    <w:rsid w:val="009C1629"/>
    <w:rsid w:val="009C1A02"/>
    <w:rsid w:val="009C7E7E"/>
    <w:rsid w:val="009D3EC3"/>
    <w:rsid w:val="009D504B"/>
    <w:rsid w:val="009E04EA"/>
    <w:rsid w:val="009E0832"/>
    <w:rsid w:val="009E3B6C"/>
    <w:rsid w:val="009E5697"/>
    <w:rsid w:val="009F004D"/>
    <w:rsid w:val="009F0836"/>
    <w:rsid w:val="009F1E9E"/>
    <w:rsid w:val="009F43BB"/>
    <w:rsid w:val="009F5ED9"/>
    <w:rsid w:val="009F6ED8"/>
    <w:rsid w:val="00A003BC"/>
    <w:rsid w:val="00A12E76"/>
    <w:rsid w:val="00A13B7E"/>
    <w:rsid w:val="00A13E1B"/>
    <w:rsid w:val="00A1421A"/>
    <w:rsid w:val="00A153C1"/>
    <w:rsid w:val="00A15F63"/>
    <w:rsid w:val="00A2464A"/>
    <w:rsid w:val="00A24E57"/>
    <w:rsid w:val="00A2596F"/>
    <w:rsid w:val="00A268F8"/>
    <w:rsid w:val="00A324D1"/>
    <w:rsid w:val="00A368EB"/>
    <w:rsid w:val="00A3748F"/>
    <w:rsid w:val="00A4658E"/>
    <w:rsid w:val="00A5103E"/>
    <w:rsid w:val="00A53A3C"/>
    <w:rsid w:val="00A56D8F"/>
    <w:rsid w:val="00A618DB"/>
    <w:rsid w:val="00A61DF9"/>
    <w:rsid w:val="00A6304D"/>
    <w:rsid w:val="00A638A9"/>
    <w:rsid w:val="00A64517"/>
    <w:rsid w:val="00A64538"/>
    <w:rsid w:val="00A66BBD"/>
    <w:rsid w:val="00A67E33"/>
    <w:rsid w:val="00A72BF7"/>
    <w:rsid w:val="00A759D8"/>
    <w:rsid w:val="00A772E2"/>
    <w:rsid w:val="00A84A63"/>
    <w:rsid w:val="00A90DE2"/>
    <w:rsid w:val="00A93A0F"/>
    <w:rsid w:val="00A96E98"/>
    <w:rsid w:val="00AA2979"/>
    <w:rsid w:val="00AA41F9"/>
    <w:rsid w:val="00AA503F"/>
    <w:rsid w:val="00AA5D15"/>
    <w:rsid w:val="00AA5E51"/>
    <w:rsid w:val="00AA641B"/>
    <w:rsid w:val="00AA6D07"/>
    <w:rsid w:val="00AB019A"/>
    <w:rsid w:val="00AB1BD3"/>
    <w:rsid w:val="00AB2238"/>
    <w:rsid w:val="00AB27BB"/>
    <w:rsid w:val="00AB35B3"/>
    <w:rsid w:val="00AB464F"/>
    <w:rsid w:val="00AB56A0"/>
    <w:rsid w:val="00AB56C0"/>
    <w:rsid w:val="00AB6C80"/>
    <w:rsid w:val="00AB7BCB"/>
    <w:rsid w:val="00AC09E3"/>
    <w:rsid w:val="00AC2194"/>
    <w:rsid w:val="00AD4641"/>
    <w:rsid w:val="00AD64BF"/>
    <w:rsid w:val="00AD7F34"/>
    <w:rsid w:val="00AE286B"/>
    <w:rsid w:val="00AE343A"/>
    <w:rsid w:val="00AE555B"/>
    <w:rsid w:val="00AF01CD"/>
    <w:rsid w:val="00AF710B"/>
    <w:rsid w:val="00AF788B"/>
    <w:rsid w:val="00B00533"/>
    <w:rsid w:val="00B02DA2"/>
    <w:rsid w:val="00B05063"/>
    <w:rsid w:val="00B05B28"/>
    <w:rsid w:val="00B06463"/>
    <w:rsid w:val="00B070C3"/>
    <w:rsid w:val="00B13AC9"/>
    <w:rsid w:val="00B16B1C"/>
    <w:rsid w:val="00B2142D"/>
    <w:rsid w:val="00B21B8E"/>
    <w:rsid w:val="00B22039"/>
    <w:rsid w:val="00B22514"/>
    <w:rsid w:val="00B2527D"/>
    <w:rsid w:val="00B25637"/>
    <w:rsid w:val="00B26183"/>
    <w:rsid w:val="00B33A58"/>
    <w:rsid w:val="00B3621D"/>
    <w:rsid w:val="00B36965"/>
    <w:rsid w:val="00B37B92"/>
    <w:rsid w:val="00B443A6"/>
    <w:rsid w:val="00B45AFE"/>
    <w:rsid w:val="00B518B3"/>
    <w:rsid w:val="00B528A3"/>
    <w:rsid w:val="00B52B97"/>
    <w:rsid w:val="00B53754"/>
    <w:rsid w:val="00B55680"/>
    <w:rsid w:val="00B57DAA"/>
    <w:rsid w:val="00B6042F"/>
    <w:rsid w:val="00B6069E"/>
    <w:rsid w:val="00B60E20"/>
    <w:rsid w:val="00B64848"/>
    <w:rsid w:val="00B67DBE"/>
    <w:rsid w:val="00B7310D"/>
    <w:rsid w:val="00B743BF"/>
    <w:rsid w:val="00B77483"/>
    <w:rsid w:val="00B80458"/>
    <w:rsid w:val="00B810AA"/>
    <w:rsid w:val="00B810DE"/>
    <w:rsid w:val="00B81548"/>
    <w:rsid w:val="00B81AA3"/>
    <w:rsid w:val="00B85A89"/>
    <w:rsid w:val="00B8650D"/>
    <w:rsid w:val="00B92957"/>
    <w:rsid w:val="00B95FBD"/>
    <w:rsid w:val="00B971A0"/>
    <w:rsid w:val="00BA0E7F"/>
    <w:rsid w:val="00BA246A"/>
    <w:rsid w:val="00BA3366"/>
    <w:rsid w:val="00BA49F6"/>
    <w:rsid w:val="00BB2191"/>
    <w:rsid w:val="00BB21CA"/>
    <w:rsid w:val="00BB2CAA"/>
    <w:rsid w:val="00BB3AA6"/>
    <w:rsid w:val="00BB57EC"/>
    <w:rsid w:val="00BC3C9D"/>
    <w:rsid w:val="00BC6F1A"/>
    <w:rsid w:val="00BC7799"/>
    <w:rsid w:val="00BD1353"/>
    <w:rsid w:val="00BD1836"/>
    <w:rsid w:val="00BD1857"/>
    <w:rsid w:val="00BD2014"/>
    <w:rsid w:val="00BD3271"/>
    <w:rsid w:val="00BD41CD"/>
    <w:rsid w:val="00BD4ADC"/>
    <w:rsid w:val="00BD5382"/>
    <w:rsid w:val="00BD697C"/>
    <w:rsid w:val="00BD7E4C"/>
    <w:rsid w:val="00BE0A1D"/>
    <w:rsid w:val="00BE63ED"/>
    <w:rsid w:val="00BE671E"/>
    <w:rsid w:val="00BF5BF1"/>
    <w:rsid w:val="00BF5DF9"/>
    <w:rsid w:val="00C0140B"/>
    <w:rsid w:val="00C04085"/>
    <w:rsid w:val="00C042C4"/>
    <w:rsid w:val="00C11760"/>
    <w:rsid w:val="00C1230B"/>
    <w:rsid w:val="00C169CA"/>
    <w:rsid w:val="00C17EE2"/>
    <w:rsid w:val="00C22738"/>
    <w:rsid w:val="00C228C3"/>
    <w:rsid w:val="00C23F50"/>
    <w:rsid w:val="00C247C2"/>
    <w:rsid w:val="00C27BA1"/>
    <w:rsid w:val="00C30036"/>
    <w:rsid w:val="00C3068B"/>
    <w:rsid w:val="00C30699"/>
    <w:rsid w:val="00C32AD2"/>
    <w:rsid w:val="00C33321"/>
    <w:rsid w:val="00C36012"/>
    <w:rsid w:val="00C36592"/>
    <w:rsid w:val="00C41014"/>
    <w:rsid w:val="00C41EF4"/>
    <w:rsid w:val="00C41F2F"/>
    <w:rsid w:val="00C421A4"/>
    <w:rsid w:val="00C43A65"/>
    <w:rsid w:val="00C44044"/>
    <w:rsid w:val="00C51090"/>
    <w:rsid w:val="00C51B98"/>
    <w:rsid w:val="00C52739"/>
    <w:rsid w:val="00C52C8E"/>
    <w:rsid w:val="00C55D54"/>
    <w:rsid w:val="00C56704"/>
    <w:rsid w:val="00C57470"/>
    <w:rsid w:val="00C62875"/>
    <w:rsid w:val="00C669BB"/>
    <w:rsid w:val="00C70209"/>
    <w:rsid w:val="00C77591"/>
    <w:rsid w:val="00C80E47"/>
    <w:rsid w:val="00C853F4"/>
    <w:rsid w:val="00C91730"/>
    <w:rsid w:val="00C948DE"/>
    <w:rsid w:val="00CA0A39"/>
    <w:rsid w:val="00CA1236"/>
    <w:rsid w:val="00CA2264"/>
    <w:rsid w:val="00CA24C5"/>
    <w:rsid w:val="00CA2BD5"/>
    <w:rsid w:val="00CA4435"/>
    <w:rsid w:val="00CA5716"/>
    <w:rsid w:val="00CA740E"/>
    <w:rsid w:val="00CA7489"/>
    <w:rsid w:val="00CB4D8C"/>
    <w:rsid w:val="00CB5F94"/>
    <w:rsid w:val="00CC0395"/>
    <w:rsid w:val="00CD1A5C"/>
    <w:rsid w:val="00CD5976"/>
    <w:rsid w:val="00CE0192"/>
    <w:rsid w:val="00CE0941"/>
    <w:rsid w:val="00CE2746"/>
    <w:rsid w:val="00CE28F3"/>
    <w:rsid w:val="00CE3CAB"/>
    <w:rsid w:val="00CF0CF1"/>
    <w:rsid w:val="00CF0E55"/>
    <w:rsid w:val="00CF2F4C"/>
    <w:rsid w:val="00CF68C6"/>
    <w:rsid w:val="00CF7630"/>
    <w:rsid w:val="00CF7B04"/>
    <w:rsid w:val="00CF7D23"/>
    <w:rsid w:val="00D004F4"/>
    <w:rsid w:val="00D011D6"/>
    <w:rsid w:val="00D0579C"/>
    <w:rsid w:val="00D117D4"/>
    <w:rsid w:val="00D12A22"/>
    <w:rsid w:val="00D1417F"/>
    <w:rsid w:val="00D14809"/>
    <w:rsid w:val="00D2004E"/>
    <w:rsid w:val="00D23DE2"/>
    <w:rsid w:val="00D241D9"/>
    <w:rsid w:val="00D24A83"/>
    <w:rsid w:val="00D3032C"/>
    <w:rsid w:val="00D303E4"/>
    <w:rsid w:val="00D31B12"/>
    <w:rsid w:val="00D31DE6"/>
    <w:rsid w:val="00D332C1"/>
    <w:rsid w:val="00D33538"/>
    <w:rsid w:val="00D35713"/>
    <w:rsid w:val="00D40B09"/>
    <w:rsid w:val="00D44266"/>
    <w:rsid w:val="00D443CB"/>
    <w:rsid w:val="00D46071"/>
    <w:rsid w:val="00D46981"/>
    <w:rsid w:val="00D5214C"/>
    <w:rsid w:val="00D52553"/>
    <w:rsid w:val="00D5266F"/>
    <w:rsid w:val="00D5481F"/>
    <w:rsid w:val="00D5543A"/>
    <w:rsid w:val="00D55F29"/>
    <w:rsid w:val="00D5725E"/>
    <w:rsid w:val="00D62C6E"/>
    <w:rsid w:val="00D653C7"/>
    <w:rsid w:val="00D664A1"/>
    <w:rsid w:val="00D70192"/>
    <w:rsid w:val="00D71F75"/>
    <w:rsid w:val="00D722AF"/>
    <w:rsid w:val="00D73C09"/>
    <w:rsid w:val="00D743A4"/>
    <w:rsid w:val="00D77D52"/>
    <w:rsid w:val="00D801C9"/>
    <w:rsid w:val="00D827FE"/>
    <w:rsid w:val="00D82DB1"/>
    <w:rsid w:val="00D83563"/>
    <w:rsid w:val="00D8358C"/>
    <w:rsid w:val="00D83C56"/>
    <w:rsid w:val="00D85605"/>
    <w:rsid w:val="00D85760"/>
    <w:rsid w:val="00D86EA8"/>
    <w:rsid w:val="00D90502"/>
    <w:rsid w:val="00D907B5"/>
    <w:rsid w:val="00D958E6"/>
    <w:rsid w:val="00D96181"/>
    <w:rsid w:val="00D9682A"/>
    <w:rsid w:val="00DA67B1"/>
    <w:rsid w:val="00DB0180"/>
    <w:rsid w:val="00DB0539"/>
    <w:rsid w:val="00DB41A9"/>
    <w:rsid w:val="00DB438D"/>
    <w:rsid w:val="00DB53D2"/>
    <w:rsid w:val="00DC0170"/>
    <w:rsid w:val="00DC1711"/>
    <w:rsid w:val="00DC5C3B"/>
    <w:rsid w:val="00DC7FE5"/>
    <w:rsid w:val="00DD0AD1"/>
    <w:rsid w:val="00DD173B"/>
    <w:rsid w:val="00DD1D11"/>
    <w:rsid w:val="00DD2231"/>
    <w:rsid w:val="00DD297D"/>
    <w:rsid w:val="00DE07E9"/>
    <w:rsid w:val="00DE2DEA"/>
    <w:rsid w:val="00DE4630"/>
    <w:rsid w:val="00DF0711"/>
    <w:rsid w:val="00DF6EEC"/>
    <w:rsid w:val="00DF7C49"/>
    <w:rsid w:val="00E006B6"/>
    <w:rsid w:val="00E00F06"/>
    <w:rsid w:val="00E03B92"/>
    <w:rsid w:val="00E03ED6"/>
    <w:rsid w:val="00E13246"/>
    <w:rsid w:val="00E151B2"/>
    <w:rsid w:val="00E163FF"/>
    <w:rsid w:val="00E2121F"/>
    <w:rsid w:val="00E255BF"/>
    <w:rsid w:val="00E3214E"/>
    <w:rsid w:val="00E362C3"/>
    <w:rsid w:val="00E3696C"/>
    <w:rsid w:val="00E37D96"/>
    <w:rsid w:val="00E42435"/>
    <w:rsid w:val="00E52A15"/>
    <w:rsid w:val="00E52E46"/>
    <w:rsid w:val="00E560FA"/>
    <w:rsid w:val="00E648E0"/>
    <w:rsid w:val="00E65224"/>
    <w:rsid w:val="00E75B4B"/>
    <w:rsid w:val="00E76EC6"/>
    <w:rsid w:val="00E81CEF"/>
    <w:rsid w:val="00E82A51"/>
    <w:rsid w:val="00E85780"/>
    <w:rsid w:val="00E8632E"/>
    <w:rsid w:val="00E8681D"/>
    <w:rsid w:val="00E8688A"/>
    <w:rsid w:val="00E9008E"/>
    <w:rsid w:val="00E90237"/>
    <w:rsid w:val="00E94708"/>
    <w:rsid w:val="00E955CA"/>
    <w:rsid w:val="00EA1F19"/>
    <w:rsid w:val="00EA403A"/>
    <w:rsid w:val="00EA76B3"/>
    <w:rsid w:val="00EB17A4"/>
    <w:rsid w:val="00EB45BA"/>
    <w:rsid w:val="00EC1698"/>
    <w:rsid w:val="00EC1DFF"/>
    <w:rsid w:val="00EC28D6"/>
    <w:rsid w:val="00EC53CB"/>
    <w:rsid w:val="00EC7385"/>
    <w:rsid w:val="00ED041E"/>
    <w:rsid w:val="00ED100E"/>
    <w:rsid w:val="00ED1F19"/>
    <w:rsid w:val="00ED4072"/>
    <w:rsid w:val="00ED53E0"/>
    <w:rsid w:val="00EE0775"/>
    <w:rsid w:val="00EE1B18"/>
    <w:rsid w:val="00EF0C3F"/>
    <w:rsid w:val="00EF10A8"/>
    <w:rsid w:val="00EF21D6"/>
    <w:rsid w:val="00EF3606"/>
    <w:rsid w:val="00EF65C0"/>
    <w:rsid w:val="00EF7E54"/>
    <w:rsid w:val="00F00CCD"/>
    <w:rsid w:val="00F00E5F"/>
    <w:rsid w:val="00F015B3"/>
    <w:rsid w:val="00F02B8E"/>
    <w:rsid w:val="00F0425E"/>
    <w:rsid w:val="00F10010"/>
    <w:rsid w:val="00F1452C"/>
    <w:rsid w:val="00F15106"/>
    <w:rsid w:val="00F15DCF"/>
    <w:rsid w:val="00F2128A"/>
    <w:rsid w:val="00F23119"/>
    <w:rsid w:val="00F2435F"/>
    <w:rsid w:val="00F27308"/>
    <w:rsid w:val="00F27CE7"/>
    <w:rsid w:val="00F3014A"/>
    <w:rsid w:val="00F31CFB"/>
    <w:rsid w:val="00F32825"/>
    <w:rsid w:val="00F35210"/>
    <w:rsid w:val="00F35929"/>
    <w:rsid w:val="00F35C8D"/>
    <w:rsid w:val="00F367D1"/>
    <w:rsid w:val="00F36EE3"/>
    <w:rsid w:val="00F377AE"/>
    <w:rsid w:val="00F41CCF"/>
    <w:rsid w:val="00F42EE0"/>
    <w:rsid w:val="00F435E0"/>
    <w:rsid w:val="00F43B32"/>
    <w:rsid w:val="00F446CB"/>
    <w:rsid w:val="00F4547A"/>
    <w:rsid w:val="00F45E26"/>
    <w:rsid w:val="00F478A3"/>
    <w:rsid w:val="00F508C3"/>
    <w:rsid w:val="00F509AD"/>
    <w:rsid w:val="00F518C4"/>
    <w:rsid w:val="00F53963"/>
    <w:rsid w:val="00F559E7"/>
    <w:rsid w:val="00F56B6E"/>
    <w:rsid w:val="00F63B40"/>
    <w:rsid w:val="00F65272"/>
    <w:rsid w:val="00F66475"/>
    <w:rsid w:val="00F67066"/>
    <w:rsid w:val="00F70451"/>
    <w:rsid w:val="00F71A79"/>
    <w:rsid w:val="00F72FD3"/>
    <w:rsid w:val="00F7364E"/>
    <w:rsid w:val="00F73D66"/>
    <w:rsid w:val="00F76E0F"/>
    <w:rsid w:val="00F77BFF"/>
    <w:rsid w:val="00F77C0A"/>
    <w:rsid w:val="00F83E0A"/>
    <w:rsid w:val="00F84E00"/>
    <w:rsid w:val="00F86A1C"/>
    <w:rsid w:val="00F908B8"/>
    <w:rsid w:val="00F9187A"/>
    <w:rsid w:val="00F940B6"/>
    <w:rsid w:val="00FA26CC"/>
    <w:rsid w:val="00FA3BB1"/>
    <w:rsid w:val="00FA53C2"/>
    <w:rsid w:val="00FA7198"/>
    <w:rsid w:val="00FB00D0"/>
    <w:rsid w:val="00FB04A3"/>
    <w:rsid w:val="00FB15BA"/>
    <w:rsid w:val="00FB2910"/>
    <w:rsid w:val="00FB2D0F"/>
    <w:rsid w:val="00FB3319"/>
    <w:rsid w:val="00FB4FB8"/>
    <w:rsid w:val="00FB7E0C"/>
    <w:rsid w:val="00FC2FAD"/>
    <w:rsid w:val="00FC2FC6"/>
    <w:rsid w:val="00FC3539"/>
    <w:rsid w:val="00FC37F5"/>
    <w:rsid w:val="00FC38E5"/>
    <w:rsid w:val="00FC71E0"/>
    <w:rsid w:val="00FC72CB"/>
    <w:rsid w:val="00FD23F5"/>
    <w:rsid w:val="00FD26AF"/>
    <w:rsid w:val="00FD51CF"/>
    <w:rsid w:val="00FD5893"/>
    <w:rsid w:val="00FD59F3"/>
    <w:rsid w:val="00FD7C5F"/>
    <w:rsid w:val="00FE12C7"/>
    <w:rsid w:val="00FE41AF"/>
    <w:rsid w:val="00FE47F2"/>
    <w:rsid w:val="00FF46F8"/>
    <w:rsid w:val="00FF5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8FF8"/>
  <w15:chartTrackingRefBased/>
  <w15:docId w15:val="{E332D410-3E88-A94C-A21C-BC0A661C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A1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C550F"/>
  </w:style>
  <w:style w:type="paragraph" w:styleId="BalloonText">
    <w:name w:val="Balloon Text"/>
    <w:basedOn w:val="Normal"/>
    <w:link w:val="BalloonTextChar"/>
    <w:uiPriority w:val="99"/>
    <w:semiHidden/>
    <w:unhideWhenUsed/>
    <w:rsid w:val="005C550F"/>
    <w:rPr>
      <w:sz w:val="18"/>
      <w:szCs w:val="18"/>
    </w:rPr>
  </w:style>
  <w:style w:type="character" w:customStyle="1" w:styleId="BalloonTextChar">
    <w:name w:val="Balloon Text Char"/>
    <w:basedOn w:val="DefaultParagraphFont"/>
    <w:link w:val="BalloonText"/>
    <w:uiPriority w:val="99"/>
    <w:semiHidden/>
    <w:rsid w:val="005C550F"/>
    <w:rPr>
      <w:rFonts w:ascii="Times New Roman" w:hAnsi="Times New Roman" w:cs="Times New Roman"/>
      <w:sz w:val="18"/>
      <w:szCs w:val="18"/>
    </w:rPr>
  </w:style>
  <w:style w:type="paragraph" w:styleId="NormalWeb">
    <w:name w:val="Normal (Web)"/>
    <w:basedOn w:val="Normal"/>
    <w:uiPriority w:val="99"/>
    <w:unhideWhenUsed/>
    <w:rsid w:val="005C550F"/>
  </w:style>
  <w:style w:type="character" w:styleId="Hyperlink">
    <w:name w:val="Hyperlink"/>
    <w:basedOn w:val="DefaultParagraphFont"/>
    <w:uiPriority w:val="99"/>
    <w:unhideWhenUsed/>
    <w:rsid w:val="00BE0A1D"/>
    <w:rPr>
      <w:color w:val="0000FF"/>
      <w:u w:val="single"/>
    </w:rPr>
  </w:style>
  <w:style w:type="character" w:styleId="UnresolvedMention">
    <w:name w:val="Unresolved Mention"/>
    <w:basedOn w:val="DefaultParagraphFont"/>
    <w:uiPriority w:val="99"/>
    <w:semiHidden/>
    <w:unhideWhenUsed/>
    <w:rsid w:val="001250A5"/>
    <w:rPr>
      <w:color w:val="605E5C"/>
      <w:shd w:val="clear" w:color="auto" w:fill="E1DFDD"/>
    </w:rPr>
  </w:style>
  <w:style w:type="paragraph" w:styleId="Footer">
    <w:name w:val="footer"/>
    <w:basedOn w:val="Normal"/>
    <w:link w:val="FooterChar"/>
    <w:uiPriority w:val="99"/>
    <w:unhideWhenUsed/>
    <w:rsid w:val="00F71A79"/>
    <w:pPr>
      <w:tabs>
        <w:tab w:val="center" w:pos="4680"/>
        <w:tab w:val="right" w:pos="9360"/>
      </w:tabs>
    </w:pPr>
  </w:style>
  <w:style w:type="character" w:customStyle="1" w:styleId="FooterChar">
    <w:name w:val="Footer Char"/>
    <w:basedOn w:val="DefaultParagraphFont"/>
    <w:link w:val="Footer"/>
    <w:uiPriority w:val="99"/>
    <w:rsid w:val="00F71A79"/>
    <w:rPr>
      <w:rFonts w:ascii="Times New Roman" w:eastAsia="Times New Roman" w:hAnsi="Times New Roman" w:cs="Times New Roman"/>
    </w:rPr>
  </w:style>
  <w:style w:type="character" w:styleId="PageNumber">
    <w:name w:val="page number"/>
    <w:basedOn w:val="DefaultParagraphFont"/>
    <w:uiPriority w:val="99"/>
    <w:semiHidden/>
    <w:unhideWhenUsed/>
    <w:rsid w:val="00F71A79"/>
  </w:style>
  <w:style w:type="paragraph" w:styleId="Header">
    <w:name w:val="header"/>
    <w:basedOn w:val="Normal"/>
    <w:link w:val="HeaderChar"/>
    <w:uiPriority w:val="99"/>
    <w:unhideWhenUsed/>
    <w:rsid w:val="00F71A79"/>
    <w:pPr>
      <w:tabs>
        <w:tab w:val="center" w:pos="4680"/>
        <w:tab w:val="right" w:pos="9360"/>
      </w:tabs>
    </w:pPr>
  </w:style>
  <w:style w:type="character" w:customStyle="1" w:styleId="HeaderChar">
    <w:name w:val="Header Char"/>
    <w:basedOn w:val="DefaultParagraphFont"/>
    <w:link w:val="Header"/>
    <w:uiPriority w:val="99"/>
    <w:rsid w:val="00F71A79"/>
    <w:rPr>
      <w:rFonts w:ascii="Times New Roman" w:eastAsia="Times New Roman" w:hAnsi="Times New Roman" w:cs="Times New Roman"/>
    </w:rPr>
  </w:style>
  <w:style w:type="table" w:styleId="TableGrid">
    <w:name w:val="Table Grid"/>
    <w:basedOn w:val="TableNormal"/>
    <w:uiPriority w:val="39"/>
    <w:rsid w:val="00F71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2596F"/>
    <w:rPr>
      <w:sz w:val="16"/>
      <w:szCs w:val="16"/>
    </w:rPr>
  </w:style>
  <w:style w:type="paragraph" w:styleId="ListParagraph">
    <w:name w:val="List Paragraph"/>
    <w:basedOn w:val="Normal"/>
    <w:uiPriority w:val="34"/>
    <w:qFormat/>
    <w:rsid w:val="00A2596F"/>
    <w:pPr>
      <w:ind w:left="720"/>
      <w:contextualSpacing/>
    </w:pPr>
    <w:rPr>
      <w:rFonts w:asciiTheme="minorHAnsi" w:eastAsiaTheme="minorEastAsia" w:hAnsiTheme="minorHAnsi" w:cstheme="minorBidi"/>
    </w:rPr>
  </w:style>
  <w:style w:type="paragraph" w:styleId="CommentText">
    <w:name w:val="annotation text"/>
    <w:basedOn w:val="Normal"/>
    <w:link w:val="CommentTextChar"/>
    <w:uiPriority w:val="99"/>
    <w:semiHidden/>
    <w:unhideWhenUsed/>
    <w:rsid w:val="00A2596F"/>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A2596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2596F"/>
    <w:rPr>
      <w:rFonts w:eastAsiaTheme="minorHAnsi"/>
      <w:b/>
      <w:bCs/>
    </w:rPr>
  </w:style>
  <w:style w:type="character" w:customStyle="1" w:styleId="CommentSubjectChar">
    <w:name w:val="Comment Subject Char"/>
    <w:basedOn w:val="CommentTextChar"/>
    <w:link w:val="CommentSubject"/>
    <w:uiPriority w:val="99"/>
    <w:semiHidden/>
    <w:rsid w:val="00A2596F"/>
    <w:rPr>
      <w:rFonts w:eastAsiaTheme="minorEastAsia"/>
      <w:b/>
      <w:bCs/>
      <w:sz w:val="20"/>
      <w:szCs w:val="20"/>
    </w:rPr>
  </w:style>
  <w:style w:type="paragraph" w:styleId="Revision">
    <w:name w:val="Revision"/>
    <w:hidden/>
    <w:uiPriority w:val="99"/>
    <w:semiHidden/>
    <w:rsid w:val="00A2596F"/>
  </w:style>
  <w:style w:type="character" w:customStyle="1" w:styleId="apple-tab-span">
    <w:name w:val="apple-tab-span"/>
    <w:basedOn w:val="DefaultParagraphFont"/>
    <w:rsid w:val="00FA53C2"/>
  </w:style>
  <w:style w:type="character" w:styleId="FollowedHyperlink">
    <w:name w:val="FollowedHyperlink"/>
    <w:basedOn w:val="DefaultParagraphFont"/>
    <w:uiPriority w:val="99"/>
    <w:semiHidden/>
    <w:unhideWhenUsed/>
    <w:rsid w:val="00FA53C2"/>
    <w:rPr>
      <w:color w:val="954F72" w:themeColor="followedHyperlink"/>
      <w:u w:val="single"/>
    </w:rPr>
  </w:style>
  <w:style w:type="paragraph" w:customStyle="1" w:styleId="xmsonormal">
    <w:name w:val="x_msonormal"/>
    <w:basedOn w:val="Normal"/>
    <w:rsid w:val="00FA53C2"/>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75234">
      <w:bodyDiv w:val="1"/>
      <w:marLeft w:val="0"/>
      <w:marRight w:val="0"/>
      <w:marTop w:val="0"/>
      <w:marBottom w:val="0"/>
      <w:divBdr>
        <w:top w:val="none" w:sz="0" w:space="0" w:color="auto"/>
        <w:left w:val="none" w:sz="0" w:space="0" w:color="auto"/>
        <w:bottom w:val="none" w:sz="0" w:space="0" w:color="auto"/>
        <w:right w:val="none" w:sz="0" w:space="0" w:color="auto"/>
      </w:divBdr>
    </w:div>
    <w:div w:id="98567291">
      <w:bodyDiv w:val="1"/>
      <w:marLeft w:val="0"/>
      <w:marRight w:val="0"/>
      <w:marTop w:val="0"/>
      <w:marBottom w:val="0"/>
      <w:divBdr>
        <w:top w:val="none" w:sz="0" w:space="0" w:color="auto"/>
        <w:left w:val="none" w:sz="0" w:space="0" w:color="auto"/>
        <w:bottom w:val="none" w:sz="0" w:space="0" w:color="auto"/>
        <w:right w:val="none" w:sz="0" w:space="0" w:color="auto"/>
      </w:divBdr>
      <w:divsChild>
        <w:div w:id="1565025647">
          <w:marLeft w:val="0"/>
          <w:marRight w:val="0"/>
          <w:marTop w:val="0"/>
          <w:marBottom w:val="0"/>
          <w:divBdr>
            <w:top w:val="none" w:sz="0" w:space="0" w:color="auto"/>
            <w:left w:val="none" w:sz="0" w:space="0" w:color="auto"/>
            <w:bottom w:val="none" w:sz="0" w:space="0" w:color="auto"/>
            <w:right w:val="none" w:sz="0" w:space="0" w:color="auto"/>
          </w:divBdr>
          <w:divsChild>
            <w:div w:id="219679177">
              <w:marLeft w:val="0"/>
              <w:marRight w:val="0"/>
              <w:marTop w:val="0"/>
              <w:marBottom w:val="0"/>
              <w:divBdr>
                <w:top w:val="none" w:sz="0" w:space="0" w:color="auto"/>
                <w:left w:val="none" w:sz="0" w:space="0" w:color="auto"/>
                <w:bottom w:val="none" w:sz="0" w:space="0" w:color="auto"/>
                <w:right w:val="none" w:sz="0" w:space="0" w:color="auto"/>
              </w:divBdr>
              <w:divsChild>
                <w:div w:id="112882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21915">
      <w:bodyDiv w:val="1"/>
      <w:marLeft w:val="0"/>
      <w:marRight w:val="0"/>
      <w:marTop w:val="0"/>
      <w:marBottom w:val="0"/>
      <w:divBdr>
        <w:top w:val="none" w:sz="0" w:space="0" w:color="auto"/>
        <w:left w:val="none" w:sz="0" w:space="0" w:color="auto"/>
        <w:bottom w:val="none" w:sz="0" w:space="0" w:color="auto"/>
        <w:right w:val="none" w:sz="0" w:space="0" w:color="auto"/>
      </w:divBdr>
    </w:div>
    <w:div w:id="331104065">
      <w:bodyDiv w:val="1"/>
      <w:marLeft w:val="0"/>
      <w:marRight w:val="0"/>
      <w:marTop w:val="0"/>
      <w:marBottom w:val="0"/>
      <w:divBdr>
        <w:top w:val="none" w:sz="0" w:space="0" w:color="auto"/>
        <w:left w:val="none" w:sz="0" w:space="0" w:color="auto"/>
        <w:bottom w:val="none" w:sz="0" w:space="0" w:color="auto"/>
        <w:right w:val="none" w:sz="0" w:space="0" w:color="auto"/>
      </w:divBdr>
    </w:div>
    <w:div w:id="367678499">
      <w:bodyDiv w:val="1"/>
      <w:marLeft w:val="0"/>
      <w:marRight w:val="0"/>
      <w:marTop w:val="0"/>
      <w:marBottom w:val="0"/>
      <w:divBdr>
        <w:top w:val="none" w:sz="0" w:space="0" w:color="auto"/>
        <w:left w:val="none" w:sz="0" w:space="0" w:color="auto"/>
        <w:bottom w:val="none" w:sz="0" w:space="0" w:color="auto"/>
        <w:right w:val="none" w:sz="0" w:space="0" w:color="auto"/>
      </w:divBdr>
    </w:div>
    <w:div w:id="499583232">
      <w:bodyDiv w:val="1"/>
      <w:marLeft w:val="0"/>
      <w:marRight w:val="0"/>
      <w:marTop w:val="0"/>
      <w:marBottom w:val="0"/>
      <w:divBdr>
        <w:top w:val="none" w:sz="0" w:space="0" w:color="auto"/>
        <w:left w:val="none" w:sz="0" w:space="0" w:color="auto"/>
        <w:bottom w:val="none" w:sz="0" w:space="0" w:color="auto"/>
        <w:right w:val="none" w:sz="0" w:space="0" w:color="auto"/>
      </w:divBdr>
    </w:div>
    <w:div w:id="598754432">
      <w:bodyDiv w:val="1"/>
      <w:marLeft w:val="0"/>
      <w:marRight w:val="0"/>
      <w:marTop w:val="0"/>
      <w:marBottom w:val="0"/>
      <w:divBdr>
        <w:top w:val="none" w:sz="0" w:space="0" w:color="auto"/>
        <w:left w:val="none" w:sz="0" w:space="0" w:color="auto"/>
        <w:bottom w:val="none" w:sz="0" w:space="0" w:color="auto"/>
        <w:right w:val="none" w:sz="0" w:space="0" w:color="auto"/>
      </w:divBdr>
    </w:div>
    <w:div w:id="608974033">
      <w:bodyDiv w:val="1"/>
      <w:marLeft w:val="0"/>
      <w:marRight w:val="0"/>
      <w:marTop w:val="0"/>
      <w:marBottom w:val="0"/>
      <w:divBdr>
        <w:top w:val="none" w:sz="0" w:space="0" w:color="auto"/>
        <w:left w:val="none" w:sz="0" w:space="0" w:color="auto"/>
        <w:bottom w:val="none" w:sz="0" w:space="0" w:color="auto"/>
        <w:right w:val="none" w:sz="0" w:space="0" w:color="auto"/>
      </w:divBdr>
    </w:div>
    <w:div w:id="636254466">
      <w:bodyDiv w:val="1"/>
      <w:marLeft w:val="0"/>
      <w:marRight w:val="0"/>
      <w:marTop w:val="0"/>
      <w:marBottom w:val="0"/>
      <w:divBdr>
        <w:top w:val="none" w:sz="0" w:space="0" w:color="auto"/>
        <w:left w:val="none" w:sz="0" w:space="0" w:color="auto"/>
        <w:bottom w:val="none" w:sz="0" w:space="0" w:color="auto"/>
        <w:right w:val="none" w:sz="0" w:space="0" w:color="auto"/>
      </w:divBdr>
    </w:div>
    <w:div w:id="652370672">
      <w:bodyDiv w:val="1"/>
      <w:marLeft w:val="0"/>
      <w:marRight w:val="0"/>
      <w:marTop w:val="0"/>
      <w:marBottom w:val="0"/>
      <w:divBdr>
        <w:top w:val="none" w:sz="0" w:space="0" w:color="auto"/>
        <w:left w:val="none" w:sz="0" w:space="0" w:color="auto"/>
        <w:bottom w:val="none" w:sz="0" w:space="0" w:color="auto"/>
        <w:right w:val="none" w:sz="0" w:space="0" w:color="auto"/>
      </w:divBdr>
    </w:div>
    <w:div w:id="652762563">
      <w:bodyDiv w:val="1"/>
      <w:marLeft w:val="0"/>
      <w:marRight w:val="0"/>
      <w:marTop w:val="0"/>
      <w:marBottom w:val="0"/>
      <w:divBdr>
        <w:top w:val="none" w:sz="0" w:space="0" w:color="auto"/>
        <w:left w:val="none" w:sz="0" w:space="0" w:color="auto"/>
        <w:bottom w:val="none" w:sz="0" w:space="0" w:color="auto"/>
        <w:right w:val="none" w:sz="0" w:space="0" w:color="auto"/>
      </w:divBdr>
    </w:div>
    <w:div w:id="655495018">
      <w:bodyDiv w:val="1"/>
      <w:marLeft w:val="0"/>
      <w:marRight w:val="0"/>
      <w:marTop w:val="0"/>
      <w:marBottom w:val="0"/>
      <w:divBdr>
        <w:top w:val="none" w:sz="0" w:space="0" w:color="auto"/>
        <w:left w:val="none" w:sz="0" w:space="0" w:color="auto"/>
        <w:bottom w:val="none" w:sz="0" w:space="0" w:color="auto"/>
        <w:right w:val="none" w:sz="0" w:space="0" w:color="auto"/>
      </w:divBdr>
    </w:div>
    <w:div w:id="663125694">
      <w:bodyDiv w:val="1"/>
      <w:marLeft w:val="0"/>
      <w:marRight w:val="0"/>
      <w:marTop w:val="0"/>
      <w:marBottom w:val="0"/>
      <w:divBdr>
        <w:top w:val="none" w:sz="0" w:space="0" w:color="auto"/>
        <w:left w:val="none" w:sz="0" w:space="0" w:color="auto"/>
        <w:bottom w:val="none" w:sz="0" w:space="0" w:color="auto"/>
        <w:right w:val="none" w:sz="0" w:space="0" w:color="auto"/>
      </w:divBdr>
    </w:div>
    <w:div w:id="696083140">
      <w:bodyDiv w:val="1"/>
      <w:marLeft w:val="0"/>
      <w:marRight w:val="0"/>
      <w:marTop w:val="0"/>
      <w:marBottom w:val="0"/>
      <w:divBdr>
        <w:top w:val="none" w:sz="0" w:space="0" w:color="auto"/>
        <w:left w:val="none" w:sz="0" w:space="0" w:color="auto"/>
        <w:bottom w:val="none" w:sz="0" w:space="0" w:color="auto"/>
        <w:right w:val="none" w:sz="0" w:space="0" w:color="auto"/>
      </w:divBdr>
    </w:div>
    <w:div w:id="736561782">
      <w:bodyDiv w:val="1"/>
      <w:marLeft w:val="0"/>
      <w:marRight w:val="0"/>
      <w:marTop w:val="0"/>
      <w:marBottom w:val="0"/>
      <w:divBdr>
        <w:top w:val="none" w:sz="0" w:space="0" w:color="auto"/>
        <w:left w:val="none" w:sz="0" w:space="0" w:color="auto"/>
        <w:bottom w:val="none" w:sz="0" w:space="0" w:color="auto"/>
        <w:right w:val="none" w:sz="0" w:space="0" w:color="auto"/>
      </w:divBdr>
    </w:div>
    <w:div w:id="781805598">
      <w:bodyDiv w:val="1"/>
      <w:marLeft w:val="0"/>
      <w:marRight w:val="0"/>
      <w:marTop w:val="0"/>
      <w:marBottom w:val="0"/>
      <w:divBdr>
        <w:top w:val="none" w:sz="0" w:space="0" w:color="auto"/>
        <w:left w:val="none" w:sz="0" w:space="0" w:color="auto"/>
        <w:bottom w:val="none" w:sz="0" w:space="0" w:color="auto"/>
        <w:right w:val="none" w:sz="0" w:space="0" w:color="auto"/>
      </w:divBdr>
    </w:div>
    <w:div w:id="792867775">
      <w:bodyDiv w:val="1"/>
      <w:marLeft w:val="0"/>
      <w:marRight w:val="0"/>
      <w:marTop w:val="0"/>
      <w:marBottom w:val="0"/>
      <w:divBdr>
        <w:top w:val="none" w:sz="0" w:space="0" w:color="auto"/>
        <w:left w:val="none" w:sz="0" w:space="0" w:color="auto"/>
        <w:bottom w:val="none" w:sz="0" w:space="0" w:color="auto"/>
        <w:right w:val="none" w:sz="0" w:space="0" w:color="auto"/>
      </w:divBdr>
    </w:div>
    <w:div w:id="793838927">
      <w:bodyDiv w:val="1"/>
      <w:marLeft w:val="0"/>
      <w:marRight w:val="0"/>
      <w:marTop w:val="0"/>
      <w:marBottom w:val="0"/>
      <w:divBdr>
        <w:top w:val="none" w:sz="0" w:space="0" w:color="auto"/>
        <w:left w:val="none" w:sz="0" w:space="0" w:color="auto"/>
        <w:bottom w:val="none" w:sz="0" w:space="0" w:color="auto"/>
        <w:right w:val="none" w:sz="0" w:space="0" w:color="auto"/>
      </w:divBdr>
    </w:div>
    <w:div w:id="821383949">
      <w:bodyDiv w:val="1"/>
      <w:marLeft w:val="0"/>
      <w:marRight w:val="0"/>
      <w:marTop w:val="0"/>
      <w:marBottom w:val="0"/>
      <w:divBdr>
        <w:top w:val="none" w:sz="0" w:space="0" w:color="auto"/>
        <w:left w:val="none" w:sz="0" w:space="0" w:color="auto"/>
        <w:bottom w:val="none" w:sz="0" w:space="0" w:color="auto"/>
        <w:right w:val="none" w:sz="0" w:space="0" w:color="auto"/>
      </w:divBdr>
    </w:div>
    <w:div w:id="864054746">
      <w:bodyDiv w:val="1"/>
      <w:marLeft w:val="0"/>
      <w:marRight w:val="0"/>
      <w:marTop w:val="0"/>
      <w:marBottom w:val="0"/>
      <w:divBdr>
        <w:top w:val="none" w:sz="0" w:space="0" w:color="auto"/>
        <w:left w:val="none" w:sz="0" w:space="0" w:color="auto"/>
        <w:bottom w:val="none" w:sz="0" w:space="0" w:color="auto"/>
        <w:right w:val="none" w:sz="0" w:space="0" w:color="auto"/>
      </w:divBdr>
    </w:div>
    <w:div w:id="866722161">
      <w:bodyDiv w:val="1"/>
      <w:marLeft w:val="0"/>
      <w:marRight w:val="0"/>
      <w:marTop w:val="0"/>
      <w:marBottom w:val="0"/>
      <w:divBdr>
        <w:top w:val="none" w:sz="0" w:space="0" w:color="auto"/>
        <w:left w:val="none" w:sz="0" w:space="0" w:color="auto"/>
        <w:bottom w:val="none" w:sz="0" w:space="0" w:color="auto"/>
        <w:right w:val="none" w:sz="0" w:space="0" w:color="auto"/>
      </w:divBdr>
    </w:div>
    <w:div w:id="911813294">
      <w:bodyDiv w:val="1"/>
      <w:marLeft w:val="0"/>
      <w:marRight w:val="0"/>
      <w:marTop w:val="0"/>
      <w:marBottom w:val="0"/>
      <w:divBdr>
        <w:top w:val="none" w:sz="0" w:space="0" w:color="auto"/>
        <w:left w:val="none" w:sz="0" w:space="0" w:color="auto"/>
        <w:bottom w:val="none" w:sz="0" w:space="0" w:color="auto"/>
        <w:right w:val="none" w:sz="0" w:space="0" w:color="auto"/>
      </w:divBdr>
    </w:div>
    <w:div w:id="963727937">
      <w:bodyDiv w:val="1"/>
      <w:marLeft w:val="0"/>
      <w:marRight w:val="0"/>
      <w:marTop w:val="0"/>
      <w:marBottom w:val="0"/>
      <w:divBdr>
        <w:top w:val="none" w:sz="0" w:space="0" w:color="auto"/>
        <w:left w:val="none" w:sz="0" w:space="0" w:color="auto"/>
        <w:bottom w:val="none" w:sz="0" w:space="0" w:color="auto"/>
        <w:right w:val="none" w:sz="0" w:space="0" w:color="auto"/>
      </w:divBdr>
    </w:div>
    <w:div w:id="1107577325">
      <w:bodyDiv w:val="1"/>
      <w:marLeft w:val="0"/>
      <w:marRight w:val="0"/>
      <w:marTop w:val="0"/>
      <w:marBottom w:val="0"/>
      <w:divBdr>
        <w:top w:val="none" w:sz="0" w:space="0" w:color="auto"/>
        <w:left w:val="none" w:sz="0" w:space="0" w:color="auto"/>
        <w:bottom w:val="none" w:sz="0" w:space="0" w:color="auto"/>
        <w:right w:val="none" w:sz="0" w:space="0" w:color="auto"/>
      </w:divBdr>
    </w:div>
    <w:div w:id="1200708053">
      <w:bodyDiv w:val="1"/>
      <w:marLeft w:val="0"/>
      <w:marRight w:val="0"/>
      <w:marTop w:val="0"/>
      <w:marBottom w:val="0"/>
      <w:divBdr>
        <w:top w:val="none" w:sz="0" w:space="0" w:color="auto"/>
        <w:left w:val="none" w:sz="0" w:space="0" w:color="auto"/>
        <w:bottom w:val="none" w:sz="0" w:space="0" w:color="auto"/>
        <w:right w:val="none" w:sz="0" w:space="0" w:color="auto"/>
      </w:divBdr>
    </w:div>
    <w:div w:id="1222331918">
      <w:bodyDiv w:val="1"/>
      <w:marLeft w:val="0"/>
      <w:marRight w:val="0"/>
      <w:marTop w:val="0"/>
      <w:marBottom w:val="0"/>
      <w:divBdr>
        <w:top w:val="none" w:sz="0" w:space="0" w:color="auto"/>
        <w:left w:val="none" w:sz="0" w:space="0" w:color="auto"/>
        <w:bottom w:val="none" w:sz="0" w:space="0" w:color="auto"/>
        <w:right w:val="none" w:sz="0" w:space="0" w:color="auto"/>
      </w:divBdr>
    </w:div>
    <w:div w:id="1253198646">
      <w:bodyDiv w:val="1"/>
      <w:marLeft w:val="0"/>
      <w:marRight w:val="0"/>
      <w:marTop w:val="0"/>
      <w:marBottom w:val="0"/>
      <w:divBdr>
        <w:top w:val="none" w:sz="0" w:space="0" w:color="auto"/>
        <w:left w:val="none" w:sz="0" w:space="0" w:color="auto"/>
        <w:bottom w:val="none" w:sz="0" w:space="0" w:color="auto"/>
        <w:right w:val="none" w:sz="0" w:space="0" w:color="auto"/>
      </w:divBdr>
    </w:div>
    <w:div w:id="1324312637">
      <w:bodyDiv w:val="1"/>
      <w:marLeft w:val="0"/>
      <w:marRight w:val="0"/>
      <w:marTop w:val="0"/>
      <w:marBottom w:val="0"/>
      <w:divBdr>
        <w:top w:val="none" w:sz="0" w:space="0" w:color="auto"/>
        <w:left w:val="none" w:sz="0" w:space="0" w:color="auto"/>
        <w:bottom w:val="none" w:sz="0" w:space="0" w:color="auto"/>
        <w:right w:val="none" w:sz="0" w:space="0" w:color="auto"/>
      </w:divBdr>
    </w:div>
    <w:div w:id="1342589815">
      <w:bodyDiv w:val="1"/>
      <w:marLeft w:val="0"/>
      <w:marRight w:val="0"/>
      <w:marTop w:val="0"/>
      <w:marBottom w:val="0"/>
      <w:divBdr>
        <w:top w:val="none" w:sz="0" w:space="0" w:color="auto"/>
        <w:left w:val="none" w:sz="0" w:space="0" w:color="auto"/>
        <w:bottom w:val="none" w:sz="0" w:space="0" w:color="auto"/>
        <w:right w:val="none" w:sz="0" w:space="0" w:color="auto"/>
      </w:divBdr>
    </w:div>
    <w:div w:id="1346519016">
      <w:bodyDiv w:val="1"/>
      <w:marLeft w:val="0"/>
      <w:marRight w:val="0"/>
      <w:marTop w:val="0"/>
      <w:marBottom w:val="0"/>
      <w:divBdr>
        <w:top w:val="none" w:sz="0" w:space="0" w:color="auto"/>
        <w:left w:val="none" w:sz="0" w:space="0" w:color="auto"/>
        <w:bottom w:val="none" w:sz="0" w:space="0" w:color="auto"/>
        <w:right w:val="none" w:sz="0" w:space="0" w:color="auto"/>
      </w:divBdr>
      <w:divsChild>
        <w:div w:id="960648610">
          <w:marLeft w:val="0"/>
          <w:marRight w:val="0"/>
          <w:marTop w:val="0"/>
          <w:marBottom w:val="0"/>
          <w:divBdr>
            <w:top w:val="none" w:sz="0" w:space="0" w:color="auto"/>
            <w:left w:val="none" w:sz="0" w:space="0" w:color="auto"/>
            <w:bottom w:val="none" w:sz="0" w:space="0" w:color="auto"/>
            <w:right w:val="none" w:sz="0" w:space="0" w:color="auto"/>
          </w:divBdr>
          <w:divsChild>
            <w:div w:id="305865959">
              <w:marLeft w:val="0"/>
              <w:marRight w:val="0"/>
              <w:marTop w:val="0"/>
              <w:marBottom w:val="0"/>
              <w:divBdr>
                <w:top w:val="none" w:sz="0" w:space="0" w:color="auto"/>
                <w:left w:val="none" w:sz="0" w:space="0" w:color="auto"/>
                <w:bottom w:val="none" w:sz="0" w:space="0" w:color="auto"/>
                <w:right w:val="none" w:sz="0" w:space="0" w:color="auto"/>
              </w:divBdr>
              <w:divsChild>
                <w:div w:id="46682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306942">
      <w:bodyDiv w:val="1"/>
      <w:marLeft w:val="0"/>
      <w:marRight w:val="0"/>
      <w:marTop w:val="0"/>
      <w:marBottom w:val="0"/>
      <w:divBdr>
        <w:top w:val="none" w:sz="0" w:space="0" w:color="auto"/>
        <w:left w:val="none" w:sz="0" w:space="0" w:color="auto"/>
        <w:bottom w:val="none" w:sz="0" w:space="0" w:color="auto"/>
        <w:right w:val="none" w:sz="0" w:space="0" w:color="auto"/>
      </w:divBdr>
    </w:div>
    <w:div w:id="1527597204">
      <w:bodyDiv w:val="1"/>
      <w:marLeft w:val="0"/>
      <w:marRight w:val="0"/>
      <w:marTop w:val="0"/>
      <w:marBottom w:val="0"/>
      <w:divBdr>
        <w:top w:val="none" w:sz="0" w:space="0" w:color="auto"/>
        <w:left w:val="none" w:sz="0" w:space="0" w:color="auto"/>
        <w:bottom w:val="none" w:sz="0" w:space="0" w:color="auto"/>
        <w:right w:val="none" w:sz="0" w:space="0" w:color="auto"/>
      </w:divBdr>
    </w:div>
    <w:div w:id="1532648313">
      <w:bodyDiv w:val="1"/>
      <w:marLeft w:val="0"/>
      <w:marRight w:val="0"/>
      <w:marTop w:val="0"/>
      <w:marBottom w:val="0"/>
      <w:divBdr>
        <w:top w:val="none" w:sz="0" w:space="0" w:color="auto"/>
        <w:left w:val="none" w:sz="0" w:space="0" w:color="auto"/>
        <w:bottom w:val="none" w:sz="0" w:space="0" w:color="auto"/>
        <w:right w:val="none" w:sz="0" w:space="0" w:color="auto"/>
      </w:divBdr>
    </w:div>
    <w:div w:id="1609316181">
      <w:bodyDiv w:val="1"/>
      <w:marLeft w:val="0"/>
      <w:marRight w:val="0"/>
      <w:marTop w:val="0"/>
      <w:marBottom w:val="0"/>
      <w:divBdr>
        <w:top w:val="none" w:sz="0" w:space="0" w:color="auto"/>
        <w:left w:val="none" w:sz="0" w:space="0" w:color="auto"/>
        <w:bottom w:val="none" w:sz="0" w:space="0" w:color="auto"/>
        <w:right w:val="none" w:sz="0" w:space="0" w:color="auto"/>
      </w:divBdr>
    </w:div>
    <w:div w:id="1616257079">
      <w:bodyDiv w:val="1"/>
      <w:marLeft w:val="0"/>
      <w:marRight w:val="0"/>
      <w:marTop w:val="0"/>
      <w:marBottom w:val="0"/>
      <w:divBdr>
        <w:top w:val="none" w:sz="0" w:space="0" w:color="auto"/>
        <w:left w:val="none" w:sz="0" w:space="0" w:color="auto"/>
        <w:bottom w:val="none" w:sz="0" w:space="0" w:color="auto"/>
        <w:right w:val="none" w:sz="0" w:space="0" w:color="auto"/>
      </w:divBdr>
    </w:div>
    <w:div w:id="1637565888">
      <w:bodyDiv w:val="1"/>
      <w:marLeft w:val="0"/>
      <w:marRight w:val="0"/>
      <w:marTop w:val="0"/>
      <w:marBottom w:val="0"/>
      <w:divBdr>
        <w:top w:val="none" w:sz="0" w:space="0" w:color="auto"/>
        <w:left w:val="none" w:sz="0" w:space="0" w:color="auto"/>
        <w:bottom w:val="none" w:sz="0" w:space="0" w:color="auto"/>
        <w:right w:val="none" w:sz="0" w:space="0" w:color="auto"/>
      </w:divBdr>
    </w:div>
    <w:div w:id="1641808340">
      <w:bodyDiv w:val="1"/>
      <w:marLeft w:val="0"/>
      <w:marRight w:val="0"/>
      <w:marTop w:val="0"/>
      <w:marBottom w:val="0"/>
      <w:divBdr>
        <w:top w:val="none" w:sz="0" w:space="0" w:color="auto"/>
        <w:left w:val="none" w:sz="0" w:space="0" w:color="auto"/>
        <w:bottom w:val="none" w:sz="0" w:space="0" w:color="auto"/>
        <w:right w:val="none" w:sz="0" w:space="0" w:color="auto"/>
      </w:divBdr>
    </w:div>
    <w:div w:id="1712921062">
      <w:bodyDiv w:val="1"/>
      <w:marLeft w:val="0"/>
      <w:marRight w:val="0"/>
      <w:marTop w:val="0"/>
      <w:marBottom w:val="0"/>
      <w:divBdr>
        <w:top w:val="none" w:sz="0" w:space="0" w:color="auto"/>
        <w:left w:val="none" w:sz="0" w:space="0" w:color="auto"/>
        <w:bottom w:val="none" w:sz="0" w:space="0" w:color="auto"/>
        <w:right w:val="none" w:sz="0" w:space="0" w:color="auto"/>
      </w:divBdr>
    </w:div>
    <w:div w:id="1727609517">
      <w:bodyDiv w:val="1"/>
      <w:marLeft w:val="0"/>
      <w:marRight w:val="0"/>
      <w:marTop w:val="0"/>
      <w:marBottom w:val="0"/>
      <w:divBdr>
        <w:top w:val="none" w:sz="0" w:space="0" w:color="auto"/>
        <w:left w:val="none" w:sz="0" w:space="0" w:color="auto"/>
        <w:bottom w:val="none" w:sz="0" w:space="0" w:color="auto"/>
        <w:right w:val="none" w:sz="0" w:space="0" w:color="auto"/>
      </w:divBdr>
    </w:div>
    <w:div w:id="1793791342">
      <w:bodyDiv w:val="1"/>
      <w:marLeft w:val="0"/>
      <w:marRight w:val="0"/>
      <w:marTop w:val="0"/>
      <w:marBottom w:val="0"/>
      <w:divBdr>
        <w:top w:val="none" w:sz="0" w:space="0" w:color="auto"/>
        <w:left w:val="none" w:sz="0" w:space="0" w:color="auto"/>
        <w:bottom w:val="none" w:sz="0" w:space="0" w:color="auto"/>
        <w:right w:val="none" w:sz="0" w:space="0" w:color="auto"/>
      </w:divBdr>
    </w:div>
    <w:div w:id="1828787441">
      <w:bodyDiv w:val="1"/>
      <w:marLeft w:val="0"/>
      <w:marRight w:val="0"/>
      <w:marTop w:val="0"/>
      <w:marBottom w:val="0"/>
      <w:divBdr>
        <w:top w:val="none" w:sz="0" w:space="0" w:color="auto"/>
        <w:left w:val="none" w:sz="0" w:space="0" w:color="auto"/>
        <w:bottom w:val="none" w:sz="0" w:space="0" w:color="auto"/>
        <w:right w:val="none" w:sz="0" w:space="0" w:color="auto"/>
      </w:divBdr>
    </w:div>
    <w:div w:id="1910117527">
      <w:bodyDiv w:val="1"/>
      <w:marLeft w:val="0"/>
      <w:marRight w:val="0"/>
      <w:marTop w:val="0"/>
      <w:marBottom w:val="0"/>
      <w:divBdr>
        <w:top w:val="none" w:sz="0" w:space="0" w:color="auto"/>
        <w:left w:val="none" w:sz="0" w:space="0" w:color="auto"/>
        <w:bottom w:val="none" w:sz="0" w:space="0" w:color="auto"/>
        <w:right w:val="none" w:sz="0" w:space="0" w:color="auto"/>
      </w:divBdr>
    </w:div>
    <w:div w:id="1917931336">
      <w:bodyDiv w:val="1"/>
      <w:marLeft w:val="0"/>
      <w:marRight w:val="0"/>
      <w:marTop w:val="0"/>
      <w:marBottom w:val="0"/>
      <w:divBdr>
        <w:top w:val="none" w:sz="0" w:space="0" w:color="auto"/>
        <w:left w:val="none" w:sz="0" w:space="0" w:color="auto"/>
        <w:bottom w:val="none" w:sz="0" w:space="0" w:color="auto"/>
        <w:right w:val="none" w:sz="0" w:space="0" w:color="auto"/>
      </w:divBdr>
    </w:div>
    <w:div w:id="1920555021">
      <w:bodyDiv w:val="1"/>
      <w:marLeft w:val="0"/>
      <w:marRight w:val="0"/>
      <w:marTop w:val="0"/>
      <w:marBottom w:val="0"/>
      <w:divBdr>
        <w:top w:val="none" w:sz="0" w:space="0" w:color="auto"/>
        <w:left w:val="none" w:sz="0" w:space="0" w:color="auto"/>
        <w:bottom w:val="none" w:sz="0" w:space="0" w:color="auto"/>
        <w:right w:val="none" w:sz="0" w:space="0" w:color="auto"/>
      </w:divBdr>
    </w:div>
    <w:div w:id="1952131142">
      <w:bodyDiv w:val="1"/>
      <w:marLeft w:val="0"/>
      <w:marRight w:val="0"/>
      <w:marTop w:val="0"/>
      <w:marBottom w:val="0"/>
      <w:divBdr>
        <w:top w:val="none" w:sz="0" w:space="0" w:color="auto"/>
        <w:left w:val="none" w:sz="0" w:space="0" w:color="auto"/>
        <w:bottom w:val="none" w:sz="0" w:space="0" w:color="auto"/>
        <w:right w:val="none" w:sz="0" w:space="0" w:color="auto"/>
      </w:divBdr>
    </w:div>
    <w:div w:id="1973441876">
      <w:bodyDiv w:val="1"/>
      <w:marLeft w:val="0"/>
      <w:marRight w:val="0"/>
      <w:marTop w:val="0"/>
      <w:marBottom w:val="0"/>
      <w:divBdr>
        <w:top w:val="none" w:sz="0" w:space="0" w:color="auto"/>
        <w:left w:val="none" w:sz="0" w:space="0" w:color="auto"/>
        <w:bottom w:val="none" w:sz="0" w:space="0" w:color="auto"/>
        <w:right w:val="none" w:sz="0" w:space="0" w:color="auto"/>
      </w:divBdr>
    </w:div>
    <w:div w:id="2028015812">
      <w:bodyDiv w:val="1"/>
      <w:marLeft w:val="0"/>
      <w:marRight w:val="0"/>
      <w:marTop w:val="0"/>
      <w:marBottom w:val="0"/>
      <w:divBdr>
        <w:top w:val="none" w:sz="0" w:space="0" w:color="auto"/>
        <w:left w:val="none" w:sz="0" w:space="0" w:color="auto"/>
        <w:bottom w:val="none" w:sz="0" w:space="0" w:color="auto"/>
        <w:right w:val="none" w:sz="0" w:space="0" w:color="auto"/>
      </w:divBdr>
    </w:div>
    <w:div w:id="2030793385">
      <w:bodyDiv w:val="1"/>
      <w:marLeft w:val="0"/>
      <w:marRight w:val="0"/>
      <w:marTop w:val="0"/>
      <w:marBottom w:val="0"/>
      <w:divBdr>
        <w:top w:val="none" w:sz="0" w:space="0" w:color="auto"/>
        <w:left w:val="none" w:sz="0" w:space="0" w:color="auto"/>
        <w:bottom w:val="none" w:sz="0" w:space="0" w:color="auto"/>
        <w:right w:val="none" w:sz="0" w:space="0" w:color="auto"/>
      </w:divBdr>
    </w:div>
    <w:div w:id="2055537242">
      <w:bodyDiv w:val="1"/>
      <w:marLeft w:val="0"/>
      <w:marRight w:val="0"/>
      <w:marTop w:val="0"/>
      <w:marBottom w:val="0"/>
      <w:divBdr>
        <w:top w:val="none" w:sz="0" w:space="0" w:color="auto"/>
        <w:left w:val="none" w:sz="0" w:space="0" w:color="auto"/>
        <w:bottom w:val="none" w:sz="0" w:space="0" w:color="auto"/>
        <w:right w:val="none" w:sz="0" w:space="0" w:color="auto"/>
      </w:divBdr>
    </w:div>
    <w:div w:id="2072851306">
      <w:bodyDiv w:val="1"/>
      <w:marLeft w:val="0"/>
      <w:marRight w:val="0"/>
      <w:marTop w:val="0"/>
      <w:marBottom w:val="0"/>
      <w:divBdr>
        <w:top w:val="none" w:sz="0" w:space="0" w:color="auto"/>
        <w:left w:val="none" w:sz="0" w:space="0" w:color="auto"/>
        <w:bottom w:val="none" w:sz="0" w:space="0" w:color="auto"/>
        <w:right w:val="none" w:sz="0" w:space="0" w:color="auto"/>
      </w:divBdr>
      <w:divsChild>
        <w:div w:id="726760640">
          <w:marLeft w:val="0"/>
          <w:marRight w:val="0"/>
          <w:marTop w:val="0"/>
          <w:marBottom w:val="0"/>
          <w:divBdr>
            <w:top w:val="none" w:sz="0" w:space="0" w:color="auto"/>
            <w:left w:val="none" w:sz="0" w:space="0" w:color="auto"/>
            <w:bottom w:val="none" w:sz="0" w:space="0" w:color="auto"/>
            <w:right w:val="none" w:sz="0" w:space="0" w:color="auto"/>
          </w:divBdr>
          <w:divsChild>
            <w:div w:id="1655067538">
              <w:marLeft w:val="0"/>
              <w:marRight w:val="0"/>
              <w:marTop w:val="0"/>
              <w:marBottom w:val="0"/>
              <w:divBdr>
                <w:top w:val="none" w:sz="0" w:space="0" w:color="auto"/>
                <w:left w:val="none" w:sz="0" w:space="0" w:color="auto"/>
                <w:bottom w:val="none" w:sz="0" w:space="0" w:color="auto"/>
                <w:right w:val="none" w:sz="0" w:space="0" w:color="auto"/>
              </w:divBdr>
              <w:divsChild>
                <w:div w:id="58946464">
                  <w:marLeft w:val="0"/>
                  <w:marRight w:val="0"/>
                  <w:marTop w:val="0"/>
                  <w:marBottom w:val="0"/>
                  <w:divBdr>
                    <w:top w:val="none" w:sz="0" w:space="0" w:color="auto"/>
                    <w:left w:val="none" w:sz="0" w:space="0" w:color="auto"/>
                    <w:bottom w:val="none" w:sz="0" w:space="0" w:color="auto"/>
                    <w:right w:val="none" w:sz="0" w:space="0" w:color="auto"/>
                  </w:divBdr>
                  <w:divsChild>
                    <w:div w:id="106949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838802">
      <w:bodyDiv w:val="1"/>
      <w:marLeft w:val="0"/>
      <w:marRight w:val="0"/>
      <w:marTop w:val="0"/>
      <w:marBottom w:val="0"/>
      <w:divBdr>
        <w:top w:val="none" w:sz="0" w:space="0" w:color="auto"/>
        <w:left w:val="none" w:sz="0" w:space="0" w:color="auto"/>
        <w:bottom w:val="none" w:sz="0" w:space="0" w:color="auto"/>
        <w:right w:val="none" w:sz="0" w:space="0" w:color="auto"/>
      </w:divBdr>
    </w:div>
    <w:div w:id="2144885167">
      <w:bodyDiv w:val="1"/>
      <w:marLeft w:val="0"/>
      <w:marRight w:val="0"/>
      <w:marTop w:val="0"/>
      <w:marBottom w:val="0"/>
      <w:divBdr>
        <w:top w:val="none" w:sz="0" w:space="0" w:color="auto"/>
        <w:left w:val="none" w:sz="0" w:space="0" w:color="auto"/>
        <w:bottom w:val="none" w:sz="0" w:space="0" w:color="auto"/>
        <w:right w:val="none" w:sz="0" w:space="0" w:color="auto"/>
      </w:divBdr>
      <w:divsChild>
        <w:div w:id="1476217951">
          <w:marLeft w:val="0"/>
          <w:marRight w:val="0"/>
          <w:marTop w:val="0"/>
          <w:marBottom w:val="0"/>
          <w:divBdr>
            <w:top w:val="none" w:sz="0" w:space="0" w:color="auto"/>
            <w:left w:val="none" w:sz="0" w:space="0" w:color="auto"/>
            <w:bottom w:val="none" w:sz="0" w:space="0" w:color="auto"/>
            <w:right w:val="none" w:sz="0" w:space="0" w:color="auto"/>
          </w:divBdr>
          <w:divsChild>
            <w:div w:id="23871004">
              <w:marLeft w:val="0"/>
              <w:marRight w:val="0"/>
              <w:marTop w:val="0"/>
              <w:marBottom w:val="0"/>
              <w:divBdr>
                <w:top w:val="none" w:sz="0" w:space="0" w:color="auto"/>
                <w:left w:val="none" w:sz="0" w:space="0" w:color="auto"/>
                <w:bottom w:val="none" w:sz="0" w:space="0" w:color="auto"/>
                <w:right w:val="none" w:sz="0" w:space="0" w:color="auto"/>
              </w:divBdr>
              <w:divsChild>
                <w:div w:id="4745430">
                  <w:marLeft w:val="0"/>
                  <w:marRight w:val="0"/>
                  <w:marTop w:val="0"/>
                  <w:marBottom w:val="0"/>
                  <w:divBdr>
                    <w:top w:val="none" w:sz="0" w:space="0" w:color="auto"/>
                    <w:left w:val="none" w:sz="0" w:space="0" w:color="auto"/>
                    <w:bottom w:val="none" w:sz="0" w:space="0" w:color="auto"/>
                    <w:right w:val="none" w:sz="0" w:space="0" w:color="auto"/>
                  </w:divBdr>
                  <w:divsChild>
                    <w:div w:id="28038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btconnect.net/mindfulness.pdf"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A3373-97C6-4C6F-BE94-E93E5EF6E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82</Pages>
  <Words>61974</Words>
  <Characters>365653</Characters>
  <Application>Microsoft Office Word</Application>
  <DocSecurity>0</DocSecurity>
  <Lines>5078</Lines>
  <Paragraphs>900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Dunkerson, Callie E.</dc:creator>
  <cp:keywords/>
  <dc:description/>
  <cp:lastModifiedBy>Dunkerson, Callie E.</cp:lastModifiedBy>
  <cp:revision>5</cp:revision>
  <cp:lastPrinted>2021-04-21T01:08:00Z</cp:lastPrinted>
  <dcterms:created xsi:type="dcterms:W3CDTF">2021-06-19T01:14:00Z</dcterms:created>
  <dcterms:modified xsi:type="dcterms:W3CDTF">2021-06-27T18:33:00Z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zotero-version="5.0.82"&gt;&lt;session id="SFMja5b0"/&gt;&lt;style id="http://www.zotero.org/styles/apa" locale="en-US" hasBibliography="1" bibliographyStyleHasBeenSet="0"/&gt;&lt;prefs&gt;&lt;pref name="fieldType" value="Field"/&gt;&lt;/prefs&gt;&lt;/data&gt;</vt:lpwstr>
  </property>
</Properties>
</file>