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7F67E" w14:textId="216583B9" w:rsidR="005761C5" w:rsidRDefault="006C5497" w:rsidP="00B94C1B">
      <w:pPr>
        <w:jc w:val="center"/>
      </w:pPr>
      <w:r>
        <w:t>UNIVERSITY OF OKLAHOMA</w:t>
      </w:r>
    </w:p>
    <w:p w14:paraId="19883CAA" w14:textId="7D21B551" w:rsidR="006C5497" w:rsidRDefault="006C5497" w:rsidP="00B94C1B">
      <w:pPr>
        <w:jc w:val="center"/>
      </w:pPr>
      <w:r>
        <w:t>GRADUATE COLLEGE</w:t>
      </w:r>
    </w:p>
    <w:p w14:paraId="1135F2B8" w14:textId="5DAD2DEC" w:rsidR="006C5497" w:rsidRDefault="006C5497" w:rsidP="006C5497">
      <w:pPr>
        <w:jc w:val="center"/>
      </w:pPr>
    </w:p>
    <w:p w14:paraId="57C78F99" w14:textId="1DDCCAC2" w:rsidR="006C5497" w:rsidRDefault="006C5497" w:rsidP="006C5497">
      <w:pPr>
        <w:jc w:val="center"/>
      </w:pPr>
    </w:p>
    <w:p w14:paraId="3A5B36B7" w14:textId="584ED3D6" w:rsidR="006C5497" w:rsidRDefault="006C5497" w:rsidP="006C5497">
      <w:pPr>
        <w:jc w:val="center"/>
      </w:pPr>
    </w:p>
    <w:p w14:paraId="64600EA8" w14:textId="77777777" w:rsidR="00A547DC" w:rsidRDefault="00A547DC" w:rsidP="002468F7">
      <w:pPr>
        <w:jc w:val="center"/>
      </w:pPr>
    </w:p>
    <w:p w14:paraId="3A659B0D" w14:textId="71A1B9C1" w:rsidR="006C5497" w:rsidRDefault="006C5497" w:rsidP="002468F7">
      <w:pPr>
        <w:jc w:val="center"/>
      </w:pPr>
      <w:r>
        <w:t xml:space="preserve">EXPERIMENTAL INVESTIGATION OF </w:t>
      </w:r>
      <w:r w:rsidR="00A50CEC">
        <w:t xml:space="preserve">SYNTHETIC </w:t>
      </w:r>
      <w:r>
        <w:t xml:space="preserve">AND </w:t>
      </w:r>
      <w:r w:rsidR="00BD0F50">
        <w:t xml:space="preserve">MICROBIAL </w:t>
      </w:r>
      <w:r>
        <w:t>SURFACTANT</w:t>
      </w:r>
      <w:r w:rsidR="00BD0F50">
        <w:t>S</w:t>
      </w:r>
      <w:r>
        <w:t xml:space="preserve"> FOR ENHANCED OIL RECOVERY IN BONE SPRING SANDSTONES</w:t>
      </w:r>
      <w:r w:rsidR="002468F7">
        <w:t xml:space="preserve"> </w:t>
      </w:r>
    </w:p>
    <w:p w14:paraId="2FA99431" w14:textId="77777777" w:rsidR="00B94C1B" w:rsidRDefault="00B94C1B" w:rsidP="00B94C1B">
      <w:pPr>
        <w:jc w:val="center"/>
      </w:pPr>
    </w:p>
    <w:p w14:paraId="6F54C3CE" w14:textId="77777777" w:rsidR="006753A3" w:rsidRDefault="006753A3" w:rsidP="00B94C1B">
      <w:pPr>
        <w:jc w:val="center"/>
      </w:pPr>
    </w:p>
    <w:p w14:paraId="308811F6" w14:textId="09ADE5C7" w:rsidR="006C5497" w:rsidRDefault="006C5497" w:rsidP="00B94C1B">
      <w:pPr>
        <w:jc w:val="center"/>
      </w:pPr>
      <w:r>
        <w:t>A THESIS</w:t>
      </w:r>
    </w:p>
    <w:p w14:paraId="352F05A8" w14:textId="4D4EBD33" w:rsidR="006C5497" w:rsidRDefault="006C5497" w:rsidP="00B94C1B">
      <w:pPr>
        <w:jc w:val="center"/>
      </w:pPr>
      <w:r>
        <w:t>SUBMITTED TO THE GRADUATE FACULTY</w:t>
      </w:r>
    </w:p>
    <w:p w14:paraId="55900E9B" w14:textId="17A6DEA4" w:rsidR="006C5497" w:rsidRDefault="006C5497" w:rsidP="00B94C1B">
      <w:pPr>
        <w:jc w:val="center"/>
      </w:pPr>
      <w:r>
        <w:t>in partial fulfillment of the requirements for the</w:t>
      </w:r>
    </w:p>
    <w:p w14:paraId="749F0F93" w14:textId="77777777" w:rsidR="006C5497" w:rsidRDefault="006C5497" w:rsidP="00B94C1B">
      <w:pPr>
        <w:jc w:val="center"/>
      </w:pPr>
      <w:r>
        <w:t>Degree of</w:t>
      </w:r>
    </w:p>
    <w:p w14:paraId="0ACCEE00" w14:textId="77777777" w:rsidR="006C5497" w:rsidRDefault="006C5497" w:rsidP="00B94C1B">
      <w:pPr>
        <w:jc w:val="center"/>
      </w:pPr>
      <w:r>
        <w:t>MASTER OF SCIENCE</w:t>
      </w:r>
    </w:p>
    <w:p w14:paraId="2D0FDAC8" w14:textId="77777777" w:rsidR="006C5497" w:rsidRDefault="006C5497" w:rsidP="006C5497">
      <w:pPr>
        <w:jc w:val="center"/>
      </w:pPr>
    </w:p>
    <w:p w14:paraId="66308234" w14:textId="77777777" w:rsidR="00B94C1B" w:rsidRDefault="00B94C1B" w:rsidP="00B94C1B">
      <w:pPr>
        <w:jc w:val="center"/>
      </w:pPr>
    </w:p>
    <w:p w14:paraId="101B4F0D" w14:textId="77777777" w:rsidR="00B94C1B" w:rsidRDefault="00B94C1B" w:rsidP="00B94C1B">
      <w:pPr>
        <w:jc w:val="center"/>
      </w:pPr>
    </w:p>
    <w:p w14:paraId="6E6ACDE0" w14:textId="77777777" w:rsidR="006753A3" w:rsidRDefault="006753A3" w:rsidP="00B94C1B">
      <w:pPr>
        <w:jc w:val="center"/>
      </w:pPr>
    </w:p>
    <w:p w14:paraId="7A9DFEBA" w14:textId="77777777" w:rsidR="006753A3" w:rsidRDefault="006753A3" w:rsidP="00B94C1B">
      <w:pPr>
        <w:jc w:val="center"/>
      </w:pPr>
    </w:p>
    <w:p w14:paraId="3DB7A7B9" w14:textId="2EDDC4F1" w:rsidR="006C5497" w:rsidRDefault="006C5497" w:rsidP="00B94C1B">
      <w:pPr>
        <w:jc w:val="center"/>
      </w:pPr>
      <w:r>
        <w:t>By</w:t>
      </w:r>
    </w:p>
    <w:p w14:paraId="0735131B" w14:textId="196F0ED9" w:rsidR="006C5497" w:rsidRDefault="006C5497" w:rsidP="006753A3">
      <w:pPr>
        <w:spacing w:line="240" w:lineRule="auto"/>
        <w:jc w:val="center"/>
      </w:pPr>
      <w:r>
        <w:t>RISHABH PANDEY</w:t>
      </w:r>
    </w:p>
    <w:p w14:paraId="5C038BDF" w14:textId="150C43AE" w:rsidR="006C5497" w:rsidRDefault="006C5497" w:rsidP="006753A3">
      <w:pPr>
        <w:spacing w:line="240" w:lineRule="auto"/>
        <w:jc w:val="center"/>
      </w:pPr>
      <w:r>
        <w:t>Norman, Oklahoma</w:t>
      </w:r>
    </w:p>
    <w:p w14:paraId="344A37AE" w14:textId="77BF58FF" w:rsidR="001A7C4A" w:rsidRDefault="006C5497" w:rsidP="00B80181">
      <w:pPr>
        <w:spacing w:line="240" w:lineRule="auto"/>
        <w:jc w:val="center"/>
        <w:sectPr w:rsidR="001A7C4A" w:rsidSect="001A7C4A">
          <w:footerReference w:type="even" r:id="rId8"/>
          <w:type w:val="continuous"/>
          <w:pgSz w:w="12240" w:h="15840"/>
          <w:pgMar w:top="1440" w:right="1440" w:bottom="1440" w:left="1440" w:header="720" w:footer="720" w:gutter="0"/>
          <w:pgNumType w:fmt="lowerRoman"/>
          <w:cols w:space="720"/>
          <w:docGrid w:linePitch="360"/>
        </w:sectPr>
      </w:pPr>
      <w:r>
        <w:t>202</w:t>
      </w:r>
      <w:r w:rsidR="00950645">
        <w:t>2</w:t>
      </w:r>
    </w:p>
    <w:p w14:paraId="41AEC4EA" w14:textId="01BE9460" w:rsidR="00B80181" w:rsidRDefault="00B80181">
      <w:pPr>
        <w:spacing w:line="240" w:lineRule="auto"/>
        <w:jc w:val="left"/>
      </w:pPr>
    </w:p>
    <w:p w14:paraId="3D9CC07B" w14:textId="77777777" w:rsidR="004800EC" w:rsidRDefault="004800EC" w:rsidP="00B125CA">
      <w:pPr>
        <w:jc w:val="center"/>
      </w:pPr>
    </w:p>
    <w:p w14:paraId="4C9F5C53" w14:textId="77777777" w:rsidR="005738C7" w:rsidRDefault="005738C7" w:rsidP="00A50CEC">
      <w:pPr>
        <w:jc w:val="center"/>
      </w:pPr>
    </w:p>
    <w:p w14:paraId="41557FF5" w14:textId="68277423" w:rsidR="00A50CEC" w:rsidRDefault="00A50CEC" w:rsidP="00A50CEC">
      <w:pPr>
        <w:jc w:val="center"/>
      </w:pPr>
      <w:r>
        <w:t xml:space="preserve">EXPERIMENTAL INVESTIGATION OF SYNTHETIC AND </w:t>
      </w:r>
      <w:r w:rsidR="00BD0F50">
        <w:t>MICROBIAL SURFACTANTS</w:t>
      </w:r>
      <w:r>
        <w:t xml:space="preserve"> FOR ENHANCED OIL RECOVERY IN BONE SPRING SANDSTONES</w:t>
      </w:r>
      <w:r w:rsidR="002468F7">
        <w:t xml:space="preserve"> </w:t>
      </w:r>
    </w:p>
    <w:p w14:paraId="524F70B8" w14:textId="4CA423A7" w:rsidR="004800EC" w:rsidRDefault="004800EC" w:rsidP="006C5497">
      <w:pPr>
        <w:jc w:val="center"/>
      </w:pPr>
    </w:p>
    <w:p w14:paraId="4FF88B38" w14:textId="0D01BD1C" w:rsidR="004800EC" w:rsidRDefault="004800EC" w:rsidP="006C5497">
      <w:pPr>
        <w:jc w:val="center"/>
      </w:pPr>
    </w:p>
    <w:p w14:paraId="0748B546" w14:textId="77777777" w:rsidR="00B125CA" w:rsidRDefault="004800EC" w:rsidP="006753A3">
      <w:pPr>
        <w:pStyle w:val="NormalWeb"/>
        <w:spacing w:line="240" w:lineRule="auto"/>
        <w:jc w:val="center"/>
        <w:rPr>
          <w:rFonts w:ascii="TimesNewRomanPSMT" w:hAnsi="TimesNewRomanPSMT"/>
        </w:rPr>
      </w:pPr>
      <w:r>
        <w:rPr>
          <w:rFonts w:ascii="TimesNewRomanPSMT" w:hAnsi="TimesNewRomanPSMT"/>
        </w:rPr>
        <w:t>A THESIS APPROVED FOR THE</w:t>
      </w:r>
    </w:p>
    <w:p w14:paraId="5D4FB5E8" w14:textId="367D7D9D" w:rsidR="00B125CA" w:rsidRDefault="004800EC" w:rsidP="006753A3">
      <w:pPr>
        <w:pStyle w:val="NormalWeb"/>
        <w:spacing w:line="240" w:lineRule="auto"/>
        <w:jc w:val="center"/>
        <w:rPr>
          <w:rFonts w:ascii="TimesNewRomanPSMT" w:hAnsi="TimesNewRomanPSMT"/>
        </w:rPr>
      </w:pPr>
      <w:r>
        <w:rPr>
          <w:rFonts w:ascii="TimesNewRomanPSMT" w:hAnsi="TimesNewRomanPSMT"/>
        </w:rPr>
        <w:t>MEWBOURNE SCHOOL OF PETROLEUM AND GEOLOGICAL ENGINEERING</w:t>
      </w:r>
    </w:p>
    <w:p w14:paraId="78C4C7B2" w14:textId="77777777" w:rsidR="006753A3" w:rsidRDefault="006753A3" w:rsidP="00B125CA">
      <w:pPr>
        <w:pStyle w:val="NormalWeb"/>
        <w:jc w:val="center"/>
        <w:rPr>
          <w:rFonts w:ascii="TimesNewRomanPSMT" w:hAnsi="TimesNewRomanPSMT"/>
        </w:rPr>
      </w:pPr>
    </w:p>
    <w:p w14:paraId="6C6B89E9" w14:textId="77777777" w:rsidR="006753A3" w:rsidRDefault="006753A3" w:rsidP="00B125CA">
      <w:pPr>
        <w:pStyle w:val="NormalWeb"/>
        <w:jc w:val="center"/>
        <w:rPr>
          <w:rFonts w:ascii="TimesNewRomanPSMT" w:hAnsi="TimesNewRomanPSMT"/>
        </w:rPr>
      </w:pPr>
    </w:p>
    <w:p w14:paraId="236F4D33" w14:textId="51355C6C" w:rsidR="004800EC" w:rsidRPr="00B125CA" w:rsidRDefault="004800EC" w:rsidP="00B125CA">
      <w:pPr>
        <w:pStyle w:val="NormalWeb"/>
        <w:jc w:val="center"/>
        <w:rPr>
          <w:rFonts w:ascii="TimesNewRomanPSMT" w:hAnsi="TimesNewRomanPSMT"/>
        </w:rPr>
      </w:pPr>
      <w:r>
        <w:rPr>
          <w:rFonts w:ascii="TimesNewRomanPSMT" w:hAnsi="TimesNewRomanPSMT"/>
        </w:rPr>
        <w:t>BY THE COMMITTEE CONSISTING OF</w:t>
      </w:r>
    </w:p>
    <w:p w14:paraId="683BF3F2" w14:textId="77777777" w:rsidR="004800EC" w:rsidRDefault="004800EC" w:rsidP="004800EC">
      <w:pPr>
        <w:pStyle w:val="NormalWeb"/>
        <w:jc w:val="right"/>
        <w:rPr>
          <w:rFonts w:ascii="TimesNewRomanPSMT" w:hAnsi="TimesNewRomanPSMT"/>
        </w:rPr>
      </w:pPr>
    </w:p>
    <w:p w14:paraId="7FF16621" w14:textId="3020752C" w:rsidR="004800EC" w:rsidRDefault="004800EC" w:rsidP="004800EC">
      <w:pPr>
        <w:pStyle w:val="NormalWeb"/>
        <w:jc w:val="right"/>
      </w:pPr>
      <w:r>
        <w:rPr>
          <w:rFonts w:ascii="TimesNewRomanPSMT" w:hAnsi="TimesNewRomanPSMT"/>
        </w:rPr>
        <w:t>Dr. Chandra S. Rai, Chair</w:t>
      </w:r>
    </w:p>
    <w:p w14:paraId="6AE80090" w14:textId="5DC22B57" w:rsidR="004800EC" w:rsidRDefault="004800EC" w:rsidP="004800EC">
      <w:pPr>
        <w:pStyle w:val="NormalWeb"/>
        <w:jc w:val="right"/>
      </w:pPr>
      <w:r>
        <w:rPr>
          <w:rFonts w:ascii="TimesNewRomanPSMT" w:hAnsi="TimesNewRomanPSMT"/>
        </w:rPr>
        <w:t>Dr. Deepak Devegowda</w:t>
      </w:r>
    </w:p>
    <w:p w14:paraId="616A88D3" w14:textId="1731F0C2" w:rsidR="00B80181" w:rsidRDefault="004800EC" w:rsidP="004800EC">
      <w:pPr>
        <w:pStyle w:val="NormalWeb"/>
        <w:jc w:val="right"/>
        <w:rPr>
          <w:rFonts w:ascii="TimesNewRomanPSMT" w:hAnsi="TimesNewRomanPSMT"/>
        </w:rPr>
      </w:pPr>
      <w:r>
        <w:rPr>
          <w:rFonts w:ascii="TimesNewRomanPSMT" w:hAnsi="TimesNewRomanPSMT"/>
        </w:rPr>
        <w:t>Dr. Benjamin Shiau</w:t>
      </w:r>
    </w:p>
    <w:p w14:paraId="71EDF9D9" w14:textId="77777777" w:rsidR="00B80181" w:rsidRDefault="00B80181">
      <w:pPr>
        <w:spacing w:line="240" w:lineRule="auto"/>
        <w:jc w:val="left"/>
        <w:rPr>
          <w:rFonts w:ascii="TimesNewRomanPSMT" w:hAnsi="TimesNewRomanPSMT"/>
        </w:rPr>
      </w:pPr>
      <w:r>
        <w:rPr>
          <w:rFonts w:ascii="TimesNewRomanPSMT" w:hAnsi="TimesNewRomanPSMT"/>
        </w:rPr>
        <w:br w:type="page"/>
      </w:r>
    </w:p>
    <w:p w14:paraId="7351763D" w14:textId="77777777" w:rsidR="004800EC" w:rsidRDefault="004800EC" w:rsidP="004800EC">
      <w:pPr>
        <w:pStyle w:val="NormalWeb"/>
        <w:jc w:val="right"/>
      </w:pPr>
    </w:p>
    <w:p w14:paraId="5D967CFE" w14:textId="77777777" w:rsidR="004800EC" w:rsidRDefault="004800EC" w:rsidP="004800EC">
      <w:pPr>
        <w:pStyle w:val="NormalWeb"/>
        <w:jc w:val="center"/>
      </w:pPr>
    </w:p>
    <w:p w14:paraId="7E621654" w14:textId="742B3C9F" w:rsidR="006C5497" w:rsidRDefault="006C5497" w:rsidP="006C5497">
      <w:pPr>
        <w:jc w:val="center"/>
      </w:pPr>
    </w:p>
    <w:p w14:paraId="39C18404" w14:textId="4FF268CA" w:rsidR="004800EC" w:rsidRDefault="004800EC" w:rsidP="006C5497">
      <w:pPr>
        <w:jc w:val="center"/>
      </w:pPr>
    </w:p>
    <w:p w14:paraId="21AAF755" w14:textId="175E1AEE" w:rsidR="004800EC" w:rsidRDefault="004800EC" w:rsidP="006C5497">
      <w:pPr>
        <w:jc w:val="center"/>
      </w:pPr>
    </w:p>
    <w:p w14:paraId="103BDFE6" w14:textId="64094050" w:rsidR="00B125CA" w:rsidRDefault="00B125CA" w:rsidP="006C5497">
      <w:pPr>
        <w:jc w:val="center"/>
      </w:pPr>
    </w:p>
    <w:p w14:paraId="51F51B06" w14:textId="431A867A" w:rsidR="00B125CA" w:rsidRDefault="00B125CA" w:rsidP="006C5497">
      <w:pPr>
        <w:jc w:val="center"/>
      </w:pPr>
    </w:p>
    <w:p w14:paraId="6BA5D33B" w14:textId="53A56143" w:rsidR="00B125CA" w:rsidRDefault="00B125CA" w:rsidP="006C5497">
      <w:pPr>
        <w:jc w:val="center"/>
      </w:pPr>
    </w:p>
    <w:p w14:paraId="0A9137A9" w14:textId="00110C97" w:rsidR="00B125CA" w:rsidRDefault="00B125CA" w:rsidP="006C5497">
      <w:pPr>
        <w:jc w:val="center"/>
      </w:pPr>
    </w:p>
    <w:p w14:paraId="291CA731" w14:textId="4B46CE54" w:rsidR="00B125CA" w:rsidRDefault="00B125CA" w:rsidP="006C5497">
      <w:pPr>
        <w:jc w:val="center"/>
      </w:pPr>
    </w:p>
    <w:p w14:paraId="76665796" w14:textId="4F3B04FC" w:rsidR="00B125CA" w:rsidRDefault="00B125CA" w:rsidP="006C5497">
      <w:pPr>
        <w:jc w:val="center"/>
      </w:pPr>
    </w:p>
    <w:p w14:paraId="263B1C2D" w14:textId="44B4C204" w:rsidR="00B125CA" w:rsidRDefault="00B125CA" w:rsidP="006C5497">
      <w:pPr>
        <w:jc w:val="center"/>
      </w:pPr>
    </w:p>
    <w:p w14:paraId="6583DADC" w14:textId="0E7007BC" w:rsidR="00B125CA" w:rsidRDefault="00B125CA" w:rsidP="006C5497">
      <w:pPr>
        <w:jc w:val="center"/>
      </w:pPr>
    </w:p>
    <w:p w14:paraId="7AE57AA7" w14:textId="509F642F" w:rsidR="00B125CA" w:rsidRDefault="00B125CA" w:rsidP="006C5497">
      <w:pPr>
        <w:jc w:val="center"/>
      </w:pPr>
    </w:p>
    <w:p w14:paraId="0DD3414F" w14:textId="7C7D2C31" w:rsidR="00B125CA" w:rsidRDefault="00B125CA" w:rsidP="006C5497">
      <w:pPr>
        <w:jc w:val="center"/>
      </w:pPr>
    </w:p>
    <w:p w14:paraId="6915525A" w14:textId="72053EF4" w:rsidR="00B125CA" w:rsidRDefault="00B125CA" w:rsidP="006C5497">
      <w:pPr>
        <w:jc w:val="center"/>
      </w:pPr>
    </w:p>
    <w:p w14:paraId="4E4D04EF" w14:textId="7BC32D0C" w:rsidR="00B125CA" w:rsidRDefault="00B125CA" w:rsidP="006C5497">
      <w:pPr>
        <w:jc w:val="center"/>
      </w:pPr>
    </w:p>
    <w:p w14:paraId="09A4189A" w14:textId="77508D81" w:rsidR="00B125CA" w:rsidRDefault="00B125CA" w:rsidP="006C5497">
      <w:pPr>
        <w:jc w:val="center"/>
      </w:pPr>
    </w:p>
    <w:p w14:paraId="68518B97" w14:textId="1B651845" w:rsidR="00B125CA" w:rsidRDefault="00B125CA" w:rsidP="006C5497">
      <w:pPr>
        <w:jc w:val="center"/>
      </w:pPr>
    </w:p>
    <w:p w14:paraId="1060BE93" w14:textId="6A7BC705" w:rsidR="00B125CA" w:rsidRDefault="00B125CA" w:rsidP="006C5497">
      <w:pPr>
        <w:jc w:val="center"/>
      </w:pPr>
    </w:p>
    <w:p w14:paraId="567EF217" w14:textId="77777777" w:rsidR="005A7951" w:rsidRDefault="005A7951" w:rsidP="006C5497">
      <w:pPr>
        <w:jc w:val="center"/>
      </w:pPr>
    </w:p>
    <w:p w14:paraId="60657A1B" w14:textId="3FA7F3B2" w:rsidR="00B125CA" w:rsidRDefault="00B125CA" w:rsidP="00B80181">
      <w:pPr>
        <w:spacing w:line="240" w:lineRule="auto"/>
        <w:jc w:val="center"/>
      </w:pPr>
      <w:r>
        <w:t>© Copyright by RISHABH PANDEY 2022</w:t>
      </w:r>
    </w:p>
    <w:p w14:paraId="01CEE3B2" w14:textId="7901C527" w:rsidR="009C4AFE" w:rsidRPr="000C2EE4" w:rsidRDefault="00B125CA" w:rsidP="00B80181">
      <w:pPr>
        <w:spacing w:line="240" w:lineRule="auto"/>
        <w:jc w:val="center"/>
      </w:pPr>
      <w:r>
        <w:t>All Rights Reserved.</w:t>
      </w:r>
    </w:p>
    <w:p w14:paraId="23994FEB" w14:textId="2F47D9DF" w:rsidR="001A7C4A" w:rsidRPr="00B80181" w:rsidRDefault="001A7C4A" w:rsidP="00B80181">
      <w:pPr>
        <w:spacing w:line="240" w:lineRule="auto"/>
        <w:jc w:val="left"/>
        <w:rPr>
          <w:rFonts w:eastAsiaTheme="majorEastAsia" w:cstheme="majorBidi"/>
          <w:b/>
          <w:color w:val="000000" w:themeColor="text1"/>
          <w:szCs w:val="32"/>
        </w:rPr>
        <w:sectPr w:rsidR="001A7C4A" w:rsidRPr="00B80181" w:rsidSect="001A7C4A">
          <w:footerReference w:type="default" r:id="rId9"/>
          <w:type w:val="continuous"/>
          <w:pgSz w:w="12240" w:h="15840"/>
          <w:pgMar w:top="1440" w:right="1440" w:bottom="1440" w:left="1440" w:header="720" w:footer="720" w:gutter="0"/>
          <w:pgNumType w:fmt="lowerRoman"/>
          <w:cols w:space="720"/>
          <w:docGrid w:linePitch="360"/>
        </w:sectPr>
      </w:pPr>
    </w:p>
    <w:p w14:paraId="35EC5D18" w14:textId="5224E321" w:rsidR="000C2EE4" w:rsidRDefault="00325620" w:rsidP="00B80181">
      <w:pPr>
        <w:pStyle w:val="Heading1"/>
        <w:numPr>
          <w:ilvl w:val="0"/>
          <w:numId w:val="0"/>
        </w:numPr>
      </w:pPr>
      <w:bookmarkStart w:id="0" w:name="_Toc118484055"/>
      <w:bookmarkStart w:id="1" w:name="_Toc118485267"/>
      <w:bookmarkStart w:id="2" w:name="_Toc121470221"/>
      <w:r>
        <w:lastRenderedPageBreak/>
        <w:t>Acknowledgments</w:t>
      </w:r>
      <w:bookmarkEnd w:id="0"/>
      <w:bookmarkEnd w:id="1"/>
      <w:bookmarkEnd w:id="2"/>
      <w:r w:rsidR="008813ED">
        <w:fldChar w:fldCharType="begin"/>
      </w:r>
      <w:r w:rsidR="008813ED">
        <w:instrText xml:space="preserve"> XE "</w:instrText>
      </w:r>
      <w:r w:rsidR="008813ED" w:rsidRPr="00DB6FE1">
        <w:instrText>Acknowledgements</w:instrText>
      </w:r>
      <w:r w:rsidR="008813ED">
        <w:instrText xml:space="preserve">" </w:instrText>
      </w:r>
      <w:r w:rsidR="008813ED">
        <w:fldChar w:fldCharType="end"/>
      </w:r>
    </w:p>
    <w:p w14:paraId="27AC1904" w14:textId="0393A58C" w:rsidR="00B94C1B" w:rsidRDefault="00B94C1B" w:rsidP="00920A21">
      <w:pPr>
        <w:rPr>
          <w:rFonts w:ascii="TimesNewRomanPSMT" w:hAnsi="TimesNewRomanPSMT"/>
        </w:rPr>
      </w:pPr>
      <w:r>
        <w:t xml:space="preserve">I would like to thank </w:t>
      </w:r>
      <w:r w:rsidR="00020C27">
        <w:t xml:space="preserve">my advisor, </w:t>
      </w:r>
      <w:r>
        <w:t>Dr. Chandra Rai</w:t>
      </w:r>
      <w:r w:rsidR="00A333F4">
        <w:t>,</w:t>
      </w:r>
      <w:r>
        <w:t xml:space="preserve"> for giving me this opportunity to pursue research under </w:t>
      </w:r>
      <w:r w:rsidR="00020C27">
        <w:t>his</w:t>
      </w:r>
      <w:r>
        <w:t xml:space="preserve"> </w:t>
      </w:r>
      <w:r w:rsidR="00D0298A">
        <w:t>guidance.</w:t>
      </w:r>
      <w:r w:rsidR="00A333F4">
        <w:t xml:space="preserve"> </w:t>
      </w:r>
      <w:r w:rsidR="00876A8B">
        <w:t>His</w:t>
      </w:r>
      <w:r w:rsidR="00D0298A">
        <w:t xml:space="preserve"> support and guidance have helped me </w:t>
      </w:r>
      <w:r w:rsidR="00813148">
        <w:t>grow professionally and personally.</w:t>
      </w:r>
      <w:r w:rsidR="00A333F4">
        <w:t xml:space="preserve"> </w:t>
      </w:r>
      <w:r w:rsidR="00813148">
        <w:t xml:space="preserve">I am highly thankful to </w:t>
      </w:r>
      <w:r w:rsidR="00B85536">
        <w:t xml:space="preserve">Dr. Ali Tinni, </w:t>
      </w:r>
      <w:r w:rsidR="00977437">
        <w:t>Dr. Carl Sondergeld</w:t>
      </w:r>
      <w:r w:rsidR="00195C16">
        <w:t xml:space="preserve">, </w:t>
      </w:r>
      <w:r w:rsidR="00813148">
        <w:t>Dr. Deepak Devegowda</w:t>
      </w:r>
      <w:r w:rsidR="003F5C10">
        <w:t>,</w:t>
      </w:r>
      <w:r w:rsidR="009E5F4B">
        <w:t xml:space="preserve"> </w:t>
      </w:r>
      <w:r w:rsidR="00195C16">
        <w:t>and Dr. Ben</w:t>
      </w:r>
      <w:r w:rsidR="005369DA">
        <w:t>jamin</w:t>
      </w:r>
      <w:r w:rsidR="00195C16">
        <w:t xml:space="preserve"> </w:t>
      </w:r>
      <w:r w:rsidR="00DE4D07">
        <w:t>Shiau</w:t>
      </w:r>
      <w:r w:rsidR="00195C16">
        <w:t xml:space="preserve"> </w:t>
      </w:r>
      <w:r w:rsidR="00813148">
        <w:rPr>
          <w:rFonts w:ascii="TimesNewRomanPSMT" w:hAnsi="TimesNewRomanPSMT"/>
        </w:rPr>
        <w:t xml:space="preserve">for their valuable inputs </w:t>
      </w:r>
      <w:r w:rsidR="00A333F4">
        <w:rPr>
          <w:rFonts w:ascii="TimesNewRomanPSMT" w:hAnsi="TimesNewRomanPSMT"/>
        </w:rPr>
        <w:t>towards</w:t>
      </w:r>
      <w:r w:rsidR="00813148">
        <w:rPr>
          <w:rFonts w:ascii="TimesNewRomanPSMT" w:hAnsi="TimesNewRomanPSMT"/>
        </w:rPr>
        <w:t xml:space="preserve"> my research</w:t>
      </w:r>
      <w:r w:rsidR="00233F80">
        <w:rPr>
          <w:rFonts w:ascii="TimesNewRomanPSMT" w:hAnsi="TimesNewRomanPSMT"/>
        </w:rPr>
        <w:t xml:space="preserve"> and academics.</w:t>
      </w:r>
    </w:p>
    <w:p w14:paraId="42ABCCF5" w14:textId="53E29D55" w:rsidR="00813148" w:rsidRDefault="00813148" w:rsidP="00920A21">
      <w:pPr>
        <w:rPr>
          <w:rFonts w:ascii="TimesNewRomanPSMT" w:hAnsi="TimesNewRomanPSMT"/>
        </w:rPr>
      </w:pPr>
    </w:p>
    <w:p w14:paraId="37BAA6E9" w14:textId="7A2A7353" w:rsidR="00813148" w:rsidRDefault="00813148" w:rsidP="00920A21">
      <w:pPr>
        <w:rPr>
          <w:rFonts w:ascii="TimesNewRomanPSMT" w:hAnsi="TimesNewRomanPSMT"/>
        </w:rPr>
      </w:pPr>
      <w:r>
        <w:rPr>
          <w:rFonts w:ascii="TimesNewRomanPSMT" w:hAnsi="TimesNewRomanPSMT"/>
        </w:rPr>
        <w:t xml:space="preserve">I would like to thank </w:t>
      </w:r>
      <w:r w:rsidR="003B214A">
        <w:rPr>
          <w:rFonts w:ascii="TimesNewRomanPSMT" w:hAnsi="TimesNewRomanPSMT"/>
        </w:rPr>
        <w:t>Dr. Mark Curtis</w:t>
      </w:r>
      <w:r w:rsidR="00D93256">
        <w:rPr>
          <w:rFonts w:ascii="TimesNewRomanPSMT" w:hAnsi="TimesNewRomanPSMT"/>
        </w:rPr>
        <w:t xml:space="preserve"> </w:t>
      </w:r>
      <w:r>
        <w:rPr>
          <w:rFonts w:ascii="TimesNewRomanPSMT" w:hAnsi="TimesNewRomanPSMT"/>
        </w:rPr>
        <w:t xml:space="preserve">for </w:t>
      </w:r>
      <w:r w:rsidR="00B907E3">
        <w:rPr>
          <w:rFonts w:ascii="TimesNewRomanPSMT" w:hAnsi="TimesNewRomanPSMT"/>
        </w:rPr>
        <w:t>his</w:t>
      </w:r>
      <w:r>
        <w:rPr>
          <w:rFonts w:ascii="TimesNewRomanPSMT" w:hAnsi="TimesNewRomanPSMT"/>
        </w:rPr>
        <w:t xml:space="preserve"> mentorship</w:t>
      </w:r>
      <w:r w:rsidR="003B214A">
        <w:rPr>
          <w:rFonts w:ascii="TimesNewRomanPSMT" w:hAnsi="TimesNewRomanPSMT"/>
        </w:rPr>
        <w:t xml:space="preserve"> and helping me become a better researcher.</w:t>
      </w:r>
      <w:r w:rsidR="00A333F4">
        <w:rPr>
          <w:rFonts w:ascii="TimesNewRomanPSMT" w:hAnsi="TimesNewRomanPSMT"/>
        </w:rPr>
        <w:t xml:space="preserve"> </w:t>
      </w:r>
      <w:r w:rsidR="003B214A">
        <w:rPr>
          <w:rFonts w:ascii="TimesNewRomanPSMT" w:hAnsi="TimesNewRomanPSMT"/>
        </w:rPr>
        <w:t>I would also like to thank fellow IC</w:t>
      </w:r>
      <w:r w:rsidR="003B214A" w:rsidRPr="003B214A">
        <w:rPr>
          <w:rFonts w:ascii="TimesNewRomanPSMT" w:hAnsi="TimesNewRomanPSMT"/>
          <w:vertAlign w:val="superscript"/>
        </w:rPr>
        <w:t>3</w:t>
      </w:r>
      <w:r>
        <w:rPr>
          <w:rFonts w:ascii="TimesNewRomanPSMT" w:hAnsi="TimesNewRomanPSMT"/>
        </w:rPr>
        <w:t xml:space="preserve"> </w:t>
      </w:r>
      <w:r w:rsidR="003B214A">
        <w:rPr>
          <w:rFonts w:ascii="TimesNewRomanPSMT" w:hAnsi="TimesNewRomanPSMT"/>
        </w:rPr>
        <w:t>colleagues, especially Gary</w:t>
      </w:r>
      <w:r w:rsidR="007B4411">
        <w:rPr>
          <w:rFonts w:ascii="TimesNewRomanPSMT" w:hAnsi="TimesNewRomanPSMT"/>
        </w:rPr>
        <w:t>,</w:t>
      </w:r>
      <w:r w:rsidR="00ED09AB">
        <w:rPr>
          <w:rFonts w:ascii="TimesNewRomanPSMT" w:hAnsi="TimesNewRomanPSMT"/>
        </w:rPr>
        <w:t xml:space="preserve"> </w:t>
      </w:r>
      <w:r w:rsidR="003B214A">
        <w:rPr>
          <w:rFonts w:ascii="TimesNewRomanPSMT" w:hAnsi="TimesNewRomanPSMT"/>
        </w:rPr>
        <w:t xml:space="preserve">for </w:t>
      </w:r>
      <w:r w:rsidR="00205F97">
        <w:rPr>
          <w:rFonts w:ascii="TimesNewRomanPSMT" w:hAnsi="TimesNewRomanPSMT"/>
        </w:rPr>
        <w:t xml:space="preserve">all </w:t>
      </w:r>
      <w:r w:rsidR="00502DA9">
        <w:rPr>
          <w:rFonts w:ascii="TimesNewRomanPSMT" w:hAnsi="TimesNewRomanPSMT"/>
        </w:rPr>
        <w:t>his</w:t>
      </w:r>
      <w:r w:rsidR="002C6474">
        <w:rPr>
          <w:rFonts w:ascii="TimesNewRomanPSMT" w:hAnsi="TimesNewRomanPSMT"/>
        </w:rPr>
        <w:t xml:space="preserve"> help</w:t>
      </w:r>
      <w:r w:rsidR="0060402B">
        <w:rPr>
          <w:rFonts w:ascii="TimesNewRomanPSMT" w:hAnsi="TimesNewRomanPSMT"/>
        </w:rPr>
        <w:t>.</w:t>
      </w:r>
      <w:r w:rsidR="00A333F4">
        <w:rPr>
          <w:rFonts w:ascii="TimesNewRomanPSMT" w:hAnsi="TimesNewRomanPSMT"/>
        </w:rPr>
        <w:t xml:space="preserve"> </w:t>
      </w:r>
      <w:r w:rsidR="009551B2">
        <w:rPr>
          <w:rFonts w:ascii="TimesNewRomanPSMT" w:hAnsi="TimesNewRomanPSMT"/>
        </w:rPr>
        <w:t xml:space="preserve">I would also like to thank </w:t>
      </w:r>
      <w:r w:rsidR="00ED09AB">
        <w:rPr>
          <w:rFonts w:ascii="TimesNewRomanPSMT" w:hAnsi="TimesNewRomanPSMT"/>
        </w:rPr>
        <w:t>Kach</w:t>
      </w:r>
      <w:r w:rsidR="00D601C1">
        <w:rPr>
          <w:rFonts w:ascii="TimesNewRomanPSMT" w:hAnsi="TimesNewRomanPSMT"/>
        </w:rPr>
        <w:t xml:space="preserve">i and </w:t>
      </w:r>
      <w:r w:rsidR="009551B2">
        <w:rPr>
          <w:rFonts w:ascii="TimesNewRomanPSMT" w:hAnsi="TimesNewRomanPSMT"/>
        </w:rPr>
        <w:t xml:space="preserve">Dr. Mandeep Kaur </w:t>
      </w:r>
      <w:r w:rsidR="00D601C1">
        <w:rPr>
          <w:rFonts w:ascii="TimesNewRomanPSMT" w:hAnsi="TimesNewRomanPSMT"/>
        </w:rPr>
        <w:t xml:space="preserve">from Applied Surfactant Laboratory </w:t>
      </w:r>
      <w:r w:rsidR="009551B2">
        <w:rPr>
          <w:rFonts w:ascii="TimesNewRomanPSMT" w:hAnsi="TimesNewRomanPSMT"/>
        </w:rPr>
        <w:t>for taking t</w:t>
      </w:r>
      <w:r w:rsidR="00D82A1F">
        <w:rPr>
          <w:rFonts w:ascii="TimesNewRomanPSMT" w:hAnsi="TimesNewRomanPSMT"/>
        </w:rPr>
        <w:t xml:space="preserve">he time to train me on </w:t>
      </w:r>
      <w:r w:rsidR="008A147E">
        <w:rPr>
          <w:rFonts w:ascii="TimesNewRomanPSMT" w:hAnsi="TimesNewRomanPSMT"/>
        </w:rPr>
        <w:t>equipmen</w:t>
      </w:r>
      <w:r w:rsidR="0000719B">
        <w:rPr>
          <w:rFonts w:ascii="TimesNewRomanPSMT" w:hAnsi="TimesNewRomanPSMT"/>
        </w:rPr>
        <w:t>t</w:t>
      </w:r>
      <w:r w:rsidR="003227E0">
        <w:rPr>
          <w:rFonts w:ascii="TimesNewRomanPSMT" w:hAnsi="TimesNewRomanPSMT"/>
        </w:rPr>
        <w:t xml:space="preserve"> in their lab.</w:t>
      </w:r>
    </w:p>
    <w:p w14:paraId="1AC9D6DE" w14:textId="77777777" w:rsidR="00020C27" w:rsidRDefault="00020C27" w:rsidP="00920A21">
      <w:pPr>
        <w:rPr>
          <w:rFonts w:ascii="TimesNewRomanPSMT" w:hAnsi="TimesNewRomanPSMT"/>
        </w:rPr>
      </w:pPr>
    </w:p>
    <w:p w14:paraId="4087BC87" w14:textId="3342919C" w:rsidR="009C4AFE" w:rsidRDefault="0060402B" w:rsidP="00920A21">
      <w:pPr>
        <w:rPr>
          <w:rFonts w:ascii="TimesNewRomanPSMT" w:hAnsi="TimesNewRomanPSMT"/>
        </w:rPr>
      </w:pPr>
      <w:r>
        <w:rPr>
          <w:rFonts w:ascii="TimesNewRomanPSMT" w:hAnsi="TimesNewRomanPSMT"/>
        </w:rPr>
        <w:t xml:space="preserve">Finally, I </w:t>
      </w:r>
      <w:r w:rsidR="00591CBC">
        <w:rPr>
          <w:rFonts w:ascii="TimesNewRomanPSMT" w:hAnsi="TimesNewRomanPSMT"/>
        </w:rPr>
        <w:t xml:space="preserve">would like to </w:t>
      </w:r>
      <w:r>
        <w:rPr>
          <w:rFonts w:ascii="TimesNewRomanPSMT" w:hAnsi="TimesNewRomanPSMT"/>
        </w:rPr>
        <w:t xml:space="preserve">thank my parents and family for </w:t>
      </w:r>
      <w:r w:rsidR="00020C27">
        <w:rPr>
          <w:rFonts w:ascii="TimesNewRomanPSMT" w:hAnsi="TimesNewRomanPSMT"/>
        </w:rPr>
        <w:t>their unconditional support and love.</w:t>
      </w:r>
      <w:r w:rsidR="00A333F4">
        <w:rPr>
          <w:rFonts w:ascii="TimesNewRomanPSMT" w:hAnsi="TimesNewRomanPSMT"/>
        </w:rPr>
        <w:t xml:space="preserve"> </w:t>
      </w:r>
      <w:r w:rsidR="00233F80">
        <w:rPr>
          <w:rFonts w:ascii="TimesNewRomanPSMT" w:hAnsi="TimesNewRomanPSMT"/>
        </w:rPr>
        <w:t xml:space="preserve">Special shoutout to my friends </w:t>
      </w:r>
      <w:r w:rsidR="009F20BB">
        <w:rPr>
          <w:rFonts w:ascii="TimesNewRomanPSMT" w:hAnsi="TimesNewRomanPSMT"/>
        </w:rPr>
        <w:t>Akshay</w:t>
      </w:r>
      <w:r w:rsidR="00353FDD">
        <w:rPr>
          <w:rFonts w:ascii="TimesNewRomanPSMT" w:hAnsi="TimesNewRomanPSMT"/>
        </w:rPr>
        <w:t xml:space="preserve"> and </w:t>
      </w:r>
      <w:r w:rsidR="009F20BB">
        <w:rPr>
          <w:rFonts w:ascii="TimesNewRomanPSMT" w:hAnsi="TimesNewRomanPSMT"/>
        </w:rPr>
        <w:t>Laura</w:t>
      </w:r>
      <w:r w:rsidR="00591CBC">
        <w:rPr>
          <w:rFonts w:ascii="TimesNewRomanPSMT" w:hAnsi="TimesNewRomanPSMT"/>
        </w:rPr>
        <w:t>,</w:t>
      </w:r>
      <w:r w:rsidR="009F20BB">
        <w:rPr>
          <w:rFonts w:ascii="TimesNewRomanPSMT" w:hAnsi="TimesNewRomanPSMT"/>
        </w:rPr>
        <w:t xml:space="preserve"> </w:t>
      </w:r>
      <w:r w:rsidR="00BF5781">
        <w:rPr>
          <w:rFonts w:ascii="TimesNewRomanPSMT" w:hAnsi="TimesNewRomanPSMT"/>
        </w:rPr>
        <w:t>whom</w:t>
      </w:r>
      <w:r w:rsidR="00B924BE">
        <w:rPr>
          <w:rFonts w:ascii="TimesNewRomanPSMT" w:hAnsi="TimesNewRomanPSMT"/>
        </w:rPr>
        <w:t xml:space="preserve"> I met here at OU, f</w:t>
      </w:r>
      <w:r w:rsidR="009F20BB">
        <w:rPr>
          <w:rFonts w:ascii="TimesNewRomanPSMT" w:hAnsi="TimesNewRomanPSMT"/>
        </w:rPr>
        <w:t>or making this journey fun</w:t>
      </w:r>
      <w:r w:rsidR="007B18F6">
        <w:rPr>
          <w:rFonts w:ascii="TimesNewRomanPSMT" w:hAnsi="TimesNewRomanPSMT"/>
        </w:rPr>
        <w:t>.</w:t>
      </w:r>
    </w:p>
    <w:p w14:paraId="6AD710BD" w14:textId="0813F6CC" w:rsidR="009C4AFE" w:rsidRPr="00327A41" w:rsidRDefault="009C4AFE" w:rsidP="009C4AFE">
      <w:pPr>
        <w:spacing w:line="240" w:lineRule="auto"/>
        <w:jc w:val="left"/>
        <w:rPr>
          <w:rFonts w:ascii="TimesNewRomanPSMT" w:hAnsi="TimesNewRomanPSMT"/>
        </w:rPr>
      </w:pPr>
      <w:r>
        <w:rPr>
          <w:rFonts w:ascii="TimesNewRomanPSMT" w:hAnsi="TimesNewRomanPSMT"/>
        </w:rPr>
        <w:br w:type="page"/>
      </w:r>
    </w:p>
    <w:p w14:paraId="6649DB30" w14:textId="5FA4F710" w:rsidR="00B4006A" w:rsidRDefault="0025366E" w:rsidP="00B4006A">
      <w:pPr>
        <w:pStyle w:val="Heading1"/>
        <w:numPr>
          <w:ilvl w:val="0"/>
          <w:numId w:val="0"/>
        </w:numPr>
      </w:pPr>
      <w:bookmarkStart w:id="3" w:name="_Toc118484056"/>
      <w:bookmarkStart w:id="4" w:name="_Toc118485268"/>
      <w:bookmarkStart w:id="5" w:name="_Toc121470222"/>
      <w:r>
        <w:lastRenderedPageBreak/>
        <w:t>Table of Contents</w:t>
      </w:r>
      <w:bookmarkEnd w:id="3"/>
      <w:bookmarkEnd w:id="4"/>
      <w:bookmarkEnd w:id="5"/>
    </w:p>
    <w:p w14:paraId="5435D1C2" w14:textId="17E78ABE" w:rsidR="006F7B7B" w:rsidRDefault="008D245E">
      <w:pPr>
        <w:pStyle w:val="TOC1"/>
        <w:tabs>
          <w:tab w:val="right" w:leader="dot" w:pos="9350"/>
        </w:tabs>
        <w:rPr>
          <w:rFonts w:asciiTheme="minorHAnsi" w:eastAsiaTheme="minorEastAsia" w:hAnsiTheme="minorHAnsi" w:cstheme="minorBidi"/>
          <w:bCs w:val="0"/>
          <w:noProof/>
        </w:rPr>
      </w:pPr>
      <w:r>
        <w:fldChar w:fldCharType="begin"/>
      </w:r>
      <w:r>
        <w:instrText xml:space="preserve"> TOC \o "1-5" \h \z \u </w:instrText>
      </w:r>
      <w:r>
        <w:fldChar w:fldCharType="separate"/>
      </w:r>
      <w:hyperlink w:anchor="_Toc121470221" w:history="1">
        <w:r w:rsidR="006F7B7B" w:rsidRPr="00A60BBF">
          <w:rPr>
            <w:rStyle w:val="Hyperlink"/>
            <w:rFonts w:eastAsiaTheme="majorEastAsia"/>
            <w:noProof/>
          </w:rPr>
          <w:t>Acknowledgments</w:t>
        </w:r>
        <w:r w:rsidR="006F7B7B">
          <w:rPr>
            <w:noProof/>
            <w:webHidden/>
          </w:rPr>
          <w:tab/>
        </w:r>
        <w:r w:rsidR="006F7B7B">
          <w:rPr>
            <w:noProof/>
            <w:webHidden/>
          </w:rPr>
          <w:fldChar w:fldCharType="begin"/>
        </w:r>
        <w:r w:rsidR="006F7B7B">
          <w:rPr>
            <w:noProof/>
            <w:webHidden/>
          </w:rPr>
          <w:instrText xml:space="preserve"> PAGEREF _Toc121470221 \h </w:instrText>
        </w:r>
        <w:r w:rsidR="006F7B7B">
          <w:rPr>
            <w:noProof/>
            <w:webHidden/>
          </w:rPr>
        </w:r>
        <w:r w:rsidR="006F7B7B">
          <w:rPr>
            <w:noProof/>
            <w:webHidden/>
          </w:rPr>
          <w:fldChar w:fldCharType="separate"/>
        </w:r>
        <w:r w:rsidR="006F7B7B">
          <w:rPr>
            <w:noProof/>
            <w:webHidden/>
          </w:rPr>
          <w:t>iv</w:t>
        </w:r>
        <w:r w:rsidR="006F7B7B">
          <w:rPr>
            <w:noProof/>
            <w:webHidden/>
          </w:rPr>
          <w:fldChar w:fldCharType="end"/>
        </w:r>
      </w:hyperlink>
    </w:p>
    <w:p w14:paraId="2FBCEC80" w14:textId="6406A943" w:rsidR="006F7B7B" w:rsidRDefault="006F7B7B">
      <w:pPr>
        <w:pStyle w:val="TOC1"/>
        <w:tabs>
          <w:tab w:val="right" w:leader="dot" w:pos="9350"/>
        </w:tabs>
        <w:rPr>
          <w:rFonts w:asciiTheme="minorHAnsi" w:eastAsiaTheme="minorEastAsia" w:hAnsiTheme="minorHAnsi" w:cstheme="minorBidi"/>
          <w:bCs w:val="0"/>
          <w:noProof/>
        </w:rPr>
      </w:pPr>
      <w:hyperlink w:anchor="_Toc121470222" w:history="1">
        <w:r w:rsidRPr="00A60BBF">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_Toc121470222 \h </w:instrText>
        </w:r>
        <w:r>
          <w:rPr>
            <w:noProof/>
            <w:webHidden/>
          </w:rPr>
        </w:r>
        <w:r>
          <w:rPr>
            <w:noProof/>
            <w:webHidden/>
          </w:rPr>
          <w:fldChar w:fldCharType="separate"/>
        </w:r>
        <w:r>
          <w:rPr>
            <w:noProof/>
            <w:webHidden/>
          </w:rPr>
          <w:t>v</w:t>
        </w:r>
        <w:r>
          <w:rPr>
            <w:noProof/>
            <w:webHidden/>
          </w:rPr>
          <w:fldChar w:fldCharType="end"/>
        </w:r>
      </w:hyperlink>
    </w:p>
    <w:p w14:paraId="7DC9A8FD" w14:textId="3FB02BD5" w:rsidR="006F7B7B" w:rsidRDefault="006F7B7B">
      <w:pPr>
        <w:pStyle w:val="TOC1"/>
        <w:tabs>
          <w:tab w:val="right" w:leader="dot" w:pos="9350"/>
        </w:tabs>
        <w:rPr>
          <w:rFonts w:asciiTheme="minorHAnsi" w:eastAsiaTheme="minorEastAsia" w:hAnsiTheme="minorHAnsi" w:cstheme="minorBidi"/>
          <w:bCs w:val="0"/>
          <w:noProof/>
        </w:rPr>
      </w:pPr>
      <w:hyperlink w:anchor="_Toc121470223" w:history="1">
        <w:r w:rsidRPr="00A60BBF">
          <w:rPr>
            <w:rStyle w:val="Hyperlink"/>
            <w:rFonts w:eastAsiaTheme="majorEastAsia"/>
            <w:noProof/>
          </w:rPr>
          <w:t>List of Figures</w:t>
        </w:r>
        <w:r>
          <w:rPr>
            <w:noProof/>
            <w:webHidden/>
          </w:rPr>
          <w:tab/>
        </w:r>
        <w:r>
          <w:rPr>
            <w:noProof/>
            <w:webHidden/>
          </w:rPr>
          <w:fldChar w:fldCharType="begin"/>
        </w:r>
        <w:r>
          <w:rPr>
            <w:noProof/>
            <w:webHidden/>
          </w:rPr>
          <w:instrText xml:space="preserve"> PAGEREF _Toc121470223 \h </w:instrText>
        </w:r>
        <w:r>
          <w:rPr>
            <w:noProof/>
            <w:webHidden/>
          </w:rPr>
        </w:r>
        <w:r>
          <w:rPr>
            <w:noProof/>
            <w:webHidden/>
          </w:rPr>
          <w:fldChar w:fldCharType="separate"/>
        </w:r>
        <w:r>
          <w:rPr>
            <w:noProof/>
            <w:webHidden/>
          </w:rPr>
          <w:t>vii</w:t>
        </w:r>
        <w:r>
          <w:rPr>
            <w:noProof/>
            <w:webHidden/>
          </w:rPr>
          <w:fldChar w:fldCharType="end"/>
        </w:r>
      </w:hyperlink>
    </w:p>
    <w:p w14:paraId="3C64DE7B" w14:textId="75853186" w:rsidR="006F7B7B" w:rsidRDefault="006F7B7B">
      <w:pPr>
        <w:pStyle w:val="TOC1"/>
        <w:tabs>
          <w:tab w:val="right" w:leader="dot" w:pos="9350"/>
        </w:tabs>
        <w:rPr>
          <w:rFonts w:asciiTheme="minorHAnsi" w:eastAsiaTheme="minorEastAsia" w:hAnsiTheme="minorHAnsi" w:cstheme="minorBidi"/>
          <w:bCs w:val="0"/>
          <w:noProof/>
        </w:rPr>
      </w:pPr>
      <w:hyperlink w:anchor="_Toc121470224" w:history="1">
        <w:r w:rsidRPr="00A60BBF">
          <w:rPr>
            <w:rStyle w:val="Hyperlink"/>
            <w:rFonts w:eastAsiaTheme="majorEastAsia"/>
            <w:noProof/>
          </w:rPr>
          <w:t>List of Tables</w:t>
        </w:r>
        <w:r>
          <w:rPr>
            <w:noProof/>
            <w:webHidden/>
          </w:rPr>
          <w:tab/>
        </w:r>
        <w:r>
          <w:rPr>
            <w:noProof/>
            <w:webHidden/>
          </w:rPr>
          <w:fldChar w:fldCharType="begin"/>
        </w:r>
        <w:r>
          <w:rPr>
            <w:noProof/>
            <w:webHidden/>
          </w:rPr>
          <w:instrText xml:space="preserve"> PAGEREF _Toc121470224 \h </w:instrText>
        </w:r>
        <w:r>
          <w:rPr>
            <w:noProof/>
            <w:webHidden/>
          </w:rPr>
        </w:r>
        <w:r>
          <w:rPr>
            <w:noProof/>
            <w:webHidden/>
          </w:rPr>
          <w:fldChar w:fldCharType="separate"/>
        </w:r>
        <w:r>
          <w:rPr>
            <w:noProof/>
            <w:webHidden/>
          </w:rPr>
          <w:t>xi</w:t>
        </w:r>
        <w:r>
          <w:rPr>
            <w:noProof/>
            <w:webHidden/>
          </w:rPr>
          <w:fldChar w:fldCharType="end"/>
        </w:r>
      </w:hyperlink>
    </w:p>
    <w:p w14:paraId="04B7F62B" w14:textId="400D1504" w:rsidR="006F7B7B" w:rsidRDefault="006F7B7B">
      <w:pPr>
        <w:pStyle w:val="TOC1"/>
        <w:tabs>
          <w:tab w:val="right" w:leader="dot" w:pos="9350"/>
        </w:tabs>
        <w:rPr>
          <w:rFonts w:asciiTheme="minorHAnsi" w:eastAsiaTheme="minorEastAsia" w:hAnsiTheme="minorHAnsi" w:cstheme="minorBidi"/>
          <w:bCs w:val="0"/>
          <w:noProof/>
        </w:rPr>
      </w:pPr>
      <w:hyperlink w:anchor="_Toc121470225" w:history="1">
        <w:r w:rsidRPr="00A60BBF">
          <w:rPr>
            <w:rStyle w:val="Hyperlink"/>
            <w:rFonts w:eastAsiaTheme="majorEastAsia"/>
            <w:noProof/>
          </w:rPr>
          <w:t>Abstract</w:t>
        </w:r>
        <w:r>
          <w:rPr>
            <w:noProof/>
            <w:webHidden/>
          </w:rPr>
          <w:tab/>
        </w:r>
        <w:r>
          <w:rPr>
            <w:noProof/>
            <w:webHidden/>
          </w:rPr>
          <w:fldChar w:fldCharType="begin"/>
        </w:r>
        <w:r>
          <w:rPr>
            <w:noProof/>
            <w:webHidden/>
          </w:rPr>
          <w:instrText xml:space="preserve"> PAGEREF _Toc121470225 \h </w:instrText>
        </w:r>
        <w:r>
          <w:rPr>
            <w:noProof/>
            <w:webHidden/>
          </w:rPr>
        </w:r>
        <w:r>
          <w:rPr>
            <w:noProof/>
            <w:webHidden/>
          </w:rPr>
          <w:fldChar w:fldCharType="separate"/>
        </w:r>
        <w:r>
          <w:rPr>
            <w:noProof/>
            <w:webHidden/>
          </w:rPr>
          <w:t>xii</w:t>
        </w:r>
        <w:r>
          <w:rPr>
            <w:noProof/>
            <w:webHidden/>
          </w:rPr>
          <w:fldChar w:fldCharType="end"/>
        </w:r>
      </w:hyperlink>
    </w:p>
    <w:p w14:paraId="206B8F2A" w14:textId="06DE7A5D" w:rsidR="006F7B7B" w:rsidRDefault="006F7B7B">
      <w:pPr>
        <w:pStyle w:val="TOC1"/>
        <w:tabs>
          <w:tab w:val="right" w:leader="dot" w:pos="9350"/>
        </w:tabs>
        <w:rPr>
          <w:rFonts w:asciiTheme="minorHAnsi" w:eastAsiaTheme="minorEastAsia" w:hAnsiTheme="minorHAnsi" w:cstheme="minorBidi"/>
          <w:bCs w:val="0"/>
          <w:noProof/>
        </w:rPr>
      </w:pPr>
      <w:hyperlink w:anchor="_Toc121470226" w:history="1">
        <w:r w:rsidRPr="00A60BBF">
          <w:rPr>
            <w:rStyle w:val="Hyperlink"/>
            <w:rFonts w:eastAsiaTheme="majorEastAsia"/>
            <w:noProof/>
          </w:rPr>
          <w:t>Chapter 1 : Introduction</w:t>
        </w:r>
        <w:r>
          <w:rPr>
            <w:noProof/>
            <w:webHidden/>
          </w:rPr>
          <w:tab/>
        </w:r>
        <w:r>
          <w:rPr>
            <w:noProof/>
            <w:webHidden/>
          </w:rPr>
          <w:fldChar w:fldCharType="begin"/>
        </w:r>
        <w:r>
          <w:rPr>
            <w:noProof/>
            <w:webHidden/>
          </w:rPr>
          <w:instrText xml:space="preserve"> PAGEREF _Toc121470226 \h </w:instrText>
        </w:r>
        <w:r>
          <w:rPr>
            <w:noProof/>
            <w:webHidden/>
          </w:rPr>
        </w:r>
        <w:r>
          <w:rPr>
            <w:noProof/>
            <w:webHidden/>
          </w:rPr>
          <w:fldChar w:fldCharType="separate"/>
        </w:r>
        <w:r>
          <w:rPr>
            <w:noProof/>
            <w:webHidden/>
          </w:rPr>
          <w:t>1</w:t>
        </w:r>
        <w:r>
          <w:rPr>
            <w:noProof/>
            <w:webHidden/>
          </w:rPr>
          <w:fldChar w:fldCharType="end"/>
        </w:r>
      </w:hyperlink>
    </w:p>
    <w:p w14:paraId="595FF2EE" w14:textId="12184312"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27" w:history="1">
        <w:r w:rsidRPr="00A60BBF">
          <w:rPr>
            <w:rStyle w:val="Hyperlink"/>
            <w:rFonts w:eastAsiaTheme="majorEastAsia"/>
            <w:noProof/>
          </w:rPr>
          <w:t>1.1 Organization of the Thesis</w:t>
        </w:r>
        <w:r>
          <w:rPr>
            <w:noProof/>
            <w:webHidden/>
          </w:rPr>
          <w:tab/>
        </w:r>
        <w:r>
          <w:rPr>
            <w:noProof/>
            <w:webHidden/>
          </w:rPr>
          <w:fldChar w:fldCharType="begin"/>
        </w:r>
        <w:r>
          <w:rPr>
            <w:noProof/>
            <w:webHidden/>
          </w:rPr>
          <w:instrText xml:space="preserve"> PAGEREF _Toc121470227 \h </w:instrText>
        </w:r>
        <w:r>
          <w:rPr>
            <w:noProof/>
            <w:webHidden/>
          </w:rPr>
        </w:r>
        <w:r>
          <w:rPr>
            <w:noProof/>
            <w:webHidden/>
          </w:rPr>
          <w:fldChar w:fldCharType="separate"/>
        </w:r>
        <w:r>
          <w:rPr>
            <w:noProof/>
            <w:webHidden/>
          </w:rPr>
          <w:t>2</w:t>
        </w:r>
        <w:r>
          <w:rPr>
            <w:noProof/>
            <w:webHidden/>
          </w:rPr>
          <w:fldChar w:fldCharType="end"/>
        </w:r>
      </w:hyperlink>
    </w:p>
    <w:p w14:paraId="50F788E6" w14:textId="50C2DDFB" w:rsidR="006F7B7B" w:rsidRDefault="006F7B7B">
      <w:pPr>
        <w:pStyle w:val="TOC1"/>
        <w:tabs>
          <w:tab w:val="right" w:leader="dot" w:pos="9350"/>
        </w:tabs>
        <w:rPr>
          <w:rFonts w:asciiTheme="minorHAnsi" w:eastAsiaTheme="minorEastAsia" w:hAnsiTheme="minorHAnsi" w:cstheme="minorBidi"/>
          <w:bCs w:val="0"/>
          <w:noProof/>
        </w:rPr>
      </w:pPr>
      <w:hyperlink w:anchor="_Toc121470228" w:history="1">
        <w:r w:rsidRPr="00A60BBF">
          <w:rPr>
            <w:rStyle w:val="Hyperlink"/>
            <w:rFonts w:eastAsiaTheme="majorEastAsia"/>
            <w:noProof/>
          </w:rPr>
          <w:t>Chapter 2 : Literature Review</w:t>
        </w:r>
        <w:r>
          <w:rPr>
            <w:noProof/>
            <w:webHidden/>
          </w:rPr>
          <w:tab/>
        </w:r>
        <w:r>
          <w:rPr>
            <w:noProof/>
            <w:webHidden/>
          </w:rPr>
          <w:fldChar w:fldCharType="begin"/>
        </w:r>
        <w:r>
          <w:rPr>
            <w:noProof/>
            <w:webHidden/>
          </w:rPr>
          <w:instrText xml:space="preserve"> PAGEREF _Toc121470228 \h </w:instrText>
        </w:r>
        <w:r>
          <w:rPr>
            <w:noProof/>
            <w:webHidden/>
          </w:rPr>
        </w:r>
        <w:r>
          <w:rPr>
            <w:noProof/>
            <w:webHidden/>
          </w:rPr>
          <w:fldChar w:fldCharType="separate"/>
        </w:r>
        <w:r>
          <w:rPr>
            <w:noProof/>
            <w:webHidden/>
          </w:rPr>
          <w:t>4</w:t>
        </w:r>
        <w:r>
          <w:rPr>
            <w:noProof/>
            <w:webHidden/>
          </w:rPr>
          <w:fldChar w:fldCharType="end"/>
        </w:r>
      </w:hyperlink>
    </w:p>
    <w:p w14:paraId="434BC3BC" w14:textId="24AD71A2"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29" w:history="1">
        <w:r w:rsidRPr="00A60BBF">
          <w:rPr>
            <w:rStyle w:val="Hyperlink"/>
            <w:rFonts w:eastAsiaTheme="majorEastAsia"/>
            <w:noProof/>
          </w:rPr>
          <w:t>2.1 Oil Recovery</w:t>
        </w:r>
        <w:r>
          <w:rPr>
            <w:noProof/>
            <w:webHidden/>
          </w:rPr>
          <w:tab/>
        </w:r>
        <w:r>
          <w:rPr>
            <w:noProof/>
            <w:webHidden/>
          </w:rPr>
          <w:fldChar w:fldCharType="begin"/>
        </w:r>
        <w:r>
          <w:rPr>
            <w:noProof/>
            <w:webHidden/>
          </w:rPr>
          <w:instrText xml:space="preserve"> PAGEREF _Toc121470229 \h </w:instrText>
        </w:r>
        <w:r>
          <w:rPr>
            <w:noProof/>
            <w:webHidden/>
          </w:rPr>
        </w:r>
        <w:r>
          <w:rPr>
            <w:noProof/>
            <w:webHidden/>
          </w:rPr>
          <w:fldChar w:fldCharType="separate"/>
        </w:r>
        <w:r>
          <w:rPr>
            <w:noProof/>
            <w:webHidden/>
          </w:rPr>
          <w:t>4</w:t>
        </w:r>
        <w:r>
          <w:rPr>
            <w:noProof/>
            <w:webHidden/>
          </w:rPr>
          <w:fldChar w:fldCharType="end"/>
        </w:r>
      </w:hyperlink>
    </w:p>
    <w:p w14:paraId="4CA0D784" w14:textId="6FD42EB4"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0" w:history="1">
        <w:r w:rsidRPr="00A60BBF">
          <w:rPr>
            <w:rStyle w:val="Hyperlink"/>
            <w:rFonts w:eastAsiaTheme="majorEastAsia"/>
            <w:noProof/>
          </w:rPr>
          <w:t>2.2 Enhanced Oil Recovery</w:t>
        </w:r>
        <w:r>
          <w:rPr>
            <w:noProof/>
            <w:webHidden/>
          </w:rPr>
          <w:tab/>
        </w:r>
        <w:r>
          <w:rPr>
            <w:noProof/>
            <w:webHidden/>
          </w:rPr>
          <w:fldChar w:fldCharType="begin"/>
        </w:r>
        <w:r>
          <w:rPr>
            <w:noProof/>
            <w:webHidden/>
          </w:rPr>
          <w:instrText xml:space="preserve"> PAGEREF _Toc121470230 \h </w:instrText>
        </w:r>
        <w:r>
          <w:rPr>
            <w:noProof/>
            <w:webHidden/>
          </w:rPr>
        </w:r>
        <w:r>
          <w:rPr>
            <w:noProof/>
            <w:webHidden/>
          </w:rPr>
          <w:fldChar w:fldCharType="separate"/>
        </w:r>
        <w:r>
          <w:rPr>
            <w:noProof/>
            <w:webHidden/>
          </w:rPr>
          <w:t>4</w:t>
        </w:r>
        <w:r>
          <w:rPr>
            <w:noProof/>
            <w:webHidden/>
          </w:rPr>
          <w:fldChar w:fldCharType="end"/>
        </w:r>
      </w:hyperlink>
    </w:p>
    <w:p w14:paraId="5178C316" w14:textId="12B6FECE"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1" w:history="1">
        <w:r w:rsidRPr="00A60BBF">
          <w:rPr>
            <w:rStyle w:val="Hyperlink"/>
            <w:rFonts w:eastAsiaTheme="majorEastAsia"/>
            <w:noProof/>
          </w:rPr>
          <w:t>2.3 Wettability</w:t>
        </w:r>
        <w:r>
          <w:rPr>
            <w:noProof/>
            <w:webHidden/>
          </w:rPr>
          <w:tab/>
        </w:r>
        <w:r>
          <w:rPr>
            <w:noProof/>
            <w:webHidden/>
          </w:rPr>
          <w:fldChar w:fldCharType="begin"/>
        </w:r>
        <w:r>
          <w:rPr>
            <w:noProof/>
            <w:webHidden/>
          </w:rPr>
          <w:instrText xml:space="preserve"> PAGEREF _Toc121470231 \h </w:instrText>
        </w:r>
        <w:r>
          <w:rPr>
            <w:noProof/>
            <w:webHidden/>
          </w:rPr>
        </w:r>
        <w:r>
          <w:rPr>
            <w:noProof/>
            <w:webHidden/>
          </w:rPr>
          <w:fldChar w:fldCharType="separate"/>
        </w:r>
        <w:r>
          <w:rPr>
            <w:noProof/>
            <w:webHidden/>
          </w:rPr>
          <w:t>5</w:t>
        </w:r>
        <w:r>
          <w:rPr>
            <w:noProof/>
            <w:webHidden/>
          </w:rPr>
          <w:fldChar w:fldCharType="end"/>
        </w:r>
      </w:hyperlink>
    </w:p>
    <w:p w14:paraId="20E0FE8F" w14:textId="5D2F3D25"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2" w:history="1">
        <w:r w:rsidRPr="00A60BBF">
          <w:rPr>
            <w:rStyle w:val="Hyperlink"/>
            <w:rFonts w:eastAsiaTheme="majorEastAsia"/>
            <w:noProof/>
          </w:rPr>
          <w:t>2.4 Surfactant Flooding</w:t>
        </w:r>
        <w:r>
          <w:rPr>
            <w:noProof/>
            <w:webHidden/>
          </w:rPr>
          <w:tab/>
        </w:r>
        <w:r>
          <w:rPr>
            <w:noProof/>
            <w:webHidden/>
          </w:rPr>
          <w:fldChar w:fldCharType="begin"/>
        </w:r>
        <w:r>
          <w:rPr>
            <w:noProof/>
            <w:webHidden/>
          </w:rPr>
          <w:instrText xml:space="preserve"> PAGEREF _Toc121470232 \h </w:instrText>
        </w:r>
        <w:r>
          <w:rPr>
            <w:noProof/>
            <w:webHidden/>
          </w:rPr>
        </w:r>
        <w:r>
          <w:rPr>
            <w:noProof/>
            <w:webHidden/>
          </w:rPr>
          <w:fldChar w:fldCharType="separate"/>
        </w:r>
        <w:r>
          <w:rPr>
            <w:noProof/>
            <w:webHidden/>
          </w:rPr>
          <w:t>6</w:t>
        </w:r>
        <w:r>
          <w:rPr>
            <w:noProof/>
            <w:webHidden/>
          </w:rPr>
          <w:fldChar w:fldCharType="end"/>
        </w:r>
      </w:hyperlink>
    </w:p>
    <w:p w14:paraId="72926613" w14:textId="70C5E21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3" w:history="1">
        <w:r w:rsidRPr="00A60BBF">
          <w:rPr>
            <w:rStyle w:val="Hyperlink"/>
            <w:rFonts w:eastAsiaTheme="majorEastAsia"/>
            <w:noProof/>
          </w:rPr>
          <w:t>2.5 Types of Surfactants</w:t>
        </w:r>
        <w:r>
          <w:rPr>
            <w:noProof/>
            <w:webHidden/>
          </w:rPr>
          <w:tab/>
        </w:r>
        <w:r>
          <w:rPr>
            <w:noProof/>
            <w:webHidden/>
          </w:rPr>
          <w:fldChar w:fldCharType="begin"/>
        </w:r>
        <w:r>
          <w:rPr>
            <w:noProof/>
            <w:webHidden/>
          </w:rPr>
          <w:instrText xml:space="preserve"> PAGEREF _Toc121470233 \h </w:instrText>
        </w:r>
        <w:r>
          <w:rPr>
            <w:noProof/>
            <w:webHidden/>
          </w:rPr>
        </w:r>
        <w:r>
          <w:rPr>
            <w:noProof/>
            <w:webHidden/>
          </w:rPr>
          <w:fldChar w:fldCharType="separate"/>
        </w:r>
        <w:r>
          <w:rPr>
            <w:noProof/>
            <w:webHidden/>
          </w:rPr>
          <w:t>6</w:t>
        </w:r>
        <w:r>
          <w:rPr>
            <w:noProof/>
            <w:webHidden/>
          </w:rPr>
          <w:fldChar w:fldCharType="end"/>
        </w:r>
      </w:hyperlink>
    </w:p>
    <w:p w14:paraId="7562D498" w14:textId="582FE0D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4" w:history="1">
        <w:r w:rsidRPr="00A60BBF">
          <w:rPr>
            <w:rStyle w:val="Hyperlink"/>
            <w:rFonts w:eastAsiaTheme="majorEastAsia"/>
            <w:noProof/>
          </w:rPr>
          <w:t>2.5 Wettability Alteration Mechanisms</w:t>
        </w:r>
        <w:r>
          <w:rPr>
            <w:noProof/>
            <w:webHidden/>
          </w:rPr>
          <w:tab/>
        </w:r>
        <w:r>
          <w:rPr>
            <w:noProof/>
            <w:webHidden/>
          </w:rPr>
          <w:fldChar w:fldCharType="begin"/>
        </w:r>
        <w:r>
          <w:rPr>
            <w:noProof/>
            <w:webHidden/>
          </w:rPr>
          <w:instrText xml:space="preserve"> PAGEREF _Toc121470234 \h </w:instrText>
        </w:r>
        <w:r>
          <w:rPr>
            <w:noProof/>
            <w:webHidden/>
          </w:rPr>
        </w:r>
        <w:r>
          <w:rPr>
            <w:noProof/>
            <w:webHidden/>
          </w:rPr>
          <w:fldChar w:fldCharType="separate"/>
        </w:r>
        <w:r>
          <w:rPr>
            <w:noProof/>
            <w:webHidden/>
          </w:rPr>
          <w:t>7</w:t>
        </w:r>
        <w:r>
          <w:rPr>
            <w:noProof/>
            <w:webHidden/>
          </w:rPr>
          <w:fldChar w:fldCharType="end"/>
        </w:r>
      </w:hyperlink>
    </w:p>
    <w:p w14:paraId="6B82C86C" w14:textId="3F6348D7" w:rsidR="006F7B7B" w:rsidRDefault="006F7B7B">
      <w:pPr>
        <w:pStyle w:val="TOC3"/>
        <w:tabs>
          <w:tab w:val="right" w:leader="dot" w:pos="9350"/>
        </w:tabs>
        <w:rPr>
          <w:rFonts w:asciiTheme="minorHAnsi" w:eastAsiaTheme="minorEastAsia" w:hAnsiTheme="minorHAnsi" w:cstheme="minorBidi"/>
          <w:noProof/>
          <w:szCs w:val="24"/>
        </w:rPr>
      </w:pPr>
      <w:hyperlink w:anchor="_Toc121470235" w:history="1">
        <w:r w:rsidRPr="00A60BBF">
          <w:rPr>
            <w:rStyle w:val="Hyperlink"/>
            <w:rFonts w:eastAsiaTheme="majorEastAsia"/>
            <w:noProof/>
          </w:rPr>
          <w:t>2.5.1 Ion Pair Formation Mechanism</w:t>
        </w:r>
        <w:r>
          <w:rPr>
            <w:noProof/>
            <w:webHidden/>
          </w:rPr>
          <w:tab/>
        </w:r>
        <w:r>
          <w:rPr>
            <w:noProof/>
            <w:webHidden/>
          </w:rPr>
          <w:fldChar w:fldCharType="begin"/>
        </w:r>
        <w:r>
          <w:rPr>
            <w:noProof/>
            <w:webHidden/>
          </w:rPr>
          <w:instrText xml:space="preserve"> PAGEREF _Toc121470235 \h </w:instrText>
        </w:r>
        <w:r>
          <w:rPr>
            <w:noProof/>
            <w:webHidden/>
          </w:rPr>
        </w:r>
        <w:r>
          <w:rPr>
            <w:noProof/>
            <w:webHidden/>
          </w:rPr>
          <w:fldChar w:fldCharType="separate"/>
        </w:r>
        <w:r>
          <w:rPr>
            <w:noProof/>
            <w:webHidden/>
          </w:rPr>
          <w:t>8</w:t>
        </w:r>
        <w:r>
          <w:rPr>
            <w:noProof/>
            <w:webHidden/>
          </w:rPr>
          <w:fldChar w:fldCharType="end"/>
        </w:r>
      </w:hyperlink>
    </w:p>
    <w:p w14:paraId="134FC528" w14:textId="1017951B" w:rsidR="006F7B7B" w:rsidRDefault="006F7B7B">
      <w:pPr>
        <w:pStyle w:val="TOC3"/>
        <w:tabs>
          <w:tab w:val="right" w:leader="dot" w:pos="9350"/>
        </w:tabs>
        <w:rPr>
          <w:rFonts w:asciiTheme="minorHAnsi" w:eastAsiaTheme="minorEastAsia" w:hAnsiTheme="minorHAnsi" w:cstheme="minorBidi"/>
          <w:noProof/>
          <w:szCs w:val="24"/>
        </w:rPr>
      </w:pPr>
      <w:hyperlink w:anchor="_Toc121470236" w:history="1">
        <w:r w:rsidRPr="00A60BBF">
          <w:rPr>
            <w:rStyle w:val="Hyperlink"/>
            <w:rFonts w:eastAsiaTheme="majorEastAsia"/>
            <w:noProof/>
          </w:rPr>
          <w:t>2.5.2 Surfactant Adsorption Mechanism</w:t>
        </w:r>
        <w:r>
          <w:rPr>
            <w:noProof/>
            <w:webHidden/>
          </w:rPr>
          <w:tab/>
        </w:r>
        <w:r>
          <w:rPr>
            <w:noProof/>
            <w:webHidden/>
          </w:rPr>
          <w:fldChar w:fldCharType="begin"/>
        </w:r>
        <w:r>
          <w:rPr>
            <w:noProof/>
            <w:webHidden/>
          </w:rPr>
          <w:instrText xml:space="preserve"> PAGEREF _Toc121470236 \h </w:instrText>
        </w:r>
        <w:r>
          <w:rPr>
            <w:noProof/>
            <w:webHidden/>
          </w:rPr>
        </w:r>
        <w:r>
          <w:rPr>
            <w:noProof/>
            <w:webHidden/>
          </w:rPr>
          <w:fldChar w:fldCharType="separate"/>
        </w:r>
        <w:r>
          <w:rPr>
            <w:noProof/>
            <w:webHidden/>
          </w:rPr>
          <w:t>8</w:t>
        </w:r>
        <w:r>
          <w:rPr>
            <w:noProof/>
            <w:webHidden/>
          </w:rPr>
          <w:fldChar w:fldCharType="end"/>
        </w:r>
      </w:hyperlink>
    </w:p>
    <w:p w14:paraId="764B54FD" w14:textId="79E0FFC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7" w:history="1">
        <w:r w:rsidRPr="00A60BBF">
          <w:rPr>
            <w:rStyle w:val="Hyperlink"/>
            <w:rFonts w:eastAsiaTheme="minorHAnsi"/>
            <w:noProof/>
          </w:rPr>
          <w:t>2.6 Critical Micelle Concentration</w:t>
        </w:r>
        <w:r>
          <w:rPr>
            <w:noProof/>
            <w:webHidden/>
          </w:rPr>
          <w:tab/>
        </w:r>
        <w:r>
          <w:rPr>
            <w:noProof/>
            <w:webHidden/>
          </w:rPr>
          <w:fldChar w:fldCharType="begin"/>
        </w:r>
        <w:r>
          <w:rPr>
            <w:noProof/>
            <w:webHidden/>
          </w:rPr>
          <w:instrText xml:space="preserve"> PAGEREF _Toc121470237 \h </w:instrText>
        </w:r>
        <w:r>
          <w:rPr>
            <w:noProof/>
            <w:webHidden/>
          </w:rPr>
        </w:r>
        <w:r>
          <w:rPr>
            <w:noProof/>
            <w:webHidden/>
          </w:rPr>
          <w:fldChar w:fldCharType="separate"/>
        </w:r>
        <w:r>
          <w:rPr>
            <w:noProof/>
            <w:webHidden/>
          </w:rPr>
          <w:t>9</w:t>
        </w:r>
        <w:r>
          <w:rPr>
            <w:noProof/>
            <w:webHidden/>
          </w:rPr>
          <w:fldChar w:fldCharType="end"/>
        </w:r>
      </w:hyperlink>
    </w:p>
    <w:p w14:paraId="4308565C" w14:textId="569028DD"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8" w:history="1">
        <w:r w:rsidRPr="00A60BBF">
          <w:rPr>
            <w:rStyle w:val="Hyperlink"/>
            <w:rFonts w:eastAsiaTheme="majorEastAsia"/>
            <w:noProof/>
          </w:rPr>
          <w:t>2.7 Surfactant Adsorption and Imbibition Studies using Synthetic Surfactants</w:t>
        </w:r>
        <w:r>
          <w:rPr>
            <w:noProof/>
            <w:webHidden/>
          </w:rPr>
          <w:tab/>
        </w:r>
        <w:r>
          <w:rPr>
            <w:noProof/>
            <w:webHidden/>
          </w:rPr>
          <w:fldChar w:fldCharType="begin"/>
        </w:r>
        <w:r>
          <w:rPr>
            <w:noProof/>
            <w:webHidden/>
          </w:rPr>
          <w:instrText xml:space="preserve"> PAGEREF _Toc121470238 \h </w:instrText>
        </w:r>
        <w:r>
          <w:rPr>
            <w:noProof/>
            <w:webHidden/>
          </w:rPr>
        </w:r>
        <w:r>
          <w:rPr>
            <w:noProof/>
            <w:webHidden/>
          </w:rPr>
          <w:fldChar w:fldCharType="separate"/>
        </w:r>
        <w:r>
          <w:rPr>
            <w:noProof/>
            <w:webHidden/>
          </w:rPr>
          <w:t>10</w:t>
        </w:r>
        <w:r>
          <w:rPr>
            <w:noProof/>
            <w:webHidden/>
          </w:rPr>
          <w:fldChar w:fldCharType="end"/>
        </w:r>
      </w:hyperlink>
    </w:p>
    <w:p w14:paraId="31E5E95B" w14:textId="15D82B08"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39" w:history="1">
        <w:r w:rsidRPr="00A60BBF">
          <w:rPr>
            <w:rStyle w:val="Hyperlink"/>
            <w:rFonts w:eastAsiaTheme="majorEastAsia"/>
            <w:noProof/>
          </w:rPr>
          <w:t>2.8 Surfactant Adsorption, Wettability Alteration, and Imbibition Studies using Biosurfactants</w:t>
        </w:r>
        <w:r>
          <w:rPr>
            <w:noProof/>
            <w:webHidden/>
          </w:rPr>
          <w:tab/>
        </w:r>
        <w:r>
          <w:rPr>
            <w:noProof/>
            <w:webHidden/>
          </w:rPr>
          <w:fldChar w:fldCharType="begin"/>
        </w:r>
        <w:r>
          <w:rPr>
            <w:noProof/>
            <w:webHidden/>
          </w:rPr>
          <w:instrText xml:space="preserve"> PAGEREF _Toc121470239 \h </w:instrText>
        </w:r>
        <w:r>
          <w:rPr>
            <w:noProof/>
            <w:webHidden/>
          </w:rPr>
        </w:r>
        <w:r>
          <w:rPr>
            <w:noProof/>
            <w:webHidden/>
          </w:rPr>
          <w:fldChar w:fldCharType="separate"/>
        </w:r>
        <w:r>
          <w:rPr>
            <w:noProof/>
            <w:webHidden/>
          </w:rPr>
          <w:t>12</w:t>
        </w:r>
        <w:r>
          <w:rPr>
            <w:noProof/>
            <w:webHidden/>
          </w:rPr>
          <w:fldChar w:fldCharType="end"/>
        </w:r>
      </w:hyperlink>
    </w:p>
    <w:p w14:paraId="5C360B0B" w14:textId="16C0DF1A" w:rsidR="006F7B7B" w:rsidRDefault="006F7B7B">
      <w:pPr>
        <w:pStyle w:val="TOC1"/>
        <w:tabs>
          <w:tab w:val="right" w:leader="dot" w:pos="9350"/>
        </w:tabs>
        <w:rPr>
          <w:rFonts w:asciiTheme="minorHAnsi" w:eastAsiaTheme="minorEastAsia" w:hAnsiTheme="minorHAnsi" w:cstheme="minorBidi"/>
          <w:bCs w:val="0"/>
          <w:noProof/>
        </w:rPr>
      </w:pPr>
      <w:hyperlink w:anchor="_Toc121470240" w:history="1">
        <w:r w:rsidRPr="00A60BBF">
          <w:rPr>
            <w:rStyle w:val="Hyperlink"/>
            <w:rFonts w:eastAsiaTheme="majorEastAsia"/>
            <w:noProof/>
          </w:rPr>
          <w:t>Chapter 3 : Measurement Procedures</w:t>
        </w:r>
        <w:r>
          <w:rPr>
            <w:noProof/>
            <w:webHidden/>
          </w:rPr>
          <w:tab/>
        </w:r>
        <w:r>
          <w:rPr>
            <w:noProof/>
            <w:webHidden/>
          </w:rPr>
          <w:fldChar w:fldCharType="begin"/>
        </w:r>
        <w:r>
          <w:rPr>
            <w:noProof/>
            <w:webHidden/>
          </w:rPr>
          <w:instrText xml:space="preserve"> PAGEREF _Toc121470240 \h </w:instrText>
        </w:r>
        <w:r>
          <w:rPr>
            <w:noProof/>
            <w:webHidden/>
          </w:rPr>
        </w:r>
        <w:r>
          <w:rPr>
            <w:noProof/>
            <w:webHidden/>
          </w:rPr>
          <w:fldChar w:fldCharType="separate"/>
        </w:r>
        <w:r>
          <w:rPr>
            <w:noProof/>
            <w:webHidden/>
          </w:rPr>
          <w:t>14</w:t>
        </w:r>
        <w:r>
          <w:rPr>
            <w:noProof/>
            <w:webHidden/>
          </w:rPr>
          <w:fldChar w:fldCharType="end"/>
        </w:r>
      </w:hyperlink>
    </w:p>
    <w:p w14:paraId="20528DAC" w14:textId="2649BBD8"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41" w:history="1">
        <w:r w:rsidRPr="00A60BBF">
          <w:rPr>
            <w:rStyle w:val="Hyperlink"/>
            <w:rFonts w:eastAsiaTheme="majorEastAsia"/>
            <w:noProof/>
          </w:rPr>
          <w:t>3.1 Petrophysical Analysis</w:t>
        </w:r>
        <w:r>
          <w:rPr>
            <w:noProof/>
            <w:webHidden/>
          </w:rPr>
          <w:tab/>
        </w:r>
        <w:r>
          <w:rPr>
            <w:noProof/>
            <w:webHidden/>
          </w:rPr>
          <w:fldChar w:fldCharType="begin"/>
        </w:r>
        <w:r>
          <w:rPr>
            <w:noProof/>
            <w:webHidden/>
          </w:rPr>
          <w:instrText xml:space="preserve"> PAGEREF _Toc121470241 \h </w:instrText>
        </w:r>
        <w:r>
          <w:rPr>
            <w:noProof/>
            <w:webHidden/>
          </w:rPr>
        </w:r>
        <w:r>
          <w:rPr>
            <w:noProof/>
            <w:webHidden/>
          </w:rPr>
          <w:fldChar w:fldCharType="separate"/>
        </w:r>
        <w:r>
          <w:rPr>
            <w:noProof/>
            <w:webHidden/>
          </w:rPr>
          <w:t>14</w:t>
        </w:r>
        <w:r>
          <w:rPr>
            <w:noProof/>
            <w:webHidden/>
          </w:rPr>
          <w:fldChar w:fldCharType="end"/>
        </w:r>
      </w:hyperlink>
    </w:p>
    <w:p w14:paraId="1A11CFCF" w14:textId="4C0EFFE5" w:rsidR="006F7B7B" w:rsidRDefault="006F7B7B">
      <w:pPr>
        <w:pStyle w:val="TOC3"/>
        <w:tabs>
          <w:tab w:val="right" w:leader="dot" w:pos="9350"/>
        </w:tabs>
        <w:rPr>
          <w:rFonts w:asciiTheme="minorHAnsi" w:eastAsiaTheme="minorEastAsia" w:hAnsiTheme="minorHAnsi" w:cstheme="minorBidi"/>
          <w:noProof/>
          <w:szCs w:val="24"/>
        </w:rPr>
      </w:pPr>
      <w:hyperlink w:anchor="_Toc121470242" w:history="1">
        <w:r w:rsidRPr="00A60BBF">
          <w:rPr>
            <w:rStyle w:val="Hyperlink"/>
            <w:rFonts w:eastAsiaTheme="majorEastAsia"/>
            <w:noProof/>
          </w:rPr>
          <w:t>3.1.1 Mineralogy Measurements</w:t>
        </w:r>
        <w:r>
          <w:rPr>
            <w:noProof/>
            <w:webHidden/>
          </w:rPr>
          <w:tab/>
        </w:r>
        <w:r>
          <w:rPr>
            <w:noProof/>
            <w:webHidden/>
          </w:rPr>
          <w:fldChar w:fldCharType="begin"/>
        </w:r>
        <w:r>
          <w:rPr>
            <w:noProof/>
            <w:webHidden/>
          </w:rPr>
          <w:instrText xml:space="preserve"> PAGEREF _Toc121470242 \h </w:instrText>
        </w:r>
        <w:r>
          <w:rPr>
            <w:noProof/>
            <w:webHidden/>
          </w:rPr>
        </w:r>
        <w:r>
          <w:rPr>
            <w:noProof/>
            <w:webHidden/>
          </w:rPr>
          <w:fldChar w:fldCharType="separate"/>
        </w:r>
        <w:r>
          <w:rPr>
            <w:noProof/>
            <w:webHidden/>
          </w:rPr>
          <w:t>14</w:t>
        </w:r>
        <w:r>
          <w:rPr>
            <w:noProof/>
            <w:webHidden/>
          </w:rPr>
          <w:fldChar w:fldCharType="end"/>
        </w:r>
      </w:hyperlink>
    </w:p>
    <w:p w14:paraId="385E0740" w14:textId="5D79289D" w:rsidR="006F7B7B" w:rsidRDefault="006F7B7B">
      <w:pPr>
        <w:pStyle w:val="TOC3"/>
        <w:tabs>
          <w:tab w:val="right" w:leader="dot" w:pos="9350"/>
        </w:tabs>
        <w:rPr>
          <w:rFonts w:asciiTheme="minorHAnsi" w:eastAsiaTheme="minorEastAsia" w:hAnsiTheme="minorHAnsi" w:cstheme="minorBidi"/>
          <w:noProof/>
          <w:szCs w:val="24"/>
        </w:rPr>
      </w:pPr>
      <w:hyperlink w:anchor="_Toc121470243" w:history="1">
        <w:r w:rsidRPr="00A60BBF">
          <w:rPr>
            <w:rStyle w:val="Hyperlink"/>
            <w:rFonts w:eastAsiaTheme="majorEastAsia"/>
            <w:noProof/>
          </w:rPr>
          <w:t>3.1.2 Porosity Measurements</w:t>
        </w:r>
        <w:r>
          <w:rPr>
            <w:noProof/>
            <w:webHidden/>
          </w:rPr>
          <w:tab/>
        </w:r>
        <w:r>
          <w:rPr>
            <w:noProof/>
            <w:webHidden/>
          </w:rPr>
          <w:fldChar w:fldCharType="begin"/>
        </w:r>
        <w:r>
          <w:rPr>
            <w:noProof/>
            <w:webHidden/>
          </w:rPr>
          <w:instrText xml:space="preserve"> PAGEREF _Toc121470243 \h </w:instrText>
        </w:r>
        <w:r>
          <w:rPr>
            <w:noProof/>
            <w:webHidden/>
          </w:rPr>
        </w:r>
        <w:r>
          <w:rPr>
            <w:noProof/>
            <w:webHidden/>
          </w:rPr>
          <w:fldChar w:fldCharType="separate"/>
        </w:r>
        <w:r>
          <w:rPr>
            <w:noProof/>
            <w:webHidden/>
          </w:rPr>
          <w:t>15</w:t>
        </w:r>
        <w:r>
          <w:rPr>
            <w:noProof/>
            <w:webHidden/>
          </w:rPr>
          <w:fldChar w:fldCharType="end"/>
        </w:r>
      </w:hyperlink>
    </w:p>
    <w:p w14:paraId="0A48EDEE" w14:textId="2ECF8A92" w:rsidR="006F7B7B" w:rsidRDefault="006F7B7B">
      <w:pPr>
        <w:pStyle w:val="TOC3"/>
        <w:tabs>
          <w:tab w:val="right" w:leader="dot" w:pos="9350"/>
        </w:tabs>
        <w:rPr>
          <w:rFonts w:asciiTheme="minorHAnsi" w:eastAsiaTheme="minorEastAsia" w:hAnsiTheme="minorHAnsi" w:cstheme="minorBidi"/>
          <w:noProof/>
          <w:szCs w:val="24"/>
        </w:rPr>
      </w:pPr>
      <w:hyperlink w:anchor="_Toc121470244" w:history="1">
        <w:r w:rsidRPr="00A60BBF">
          <w:rPr>
            <w:rStyle w:val="Hyperlink"/>
            <w:rFonts w:eastAsiaTheme="minorHAnsi"/>
            <w:noProof/>
          </w:rPr>
          <w:t>3.1.3 Total Organic Content Measurements</w:t>
        </w:r>
        <w:r>
          <w:rPr>
            <w:noProof/>
            <w:webHidden/>
          </w:rPr>
          <w:tab/>
        </w:r>
        <w:r>
          <w:rPr>
            <w:noProof/>
            <w:webHidden/>
          </w:rPr>
          <w:fldChar w:fldCharType="begin"/>
        </w:r>
        <w:r>
          <w:rPr>
            <w:noProof/>
            <w:webHidden/>
          </w:rPr>
          <w:instrText xml:space="preserve"> PAGEREF _Toc121470244 \h </w:instrText>
        </w:r>
        <w:r>
          <w:rPr>
            <w:noProof/>
            <w:webHidden/>
          </w:rPr>
        </w:r>
        <w:r>
          <w:rPr>
            <w:noProof/>
            <w:webHidden/>
          </w:rPr>
          <w:fldChar w:fldCharType="separate"/>
        </w:r>
        <w:r>
          <w:rPr>
            <w:noProof/>
            <w:webHidden/>
          </w:rPr>
          <w:t>15</w:t>
        </w:r>
        <w:r>
          <w:rPr>
            <w:noProof/>
            <w:webHidden/>
          </w:rPr>
          <w:fldChar w:fldCharType="end"/>
        </w:r>
      </w:hyperlink>
    </w:p>
    <w:p w14:paraId="2ADC8879" w14:textId="475D7F09"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45" w:history="1">
        <w:r w:rsidRPr="00A60BBF">
          <w:rPr>
            <w:rStyle w:val="Hyperlink"/>
            <w:rFonts w:eastAsiaTheme="minorHAnsi"/>
            <w:noProof/>
          </w:rPr>
          <w:t>3.2 Fluid Characterization</w:t>
        </w:r>
        <w:r>
          <w:rPr>
            <w:noProof/>
            <w:webHidden/>
          </w:rPr>
          <w:tab/>
        </w:r>
        <w:r>
          <w:rPr>
            <w:noProof/>
            <w:webHidden/>
          </w:rPr>
          <w:fldChar w:fldCharType="begin"/>
        </w:r>
        <w:r>
          <w:rPr>
            <w:noProof/>
            <w:webHidden/>
          </w:rPr>
          <w:instrText xml:space="preserve"> PAGEREF _Toc121470245 \h </w:instrText>
        </w:r>
        <w:r>
          <w:rPr>
            <w:noProof/>
            <w:webHidden/>
          </w:rPr>
        </w:r>
        <w:r>
          <w:rPr>
            <w:noProof/>
            <w:webHidden/>
          </w:rPr>
          <w:fldChar w:fldCharType="separate"/>
        </w:r>
        <w:r>
          <w:rPr>
            <w:noProof/>
            <w:webHidden/>
          </w:rPr>
          <w:t>15</w:t>
        </w:r>
        <w:r>
          <w:rPr>
            <w:noProof/>
            <w:webHidden/>
          </w:rPr>
          <w:fldChar w:fldCharType="end"/>
        </w:r>
      </w:hyperlink>
    </w:p>
    <w:p w14:paraId="696C4898" w14:textId="6C6DD851" w:rsidR="006F7B7B" w:rsidRDefault="006F7B7B">
      <w:pPr>
        <w:pStyle w:val="TOC3"/>
        <w:tabs>
          <w:tab w:val="right" w:leader="dot" w:pos="9350"/>
        </w:tabs>
        <w:rPr>
          <w:rFonts w:asciiTheme="minorHAnsi" w:eastAsiaTheme="minorEastAsia" w:hAnsiTheme="minorHAnsi" w:cstheme="minorBidi"/>
          <w:noProof/>
          <w:szCs w:val="24"/>
        </w:rPr>
      </w:pPr>
      <w:hyperlink w:anchor="_Toc121470246" w:history="1">
        <w:r w:rsidRPr="00A60BBF">
          <w:rPr>
            <w:rStyle w:val="Hyperlink"/>
            <w:rFonts w:eastAsiaTheme="minorHAnsi"/>
            <w:noProof/>
          </w:rPr>
          <w:t>3.2.1 Density Measurements</w:t>
        </w:r>
        <w:r>
          <w:rPr>
            <w:noProof/>
            <w:webHidden/>
          </w:rPr>
          <w:tab/>
        </w:r>
        <w:r>
          <w:rPr>
            <w:noProof/>
            <w:webHidden/>
          </w:rPr>
          <w:fldChar w:fldCharType="begin"/>
        </w:r>
        <w:r>
          <w:rPr>
            <w:noProof/>
            <w:webHidden/>
          </w:rPr>
          <w:instrText xml:space="preserve"> PAGEREF _Toc121470246 \h </w:instrText>
        </w:r>
        <w:r>
          <w:rPr>
            <w:noProof/>
            <w:webHidden/>
          </w:rPr>
        </w:r>
        <w:r>
          <w:rPr>
            <w:noProof/>
            <w:webHidden/>
          </w:rPr>
          <w:fldChar w:fldCharType="separate"/>
        </w:r>
        <w:r>
          <w:rPr>
            <w:noProof/>
            <w:webHidden/>
          </w:rPr>
          <w:t>16</w:t>
        </w:r>
        <w:r>
          <w:rPr>
            <w:noProof/>
            <w:webHidden/>
          </w:rPr>
          <w:fldChar w:fldCharType="end"/>
        </w:r>
      </w:hyperlink>
    </w:p>
    <w:p w14:paraId="7A29E9B9" w14:textId="51B2A08B" w:rsidR="006F7B7B" w:rsidRDefault="006F7B7B">
      <w:pPr>
        <w:pStyle w:val="TOC3"/>
        <w:tabs>
          <w:tab w:val="right" w:leader="dot" w:pos="9350"/>
        </w:tabs>
        <w:rPr>
          <w:rFonts w:asciiTheme="minorHAnsi" w:eastAsiaTheme="minorEastAsia" w:hAnsiTheme="minorHAnsi" w:cstheme="minorBidi"/>
          <w:noProof/>
          <w:szCs w:val="24"/>
        </w:rPr>
      </w:pPr>
      <w:hyperlink w:anchor="_Toc121470247" w:history="1">
        <w:r w:rsidRPr="00A60BBF">
          <w:rPr>
            <w:rStyle w:val="Hyperlink"/>
            <w:rFonts w:eastAsiaTheme="majorEastAsia"/>
            <w:noProof/>
          </w:rPr>
          <w:t>3.2.2 Surfactant Stability Tests</w:t>
        </w:r>
        <w:r>
          <w:rPr>
            <w:noProof/>
            <w:webHidden/>
          </w:rPr>
          <w:tab/>
        </w:r>
        <w:r>
          <w:rPr>
            <w:noProof/>
            <w:webHidden/>
          </w:rPr>
          <w:fldChar w:fldCharType="begin"/>
        </w:r>
        <w:r>
          <w:rPr>
            <w:noProof/>
            <w:webHidden/>
          </w:rPr>
          <w:instrText xml:space="preserve"> PAGEREF _Toc121470247 \h </w:instrText>
        </w:r>
        <w:r>
          <w:rPr>
            <w:noProof/>
            <w:webHidden/>
          </w:rPr>
        </w:r>
        <w:r>
          <w:rPr>
            <w:noProof/>
            <w:webHidden/>
          </w:rPr>
          <w:fldChar w:fldCharType="separate"/>
        </w:r>
        <w:r>
          <w:rPr>
            <w:noProof/>
            <w:webHidden/>
          </w:rPr>
          <w:t>16</w:t>
        </w:r>
        <w:r>
          <w:rPr>
            <w:noProof/>
            <w:webHidden/>
          </w:rPr>
          <w:fldChar w:fldCharType="end"/>
        </w:r>
      </w:hyperlink>
    </w:p>
    <w:p w14:paraId="34F85DBC" w14:textId="5AB57595" w:rsidR="006F7B7B" w:rsidRDefault="006F7B7B">
      <w:pPr>
        <w:pStyle w:val="TOC3"/>
        <w:tabs>
          <w:tab w:val="right" w:leader="dot" w:pos="9350"/>
        </w:tabs>
        <w:rPr>
          <w:rFonts w:asciiTheme="minorHAnsi" w:eastAsiaTheme="minorEastAsia" w:hAnsiTheme="minorHAnsi" w:cstheme="minorBidi"/>
          <w:noProof/>
          <w:szCs w:val="24"/>
        </w:rPr>
      </w:pPr>
      <w:hyperlink w:anchor="_Toc121470248" w:history="1">
        <w:r w:rsidRPr="00A60BBF">
          <w:rPr>
            <w:rStyle w:val="Hyperlink"/>
            <w:rFonts w:eastAsiaTheme="majorEastAsia"/>
            <w:noProof/>
          </w:rPr>
          <w:t>3.2.3 Critical Micelle Concentration Measurements</w:t>
        </w:r>
        <w:r>
          <w:rPr>
            <w:noProof/>
            <w:webHidden/>
          </w:rPr>
          <w:tab/>
        </w:r>
        <w:r>
          <w:rPr>
            <w:noProof/>
            <w:webHidden/>
          </w:rPr>
          <w:fldChar w:fldCharType="begin"/>
        </w:r>
        <w:r>
          <w:rPr>
            <w:noProof/>
            <w:webHidden/>
          </w:rPr>
          <w:instrText xml:space="preserve"> PAGEREF _Toc121470248 \h </w:instrText>
        </w:r>
        <w:r>
          <w:rPr>
            <w:noProof/>
            <w:webHidden/>
          </w:rPr>
        </w:r>
        <w:r>
          <w:rPr>
            <w:noProof/>
            <w:webHidden/>
          </w:rPr>
          <w:fldChar w:fldCharType="separate"/>
        </w:r>
        <w:r>
          <w:rPr>
            <w:noProof/>
            <w:webHidden/>
          </w:rPr>
          <w:t>16</w:t>
        </w:r>
        <w:r>
          <w:rPr>
            <w:noProof/>
            <w:webHidden/>
          </w:rPr>
          <w:fldChar w:fldCharType="end"/>
        </w:r>
      </w:hyperlink>
    </w:p>
    <w:p w14:paraId="3730D522" w14:textId="4C9C8EFE" w:rsidR="006F7B7B" w:rsidRDefault="006F7B7B">
      <w:pPr>
        <w:pStyle w:val="TOC3"/>
        <w:tabs>
          <w:tab w:val="right" w:leader="dot" w:pos="9350"/>
        </w:tabs>
        <w:rPr>
          <w:rFonts w:asciiTheme="minorHAnsi" w:eastAsiaTheme="minorEastAsia" w:hAnsiTheme="minorHAnsi" w:cstheme="minorBidi"/>
          <w:noProof/>
          <w:szCs w:val="24"/>
        </w:rPr>
      </w:pPr>
      <w:hyperlink w:anchor="_Toc121470249" w:history="1">
        <w:r w:rsidRPr="00A60BBF">
          <w:rPr>
            <w:rStyle w:val="Hyperlink"/>
            <w:rFonts w:eastAsiaTheme="majorEastAsia"/>
            <w:noProof/>
          </w:rPr>
          <w:t>3.2.4 Interfacial Tension Measurements</w:t>
        </w:r>
        <w:r>
          <w:rPr>
            <w:noProof/>
            <w:webHidden/>
          </w:rPr>
          <w:tab/>
        </w:r>
        <w:r>
          <w:rPr>
            <w:noProof/>
            <w:webHidden/>
          </w:rPr>
          <w:fldChar w:fldCharType="begin"/>
        </w:r>
        <w:r>
          <w:rPr>
            <w:noProof/>
            <w:webHidden/>
          </w:rPr>
          <w:instrText xml:space="preserve"> PAGEREF _Toc121470249 \h </w:instrText>
        </w:r>
        <w:r>
          <w:rPr>
            <w:noProof/>
            <w:webHidden/>
          </w:rPr>
        </w:r>
        <w:r>
          <w:rPr>
            <w:noProof/>
            <w:webHidden/>
          </w:rPr>
          <w:fldChar w:fldCharType="separate"/>
        </w:r>
        <w:r>
          <w:rPr>
            <w:noProof/>
            <w:webHidden/>
          </w:rPr>
          <w:t>18</w:t>
        </w:r>
        <w:r>
          <w:rPr>
            <w:noProof/>
            <w:webHidden/>
          </w:rPr>
          <w:fldChar w:fldCharType="end"/>
        </w:r>
      </w:hyperlink>
    </w:p>
    <w:p w14:paraId="676D390A" w14:textId="5B42B24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0" w:history="1">
        <w:r w:rsidRPr="00A60BBF">
          <w:rPr>
            <w:rStyle w:val="Hyperlink"/>
            <w:rFonts w:eastAsiaTheme="majorEastAsia"/>
            <w:noProof/>
          </w:rPr>
          <w:t>3.3 Contact Angle Measurements</w:t>
        </w:r>
        <w:r>
          <w:rPr>
            <w:noProof/>
            <w:webHidden/>
          </w:rPr>
          <w:tab/>
        </w:r>
        <w:r>
          <w:rPr>
            <w:noProof/>
            <w:webHidden/>
          </w:rPr>
          <w:fldChar w:fldCharType="begin"/>
        </w:r>
        <w:r>
          <w:rPr>
            <w:noProof/>
            <w:webHidden/>
          </w:rPr>
          <w:instrText xml:space="preserve"> PAGEREF _Toc121470250 \h </w:instrText>
        </w:r>
        <w:r>
          <w:rPr>
            <w:noProof/>
            <w:webHidden/>
          </w:rPr>
        </w:r>
        <w:r>
          <w:rPr>
            <w:noProof/>
            <w:webHidden/>
          </w:rPr>
          <w:fldChar w:fldCharType="separate"/>
        </w:r>
        <w:r>
          <w:rPr>
            <w:noProof/>
            <w:webHidden/>
          </w:rPr>
          <w:t>19</w:t>
        </w:r>
        <w:r>
          <w:rPr>
            <w:noProof/>
            <w:webHidden/>
          </w:rPr>
          <w:fldChar w:fldCharType="end"/>
        </w:r>
      </w:hyperlink>
    </w:p>
    <w:p w14:paraId="64321D9B" w14:textId="23D6FA74"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1" w:history="1">
        <w:r w:rsidRPr="00A60BBF">
          <w:rPr>
            <w:rStyle w:val="Hyperlink"/>
            <w:rFonts w:eastAsiaTheme="majorEastAsia"/>
            <w:noProof/>
          </w:rPr>
          <w:t>3.4 Surfactant Adsorption Measurements</w:t>
        </w:r>
        <w:r>
          <w:rPr>
            <w:noProof/>
            <w:webHidden/>
          </w:rPr>
          <w:tab/>
        </w:r>
        <w:r>
          <w:rPr>
            <w:noProof/>
            <w:webHidden/>
          </w:rPr>
          <w:fldChar w:fldCharType="begin"/>
        </w:r>
        <w:r>
          <w:rPr>
            <w:noProof/>
            <w:webHidden/>
          </w:rPr>
          <w:instrText xml:space="preserve"> PAGEREF _Toc121470251 \h </w:instrText>
        </w:r>
        <w:r>
          <w:rPr>
            <w:noProof/>
            <w:webHidden/>
          </w:rPr>
        </w:r>
        <w:r>
          <w:rPr>
            <w:noProof/>
            <w:webHidden/>
          </w:rPr>
          <w:fldChar w:fldCharType="separate"/>
        </w:r>
        <w:r>
          <w:rPr>
            <w:noProof/>
            <w:webHidden/>
          </w:rPr>
          <w:t>20</w:t>
        </w:r>
        <w:r>
          <w:rPr>
            <w:noProof/>
            <w:webHidden/>
          </w:rPr>
          <w:fldChar w:fldCharType="end"/>
        </w:r>
      </w:hyperlink>
    </w:p>
    <w:p w14:paraId="71A6AF81" w14:textId="5BFEA0AF"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2" w:history="1">
        <w:r w:rsidRPr="00A60BBF">
          <w:rPr>
            <w:rStyle w:val="Hyperlink"/>
            <w:rFonts w:eastAsiaTheme="majorEastAsia"/>
            <w:noProof/>
          </w:rPr>
          <w:t>3.5 Imbibition Experiments using Produced Brine and Surfactants</w:t>
        </w:r>
        <w:r>
          <w:rPr>
            <w:noProof/>
            <w:webHidden/>
          </w:rPr>
          <w:tab/>
        </w:r>
        <w:r>
          <w:rPr>
            <w:noProof/>
            <w:webHidden/>
          </w:rPr>
          <w:fldChar w:fldCharType="begin"/>
        </w:r>
        <w:r>
          <w:rPr>
            <w:noProof/>
            <w:webHidden/>
          </w:rPr>
          <w:instrText xml:space="preserve"> PAGEREF _Toc121470252 \h </w:instrText>
        </w:r>
        <w:r>
          <w:rPr>
            <w:noProof/>
            <w:webHidden/>
          </w:rPr>
        </w:r>
        <w:r>
          <w:rPr>
            <w:noProof/>
            <w:webHidden/>
          </w:rPr>
          <w:fldChar w:fldCharType="separate"/>
        </w:r>
        <w:r>
          <w:rPr>
            <w:noProof/>
            <w:webHidden/>
          </w:rPr>
          <w:t>23</w:t>
        </w:r>
        <w:r>
          <w:rPr>
            <w:noProof/>
            <w:webHidden/>
          </w:rPr>
          <w:fldChar w:fldCharType="end"/>
        </w:r>
      </w:hyperlink>
    </w:p>
    <w:p w14:paraId="22A7CCCB" w14:textId="0735C999"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3" w:history="1">
        <w:r w:rsidRPr="00A60BBF">
          <w:rPr>
            <w:rStyle w:val="Hyperlink"/>
            <w:rFonts w:eastAsiaTheme="majorEastAsia"/>
            <w:noProof/>
          </w:rPr>
          <w:t>3.6 Determination of Water and Oil Region in NMR T1-T2 Maps</w:t>
        </w:r>
        <w:r>
          <w:rPr>
            <w:noProof/>
            <w:webHidden/>
          </w:rPr>
          <w:tab/>
        </w:r>
        <w:r>
          <w:rPr>
            <w:noProof/>
            <w:webHidden/>
          </w:rPr>
          <w:fldChar w:fldCharType="begin"/>
        </w:r>
        <w:r>
          <w:rPr>
            <w:noProof/>
            <w:webHidden/>
          </w:rPr>
          <w:instrText xml:space="preserve"> PAGEREF _Toc121470253 \h </w:instrText>
        </w:r>
        <w:r>
          <w:rPr>
            <w:noProof/>
            <w:webHidden/>
          </w:rPr>
        </w:r>
        <w:r>
          <w:rPr>
            <w:noProof/>
            <w:webHidden/>
          </w:rPr>
          <w:fldChar w:fldCharType="separate"/>
        </w:r>
        <w:r>
          <w:rPr>
            <w:noProof/>
            <w:webHidden/>
          </w:rPr>
          <w:t>29</w:t>
        </w:r>
        <w:r>
          <w:rPr>
            <w:noProof/>
            <w:webHidden/>
          </w:rPr>
          <w:fldChar w:fldCharType="end"/>
        </w:r>
      </w:hyperlink>
    </w:p>
    <w:p w14:paraId="1A685500" w14:textId="0AA2FEE1" w:rsidR="006F7B7B" w:rsidRDefault="006F7B7B">
      <w:pPr>
        <w:pStyle w:val="TOC1"/>
        <w:tabs>
          <w:tab w:val="right" w:leader="dot" w:pos="9350"/>
        </w:tabs>
        <w:rPr>
          <w:rFonts w:asciiTheme="minorHAnsi" w:eastAsiaTheme="minorEastAsia" w:hAnsiTheme="minorHAnsi" w:cstheme="minorBidi"/>
          <w:bCs w:val="0"/>
          <w:noProof/>
        </w:rPr>
      </w:pPr>
      <w:hyperlink w:anchor="_Toc121470254" w:history="1">
        <w:r w:rsidRPr="00A60BBF">
          <w:rPr>
            <w:rStyle w:val="Hyperlink"/>
            <w:rFonts w:eastAsiaTheme="majorEastAsia"/>
            <w:noProof/>
          </w:rPr>
          <w:t>Chapter 4 : Results and Discussion</w:t>
        </w:r>
        <w:r>
          <w:rPr>
            <w:noProof/>
            <w:webHidden/>
          </w:rPr>
          <w:tab/>
        </w:r>
        <w:r>
          <w:rPr>
            <w:noProof/>
            <w:webHidden/>
          </w:rPr>
          <w:fldChar w:fldCharType="begin"/>
        </w:r>
        <w:r>
          <w:rPr>
            <w:noProof/>
            <w:webHidden/>
          </w:rPr>
          <w:instrText xml:space="preserve"> PAGEREF _Toc121470254 \h </w:instrText>
        </w:r>
        <w:r>
          <w:rPr>
            <w:noProof/>
            <w:webHidden/>
          </w:rPr>
        </w:r>
        <w:r>
          <w:rPr>
            <w:noProof/>
            <w:webHidden/>
          </w:rPr>
          <w:fldChar w:fldCharType="separate"/>
        </w:r>
        <w:r>
          <w:rPr>
            <w:noProof/>
            <w:webHidden/>
          </w:rPr>
          <w:t>31</w:t>
        </w:r>
        <w:r>
          <w:rPr>
            <w:noProof/>
            <w:webHidden/>
          </w:rPr>
          <w:fldChar w:fldCharType="end"/>
        </w:r>
      </w:hyperlink>
    </w:p>
    <w:p w14:paraId="2F919EE4" w14:textId="7CB0B8A3"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5" w:history="1">
        <w:r w:rsidRPr="00A60BBF">
          <w:rPr>
            <w:rStyle w:val="Hyperlink"/>
            <w:rFonts w:eastAsiaTheme="majorEastAsia"/>
            <w:noProof/>
          </w:rPr>
          <w:t>4.1 Petrophysical Analysis</w:t>
        </w:r>
        <w:r>
          <w:rPr>
            <w:noProof/>
            <w:webHidden/>
          </w:rPr>
          <w:tab/>
        </w:r>
        <w:r>
          <w:rPr>
            <w:noProof/>
            <w:webHidden/>
          </w:rPr>
          <w:fldChar w:fldCharType="begin"/>
        </w:r>
        <w:r>
          <w:rPr>
            <w:noProof/>
            <w:webHidden/>
          </w:rPr>
          <w:instrText xml:space="preserve"> PAGEREF _Toc121470255 \h </w:instrText>
        </w:r>
        <w:r>
          <w:rPr>
            <w:noProof/>
            <w:webHidden/>
          </w:rPr>
        </w:r>
        <w:r>
          <w:rPr>
            <w:noProof/>
            <w:webHidden/>
          </w:rPr>
          <w:fldChar w:fldCharType="separate"/>
        </w:r>
        <w:r>
          <w:rPr>
            <w:noProof/>
            <w:webHidden/>
          </w:rPr>
          <w:t>31</w:t>
        </w:r>
        <w:r>
          <w:rPr>
            <w:noProof/>
            <w:webHidden/>
          </w:rPr>
          <w:fldChar w:fldCharType="end"/>
        </w:r>
      </w:hyperlink>
    </w:p>
    <w:p w14:paraId="00896C05" w14:textId="1AFAF101"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56" w:history="1">
        <w:r w:rsidRPr="00A60BBF">
          <w:rPr>
            <w:rStyle w:val="Hyperlink"/>
            <w:rFonts w:eastAsiaTheme="majorEastAsia"/>
            <w:noProof/>
          </w:rPr>
          <w:t>4.2 Fluid Characterization</w:t>
        </w:r>
        <w:r>
          <w:rPr>
            <w:noProof/>
            <w:webHidden/>
          </w:rPr>
          <w:tab/>
        </w:r>
        <w:r>
          <w:rPr>
            <w:noProof/>
            <w:webHidden/>
          </w:rPr>
          <w:fldChar w:fldCharType="begin"/>
        </w:r>
        <w:r>
          <w:rPr>
            <w:noProof/>
            <w:webHidden/>
          </w:rPr>
          <w:instrText xml:space="preserve"> PAGEREF _Toc121470256 \h </w:instrText>
        </w:r>
        <w:r>
          <w:rPr>
            <w:noProof/>
            <w:webHidden/>
          </w:rPr>
        </w:r>
        <w:r>
          <w:rPr>
            <w:noProof/>
            <w:webHidden/>
          </w:rPr>
          <w:fldChar w:fldCharType="separate"/>
        </w:r>
        <w:r>
          <w:rPr>
            <w:noProof/>
            <w:webHidden/>
          </w:rPr>
          <w:t>32</w:t>
        </w:r>
        <w:r>
          <w:rPr>
            <w:noProof/>
            <w:webHidden/>
          </w:rPr>
          <w:fldChar w:fldCharType="end"/>
        </w:r>
      </w:hyperlink>
    </w:p>
    <w:p w14:paraId="3301B177" w14:textId="24B558C8" w:rsidR="006F7B7B" w:rsidRDefault="006F7B7B">
      <w:pPr>
        <w:pStyle w:val="TOC3"/>
        <w:tabs>
          <w:tab w:val="right" w:leader="dot" w:pos="9350"/>
        </w:tabs>
        <w:rPr>
          <w:rFonts w:asciiTheme="minorHAnsi" w:eastAsiaTheme="minorEastAsia" w:hAnsiTheme="minorHAnsi" w:cstheme="minorBidi"/>
          <w:noProof/>
          <w:szCs w:val="24"/>
        </w:rPr>
      </w:pPr>
      <w:hyperlink w:anchor="_Toc121470257" w:history="1">
        <w:r w:rsidRPr="00A60BBF">
          <w:rPr>
            <w:rStyle w:val="Hyperlink"/>
            <w:rFonts w:eastAsiaTheme="majorEastAsia"/>
            <w:noProof/>
          </w:rPr>
          <w:t>4.2.1 Density Measurements</w:t>
        </w:r>
        <w:r>
          <w:rPr>
            <w:noProof/>
            <w:webHidden/>
          </w:rPr>
          <w:tab/>
        </w:r>
        <w:r>
          <w:rPr>
            <w:noProof/>
            <w:webHidden/>
          </w:rPr>
          <w:fldChar w:fldCharType="begin"/>
        </w:r>
        <w:r>
          <w:rPr>
            <w:noProof/>
            <w:webHidden/>
          </w:rPr>
          <w:instrText xml:space="preserve"> PAGEREF _Toc121470257 \h </w:instrText>
        </w:r>
        <w:r>
          <w:rPr>
            <w:noProof/>
            <w:webHidden/>
          </w:rPr>
        </w:r>
        <w:r>
          <w:rPr>
            <w:noProof/>
            <w:webHidden/>
          </w:rPr>
          <w:fldChar w:fldCharType="separate"/>
        </w:r>
        <w:r>
          <w:rPr>
            <w:noProof/>
            <w:webHidden/>
          </w:rPr>
          <w:t>32</w:t>
        </w:r>
        <w:r>
          <w:rPr>
            <w:noProof/>
            <w:webHidden/>
          </w:rPr>
          <w:fldChar w:fldCharType="end"/>
        </w:r>
      </w:hyperlink>
    </w:p>
    <w:p w14:paraId="6301FE2B" w14:textId="5F17FDB0" w:rsidR="006F7B7B" w:rsidRDefault="006F7B7B">
      <w:pPr>
        <w:pStyle w:val="TOC3"/>
        <w:tabs>
          <w:tab w:val="right" w:leader="dot" w:pos="9350"/>
        </w:tabs>
        <w:rPr>
          <w:rFonts w:asciiTheme="minorHAnsi" w:eastAsiaTheme="minorEastAsia" w:hAnsiTheme="minorHAnsi" w:cstheme="minorBidi"/>
          <w:noProof/>
          <w:szCs w:val="24"/>
        </w:rPr>
      </w:pPr>
      <w:hyperlink w:anchor="_Toc121470258" w:history="1">
        <w:r w:rsidRPr="00A60BBF">
          <w:rPr>
            <w:rStyle w:val="Hyperlink"/>
            <w:rFonts w:eastAsiaTheme="majorEastAsia"/>
            <w:noProof/>
          </w:rPr>
          <w:t>4.2.2 Surfactant Stability Tests</w:t>
        </w:r>
        <w:r>
          <w:rPr>
            <w:noProof/>
            <w:webHidden/>
          </w:rPr>
          <w:tab/>
        </w:r>
        <w:r>
          <w:rPr>
            <w:noProof/>
            <w:webHidden/>
          </w:rPr>
          <w:fldChar w:fldCharType="begin"/>
        </w:r>
        <w:r>
          <w:rPr>
            <w:noProof/>
            <w:webHidden/>
          </w:rPr>
          <w:instrText xml:space="preserve"> PAGEREF _Toc121470258 \h </w:instrText>
        </w:r>
        <w:r>
          <w:rPr>
            <w:noProof/>
            <w:webHidden/>
          </w:rPr>
        </w:r>
        <w:r>
          <w:rPr>
            <w:noProof/>
            <w:webHidden/>
          </w:rPr>
          <w:fldChar w:fldCharType="separate"/>
        </w:r>
        <w:r>
          <w:rPr>
            <w:noProof/>
            <w:webHidden/>
          </w:rPr>
          <w:t>33</w:t>
        </w:r>
        <w:r>
          <w:rPr>
            <w:noProof/>
            <w:webHidden/>
          </w:rPr>
          <w:fldChar w:fldCharType="end"/>
        </w:r>
      </w:hyperlink>
    </w:p>
    <w:p w14:paraId="5E809817" w14:textId="697F22E6" w:rsidR="006F7B7B" w:rsidRDefault="006F7B7B">
      <w:pPr>
        <w:pStyle w:val="TOC3"/>
        <w:tabs>
          <w:tab w:val="right" w:leader="dot" w:pos="9350"/>
        </w:tabs>
        <w:rPr>
          <w:rFonts w:asciiTheme="minorHAnsi" w:eastAsiaTheme="minorEastAsia" w:hAnsiTheme="minorHAnsi" w:cstheme="minorBidi"/>
          <w:noProof/>
          <w:szCs w:val="24"/>
        </w:rPr>
      </w:pPr>
      <w:hyperlink w:anchor="_Toc121470259" w:history="1">
        <w:r w:rsidRPr="00A60BBF">
          <w:rPr>
            <w:rStyle w:val="Hyperlink"/>
            <w:rFonts w:eastAsiaTheme="majorEastAsia"/>
            <w:noProof/>
          </w:rPr>
          <w:t>4.2.3 pH Measurements</w:t>
        </w:r>
        <w:r>
          <w:rPr>
            <w:noProof/>
            <w:webHidden/>
          </w:rPr>
          <w:tab/>
        </w:r>
        <w:r>
          <w:rPr>
            <w:noProof/>
            <w:webHidden/>
          </w:rPr>
          <w:fldChar w:fldCharType="begin"/>
        </w:r>
        <w:r>
          <w:rPr>
            <w:noProof/>
            <w:webHidden/>
          </w:rPr>
          <w:instrText xml:space="preserve"> PAGEREF _Toc121470259 \h </w:instrText>
        </w:r>
        <w:r>
          <w:rPr>
            <w:noProof/>
            <w:webHidden/>
          </w:rPr>
        </w:r>
        <w:r>
          <w:rPr>
            <w:noProof/>
            <w:webHidden/>
          </w:rPr>
          <w:fldChar w:fldCharType="separate"/>
        </w:r>
        <w:r>
          <w:rPr>
            <w:noProof/>
            <w:webHidden/>
          </w:rPr>
          <w:t>34</w:t>
        </w:r>
        <w:r>
          <w:rPr>
            <w:noProof/>
            <w:webHidden/>
          </w:rPr>
          <w:fldChar w:fldCharType="end"/>
        </w:r>
      </w:hyperlink>
    </w:p>
    <w:p w14:paraId="0657920F" w14:textId="0AECED59" w:rsidR="006F7B7B" w:rsidRDefault="006F7B7B">
      <w:pPr>
        <w:pStyle w:val="TOC3"/>
        <w:tabs>
          <w:tab w:val="right" w:leader="dot" w:pos="9350"/>
        </w:tabs>
        <w:rPr>
          <w:rFonts w:asciiTheme="minorHAnsi" w:eastAsiaTheme="minorEastAsia" w:hAnsiTheme="minorHAnsi" w:cstheme="minorBidi"/>
          <w:noProof/>
          <w:szCs w:val="24"/>
        </w:rPr>
      </w:pPr>
      <w:hyperlink w:anchor="_Toc121470260" w:history="1">
        <w:r w:rsidRPr="00A60BBF">
          <w:rPr>
            <w:rStyle w:val="Hyperlink"/>
            <w:rFonts w:eastAsiaTheme="majorEastAsia"/>
            <w:noProof/>
          </w:rPr>
          <w:t>4.2.4 ICP Analysis: Before Imbibition Experiments</w:t>
        </w:r>
        <w:r>
          <w:rPr>
            <w:noProof/>
            <w:webHidden/>
          </w:rPr>
          <w:tab/>
        </w:r>
        <w:r>
          <w:rPr>
            <w:noProof/>
            <w:webHidden/>
          </w:rPr>
          <w:fldChar w:fldCharType="begin"/>
        </w:r>
        <w:r>
          <w:rPr>
            <w:noProof/>
            <w:webHidden/>
          </w:rPr>
          <w:instrText xml:space="preserve"> PAGEREF _Toc121470260 \h </w:instrText>
        </w:r>
        <w:r>
          <w:rPr>
            <w:noProof/>
            <w:webHidden/>
          </w:rPr>
        </w:r>
        <w:r>
          <w:rPr>
            <w:noProof/>
            <w:webHidden/>
          </w:rPr>
          <w:fldChar w:fldCharType="separate"/>
        </w:r>
        <w:r>
          <w:rPr>
            <w:noProof/>
            <w:webHidden/>
          </w:rPr>
          <w:t>34</w:t>
        </w:r>
        <w:r>
          <w:rPr>
            <w:noProof/>
            <w:webHidden/>
          </w:rPr>
          <w:fldChar w:fldCharType="end"/>
        </w:r>
      </w:hyperlink>
    </w:p>
    <w:p w14:paraId="688B0BE9" w14:textId="26F05774" w:rsidR="006F7B7B" w:rsidRDefault="006F7B7B">
      <w:pPr>
        <w:pStyle w:val="TOC3"/>
        <w:tabs>
          <w:tab w:val="right" w:leader="dot" w:pos="9350"/>
        </w:tabs>
        <w:rPr>
          <w:rFonts w:asciiTheme="minorHAnsi" w:eastAsiaTheme="minorEastAsia" w:hAnsiTheme="minorHAnsi" w:cstheme="minorBidi"/>
          <w:noProof/>
          <w:szCs w:val="24"/>
        </w:rPr>
      </w:pPr>
      <w:hyperlink w:anchor="_Toc121470261" w:history="1">
        <w:r w:rsidRPr="00A60BBF">
          <w:rPr>
            <w:rStyle w:val="Hyperlink"/>
            <w:rFonts w:eastAsiaTheme="majorEastAsia"/>
            <w:noProof/>
          </w:rPr>
          <w:t>4.2.3 Critical Micelle Concentration Measurements</w:t>
        </w:r>
        <w:r>
          <w:rPr>
            <w:noProof/>
            <w:webHidden/>
          </w:rPr>
          <w:tab/>
        </w:r>
        <w:r>
          <w:rPr>
            <w:noProof/>
            <w:webHidden/>
          </w:rPr>
          <w:fldChar w:fldCharType="begin"/>
        </w:r>
        <w:r>
          <w:rPr>
            <w:noProof/>
            <w:webHidden/>
          </w:rPr>
          <w:instrText xml:space="preserve"> PAGEREF _Toc121470261 \h </w:instrText>
        </w:r>
        <w:r>
          <w:rPr>
            <w:noProof/>
            <w:webHidden/>
          </w:rPr>
        </w:r>
        <w:r>
          <w:rPr>
            <w:noProof/>
            <w:webHidden/>
          </w:rPr>
          <w:fldChar w:fldCharType="separate"/>
        </w:r>
        <w:r>
          <w:rPr>
            <w:noProof/>
            <w:webHidden/>
          </w:rPr>
          <w:t>36</w:t>
        </w:r>
        <w:r>
          <w:rPr>
            <w:noProof/>
            <w:webHidden/>
          </w:rPr>
          <w:fldChar w:fldCharType="end"/>
        </w:r>
      </w:hyperlink>
    </w:p>
    <w:p w14:paraId="3954C7E8" w14:textId="1B47A5A6" w:rsidR="006F7B7B" w:rsidRDefault="006F7B7B">
      <w:pPr>
        <w:pStyle w:val="TOC3"/>
        <w:tabs>
          <w:tab w:val="right" w:leader="dot" w:pos="9350"/>
        </w:tabs>
        <w:rPr>
          <w:rFonts w:asciiTheme="minorHAnsi" w:eastAsiaTheme="minorEastAsia" w:hAnsiTheme="minorHAnsi" w:cstheme="minorBidi"/>
          <w:noProof/>
          <w:szCs w:val="24"/>
        </w:rPr>
      </w:pPr>
      <w:hyperlink w:anchor="_Toc121470262" w:history="1">
        <w:r w:rsidRPr="00A60BBF">
          <w:rPr>
            <w:rStyle w:val="Hyperlink"/>
            <w:rFonts w:eastAsiaTheme="majorEastAsia"/>
            <w:noProof/>
          </w:rPr>
          <w:t>4.2.4 Interfacial Tension Measurements</w:t>
        </w:r>
        <w:r>
          <w:rPr>
            <w:noProof/>
            <w:webHidden/>
          </w:rPr>
          <w:tab/>
        </w:r>
        <w:r>
          <w:rPr>
            <w:noProof/>
            <w:webHidden/>
          </w:rPr>
          <w:fldChar w:fldCharType="begin"/>
        </w:r>
        <w:r>
          <w:rPr>
            <w:noProof/>
            <w:webHidden/>
          </w:rPr>
          <w:instrText xml:space="preserve"> PAGEREF _Toc121470262 \h </w:instrText>
        </w:r>
        <w:r>
          <w:rPr>
            <w:noProof/>
            <w:webHidden/>
          </w:rPr>
        </w:r>
        <w:r>
          <w:rPr>
            <w:noProof/>
            <w:webHidden/>
          </w:rPr>
          <w:fldChar w:fldCharType="separate"/>
        </w:r>
        <w:r>
          <w:rPr>
            <w:noProof/>
            <w:webHidden/>
          </w:rPr>
          <w:t>37</w:t>
        </w:r>
        <w:r>
          <w:rPr>
            <w:noProof/>
            <w:webHidden/>
          </w:rPr>
          <w:fldChar w:fldCharType="end"/>
        </w:r>
      </w:hyperlink>
    </w:p>
    <w:p w14:paraId="0485D618" w14:textId="093F4BF1"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63" w:history="1">
        <w:r w:rsidRPr="00A60BBF">
          <w:rPr>
            <w:rStyle w:val="Hyperlink"/>
            <w:rFonts w:eastAsiaTheme="majorEastAsia"/>
            <w:noProof/>
          </w:rPr>
          <w:t>4.3 Contact Angle Measurements</w:t>
        </w:r>
        <w:r>
          <w:rPr>
            <w:noProof/>
            <w:webHidden/>
          </w:rPr>
          <w:tab/>
        </w:r>
        <w:r>
          <w:rPr>
            <w:noProof/>
            <w:webHidden/>
          </w:rPr>
          <w:fldChar w:fldCharType="begin"/>
        </w:r>
        <w:r>
          <w:rPr>
            <w:noProof/>
            <w:webHidden/>
          </w:rPr>
          <w:instrText xml:space="preserve"> PAGEREF _Toc121470263 \h </w:instrText>
        </w:r>
        <w:r>
          <w:rPr>
            <w:noProof/>
            <w:webHidden/>
          </w:rPr>
        </w:r>
        <w:r>
          <w:rPr>
            <w:noProof/>
            <w:webHidden/>
          </w:rPr>
          <w:fldChar w:fldCharType="separate"/>
        </w:r>
        <w:r>
          <w:rPr>
            <w:noProof/>
            <w:webHidden/>
          </w:rPr>
          <w:t>37</w:t>
        </w:r>
        <w:r>
          <w:rPr>
            <w:noProof/>
            <w:webHidden/>
          </w:rPr>
          <w:fldChar w:fldCharType="end"/>
        </w:r>
      </w:hyperlink>
    </w:p>
    <w:p w14:paraId="1D72FCC9" w14:textId="1FAE926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64" w:history="1">
        <w:r w:rsidRPr="00A60BBF">
          <w:rPr>
            <w:rStyle w:val="Hyperlink"/>
            <w:rFonts w:eastAsiaTheme="majorEastAsia"/>
            <w:noProof/>
          </w:rPr>
          <w:t>4.4 Surfactant Adsorption Measurements</w:t>
        </w:r>
        <w:r>
          <w:rPr>
            <w:noProof/>
            <w:webHidden/>
          </w:rPr>
          <w:tab/>
        </w:r>
        <w:r>
          <w:rPr>
            <w:noProof/>
            <w:webHidden/>
          </w:rPr>
          <w:fldChar w:fldCharType="begin"/>
        </w:r>
        <w:r>
          <w:rPr>
            <w:noProof/>
            <w:webHidden/>
          </w:rPr>
          <w:instrText xml:space="preserve"> PAGEREF _Toc121470264 \h </w:instrText>
        </w:r>
        <w:r>
          <w:rPr>
            <w:noProof/>
            <w:webHidden/>
          </w:rPr>
        </w:r>
        <w:r>
          <w:rPr>
            <w:noProof/>
            <w:webHidden/>
          </w:rPr>
          <w:fldChar w:fldCharType="separate"/>
        </w:r>
        <w:r>
          <w:rPr>
            <w:noProof/>
            <w:webHidden/>
          </w:rPr>
          <w:t>40</w:t>
        </w:r>
        <w:r>
          <w:rPr>
            <w:noProof/>
            <w:webHidden/>
          </w:rPr>
          <w:fldChar w:fldCharType="end"/>
        </w:r>
      </w:hyperlink>
    </w:p>
    <w:p w14:paraId="5F5868FC" w14:textId="17A5B577"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65" w:history="1">
        <w:r w:rsidRPr="00A60BBF">
          <w:rPr>
            <w:rStyle w:val="Hyperlink"/>
            <w:rFonts w:eastAsiaTheme="majorEastAsia"/>
            <w:noProof/>
          </w:rPr>
          <w:t>4.5 Relationship between Surfactant Adsorption and Mineralogy</w:t>
        </w:r>
        <w:r>
          <w:rPr>
            <w:noProof/>
            <w:webHidden/>
          </w:rPr>
          <w:tab/>
        </w:r>
        <w:r>
          <w:rPr>
            <w:noProof/>
            <w:webHidden/>
          </w:rPr>
          <w:fldChar w:fldCharType="begin"/>
        </w:r>
        <w:r>
          <w:rPr>
            <w:noProof/>
            <w:webHidden/>
          </w:rPr>
          <w:instrText xml:space="preserve"> PAGEREF _Toc121470265 \h </w:instrText>
        </w:r>
        <w:r>
          <w:rPr>
            <w:noProof/>
            <w:webHidden/>
          </w:rPr>
        </w:r>
        <w:r>
          <w:rPr>
            <w:noProof/>
            <w:webHidden/>
          </w:rPr>
          <w:fldChar w:fldCharType="separate"/>
        </w:r>
        <w:r>
          <w:rPr>
            <w:noProof/>
            <w:webHidden/>
          </w:rPr>
          <w:t>46</w:t>
        </w:r>
        <w:r>
          <w:rPr>
            <w:noProof/>
            <w:webHidden/>
          </w:rPr>
          <w:fldChar w:fldCharType="end"/>
        </w:r>
      </w:hyperlink>
    </w:p>
    <w:p w14:paraId="5DC06DB4" w14:textId="7F9DB5C8" w:rsidR="006F7B7B" w:rsidRDefault="006F7B7B">
      <w:pPr>
        <w:pStyle w:val="TOC3"/>
        <w:tabs>
          <w:tab w:val="right" w:leader="dot" w:pos="9350"/>
        </w:tabs>
        <w:rPr>
          <w:rFonts w:asciiTheme="minorHAnsi" w:eastAsiaTheme="minorEastAsia" w:hAnsiTheme="minorHAnsi" w:cstheme="minorBidi"/>
          <w:noProof/>
          <w:szCs w:val="24"/>
        </w:rPr>
      </w:pPr>
      <w:hyperlink w:anchor="_Toc121470266" w:history="1">
        <w:r w:rsidRPr="00A60BBF">
          <w:rPr>
            <w:rStyle w:val="Hyperlink"/>
            <w:rFonts w:eastAsiaTheme="minorHAnsi"/>
            <w:noProof/>
          </w:rPr>
          <w:t>4.5.1 Surfactant Adsorption Relationship with Quartz plus Feldspars</w:t>
        </w:r>
        <w:r>
          <w:rPr>
            <w:noProof/>
            <w:webHidden/>
          </w:rPr>
          <w:tab/>
        </w:r>
        <w:r>
          <w:rPr>
            <w:noProof/>
            <w:webHidden/>
          </w:rPr>
          <w:fldChar w:fldCharType="begin"/>
        </w:r>
        <w:r>
          <w:rPr>
            <w:noProof/>
            <w:webHidden/>
          </w:rPr>
          <w:instrText xml:space="preserve"> PAGEREF _Toc121470266 \h </w:instrText>
        </w:r>
        <w:r>
          <w:rPr>
            <w:noProof/>
            <w:webHidden/>
          </w:rPr>
        </w:r>
        <w:r>
          <w:rPr>
            <w:noProof/>
            <w:webHidden/>
          </w:rPr>
          <w:fldChar w:fldCharType="separate"/>
        </w:r>
        <w:r>
          <w:rPr>
            <w:noProof/>
            <w:webHidden/>
          </w:rPr>
          <w:t>46</w:t>
        </w:r>
        <w:r>
          <w:rPr>
            <w:noProof/>
            <w:webHidden/>
          </w:rPr>
          <w:fldChar w:fldCharType="end"/>
        </w:r>
      </w:hyperlink>
    </w:p>
    <w:p w14:paraId="3A3D6A48" w14:textId="139A9DB7" w:rsidR="006F7B7B" w:rsidRDefault="006F7B7B">
      <w:pPr>
        <w:pStyle w:val="TOC3"/>
        <w:tabs>
          <w:tab w:val="right" w:leader="dot" w:pos="9350"/>
        </w:tabs>
        <w:rPr>
          <w:rFonts w:asciiTheme="minorHAnsi" w:eastAsiaTheme="minorEastAsia" w:hAnsiTheme="minorHAnsi" w:cstheme="minorBidi"/>
          <w:noProof/>
          <w:szCs w:val="24"/>
        </w:rPr>
      </w:pPr>
      <w:hyperlink w:anchor="_Toc121470267" w:history="1">
        <w:r w:rsidRPr="00A60BBF">
          <w:rPr>
            <w:rStyle w:val="Hyperlink"/>
            <w:rFonts w:eastAsiaTheme="minorHAnsi"/>
            <w:noProof/>
          </w:rPr>
          <w:t>4.5.2 Surfactant Adsorption Relationship with Clays</w:t>
        </w:r>
        <w:r>
          <w:rPr>
            <w:noProof/>
            <w:webHidden/>
          </w:rPr>
          <w:tab/>
        </w:r>
        <w:r>
          <w:rPr>
            <w:noProof/>
            <w:webHidden/>
          </w:rPr>
          <w:fldChar w:fldCharType="begin"/>
        </w:r>
        <w:r>
          <w:rPr>
            <w:noProof/>
            <w:webHidden/>
          </w:rPr>
          <w:instrText xml:space="preserve"> PAGEREF _Toc121470267 \h </w:instrText>
        </w:r>
        <w:r>
          <w:rPr>
            <w:noProof/>
            <w:webHidden/>
          </w:rPr>
        </w:r>
        <w:r>
          <w:rPr>
            <w:noProof/>
            <w:webHidden/>
          </w:rPr>
          <w:fldChar w:fldCharType="separate"/>
        </w:r>
        <w:r>
          <w:rPr>
            <w:noProof/>
            <w:webHidden/>
          </w:rPr>
          <w:t>47</w:t>
        </w:r>
        <w:r>
          <w:rPr>
            <w:noProof/>
            <w:webHidden/>
          </w:rPr>
          <w:fldChar w:fldCharType="end"/>
        </w:r>
      </w:hyperlink>
    </w:p>
    <w:p w14:paraId="61232877" w14:textId="5F73DBD0" w:rsidR="006F7B7B" w:rsidRDefault="006F7B7B">
      <w:pPr>
        <w:pStyle w:val="TOC3"/>
        <w:tabs>
          <w:tab w:val="right" w:leader="dot" w:pos="9350"/>
        </w:tabs>
        <w:rPr>
          <w:rFonts w:asciiTheme="minorHAnsi" w:eastAsiaTheme="minorEastAsia" w:hAnsiTheme="minorHAnsi" w:cstheme="minorBidi"/>
          <w:noProof/>
          <w:szCs w:val="24"/>
        </w:rPr>
      </w:pPr>
      <w:hyperlink w:anchor="_Toc121470268" w:history="1">
        <w:r w:rsidRPr="00A60BBF">
          <w:rPr>
            <w:rStyle w:val="Hyperlink"/>
            <w:rFonts w:eastAsiaTheme="minorHAnsi"/>
            <w:noProof/>
          </w:rPr>
          <w:t>4.5.3 Surfactant Adsorption Relationship with Carbonates</w:t>
        </w:r>
        <w:r>
          <w:rPr>
            <w:noProof/>
            <w:webHidden/>
          </w:rPr>
          <w:tab/>
        </w:r>
        <w:r>
          <w:rPr>
            <w:noProof/>
            <w:webHidden/>
          </w:rPr>
          <w:fldChar w:fldCharType="begin"/>
        </w:r>
        <w:r>
          <w:rPr>
            <w:noProof/>
            <w:webHidden/>
          </w:rPr>
          <w:instrText xml:space="preserve"> PAGEREF _Toc121470268 \h </w:instrText>
        </w:r>
        <w:r>
          <w:rPr>
            <w:noProof/>
            <w:webHidden/>
          </w:rPr>
        </w:r>
        <w:r>
          <w:rPr>
            <w:noProof/>
            <w:webHidden/>
          </w:rPr>
          <w:fldChar w:fldCharType="separate"/>
        </w:r>
        <w:r>
          <w:rPr>
            <w:noProof/>
            <w:webHidden/>
          </w:rPr>
          <w:t>48</w:t>
        </w:r>
        <w:r>
          <w:rPr>
            <w:noProof/>
            <w:webHidden/>
          </w:rPr>
          <w:fldChar w:fldCharType="end"/>
        </w:r>
      </w:hyperlink>
    </w:p>
    <w:p w14:paraId="1CD4550B" w14:textId="5DF16E9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69" w:history="1">
        <w:r w:rsidRPr="00A60BBF">
          <w:rPr>
            <w:rStyle w:val="Hyperlink"/>
            <w:rFonts w:eastAsiaTheme="majorEastAsia"/>
            <w:noProof/>
          </w:rPr>
          <w:t>4.6 Imbibition Experiments using Produced Brine and Surfactants</w:t>
        </w:r>
        <w:r>
          <w:rPr>
            <w:noProof/>
            <w:webHidden/>
          </w:rPr>
          <w:tab/>
        </w:r>
        <w:r>
          <w:rPr>
            <w:noProof/>
            <w:webHidden/>
          </w:rPr>
          <w:fldChar w:fldCharType="begin"/>
        </w:r>
        <w:r>
          <w:rPr>
            <w:noProof/>
            <w:webHidden/>
          </w:rPr>
          <w:instrText xml:space="preserve"> PAGEREF _Toc121470269 \h </w:instrText>
        </w:r>
        <w:r>
          <w:rPr>
            <w:noProof/>
            <w:webHidden/>
          </w:rPr>
        </w:r>
        <w:r>
          <w:rPr>
            <w:noProof/>
            <w:webHidden/>
          </w:rPr>
          <w:fldChar w:fldCharType="separate"/>
        </w:r>
        <w:r>
          <w:rPr>
            <w:noProof/>
            <w:webHidden/>
          </w:rPr>
          <w:t>49</w:t>
        </w:r>
        <w:r>
          <w:rPr>
            <w:noProof/>
            <w:webHidden/>
          </w:rPr>
          <w:fldChar w:fldCharType="end"/>
        </w:r>
      </w:hyperlink>
    </w:p>
    <w:p w14:paraId="18CF4B7C" w14:textId="71C183D5" w:rsidR="006F7B7B" w:rsidRDefault="006F7B7B">
      <w:pPr>
        <w:pStyle w:val="TOC1"/>
        <w:tabs>
          <w:tab w:val="right" w:leader="dot" w:pos="9350"/>
        </w:tabs>
        <w:rPr>
          <w:rFonts w:asciiTheme="minorHAnsi" w:eastAsiaTheme="minorEastAsia" w:hAnsiTheme="minorHAnsi" w:cstheme="minorBidi"/>
          <w:bCs w:val="0"/>
          <w:noProof/>
        </w:rPr>
      </w:pPr>
      <w:hyperlink w:anchor="_Toc121470270" w:history="1">
        <w:r w:rsidRPr="00A60BBF">
          <w:rPr>
            <w:rStyle w:val="Hyperlink"/>
            <w:rFonts w:eastAsiaTheme="majorEastAsia"/>
            <w:noProof/>
          </w:rPr>
          <w:t>Chapter 5 : Conclusions, Surfactant Selection Strategy and Future Work Recommendations</w:t>
        </w:r>
        <w:r>
          <w:rPr>
            <w:noProof/>
            <w:webHidden/>
          </w:rPr>
          <w:tab/>
        </w:r>
        <w:r>
          <w:rPr>
            <w:noProof/>
            <w:webHidden/>
          </w:rPr>
          <w:fldChar w:fldCharType="begin"/>
        </w:r>
        <w:r>
          <w:rPr>
            <w:noProof/>
            <w:webHidden/>
          </w:rPr>
          <w:instrText xml:space="preserve"> PAGEREF _Toc121470270 \h </w:instrText>
        </w:r>
        <w:r>
          <w:rPr>
            <w:noProof/>
            <w:webHidden/>
          </w:rPr>
        </w:r>
        <w:r>
          <w:rPr>
            <w:noProof/>
            <w:webHidden/>
          </w:rPr>
          <w:fldChar w:fldCharType="separate"/>
        </w:r>
        <w:r>
          <w:rPr>
            <w:noProof/>
            <w:webHidden/>
          </w:rPr>
          <w:t>53</w:t>
        </w:r>
        <w:r>
          <w:rPr>
            <w:noProof/>
            <w:webHidden/>
          </w:rPr>
          <w:fldChar w:fldCharType="end"/>
        </w:r>
      </w:hyperlink>
    </w:p>
    <w:p w14:paraId="638F8845" w14:textId="69B50B56"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71" w:history="1">
        <w:r w:rsidRPr="00A60BBF">
          <w:rPr>
            <w:rStyle w:val="Hyperlink"/>
            <w:rFonts w:eastAsiaTheme="majorEastAsia"/>
            <w:noProof/>
          </w:rPr>
          <w:t>5.1 Conclusions</w:t>
        </w:r>
        <w:r>
          <w:rPr>
            <w:noProof/>
            <w:webHidden/>
          </w:rPr>
          <w:tab/>
        </w:r>
        <w:r>
          <w:rPr>
            <w:noProof/>
            <w:webHidden/>
          </w:rPr>
          <w:fldChar w:fldCharType="begin"/>
        </w:r>
        <w:r>
          <w:rPr>
            <w:noProof/>
            <w:webHidden/>
          </w:rPr>
          <w:instrText xml:space="preserve"> PAGEREF _Toc121470271 \h </w:instrText>
        </w:r>
        <w:r>
          <w:rPr>
            <w:noProof/>
            <w:webHidden/>
          </w:rPr>
        </w:r>
        <w:r>
          <w:rPr>
            <w:noProof/>
            <w:webHidden/>
          </w:rPr>
          <w:fldChar w:fldCharType="separate"/>
        </w:r>
        <w:r>
          <w:rPr>
            <w:noProof/>
            <w:webHidden/>
          </w:rPr>
          <w:t>53</w:t>
        </w:r>
        <w:r>
          <w:rPr>
            <w:noProof/>
            <w:webHidden/>
          </w:rPr>
          <w:fldChar w:fldCharType="end"/>
        </w:r>
      </w:hyperlink>
    </w:p>
    <w:p w14:paraId="146BB010" w14:textId="52CEF0BC"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72" w:history="1">
        <w:r w:rsidRPr="00A60BBF">
          <w:rPr>
            <w:rStyle w:val="Hyperlink"/>
            <w:rFonts w:eastAsiaTheme="majorEastAsia"/>
            <w:noProof/>
          </w:rPr>
          <w:t>5.2 Surfactant Selection Strategy for Sandstones</w:t>
        </w:r>
        <w:r>
          <w:rPr>
            <w:noProof/>
            <w:webHidden/>
          </w:rPr>
          <w:tab/>
        </w:r>
        <w:r>
          <w:rPr>
            <w:noProof/>
            <w:webHidden/>
          </w:rPr>
          <w:fldChar w:fldCharType="begin"/>
        </w:r>
        <w:r>
          <w:rPr>
            <w:noProof/>
            <w:webHidden/>
          </w:rPr>
          <w:instrText xml:space="preserve"> PAGEREF _Toc121470272 \h </w:instrText>
        </w:r>
        <w:r>
          <w:rPr>
            <w:noProof/>
            <w:webHidden/>
          </w:rPr>
        </w:r>
        <w:r>
          <w:rPr>
            <w:noProof/>
            <w:webHidden/>
          </w:rPr>
          <w:fldChar w:fldCharType="separate"/>
        </w:r>
        <w:r>
          <w:rPr>
            <w:noProof/>
            <w:webHidden/>
          </w:rPr>
          <w:t>54</w:t>
        </w:r>
        <w:r>
          <w:rPr>
            <w:noProof/>
            <w:webHidden/>
          </w:rPr>
          <w:fldChar w:fldCharType="end"/>
        </w:r>
      </w:hyperlink>
    </w:p>
    <w:p w14:paraId="024E05FF" w14:textId="6F656928" w:rsidR="006F7B7B" w:rsidRDefault="006F7B7B">
      <w:pPr>
        <w:pStyle w:val="TOC2"/>
        <w:tabs>
          <w:tab w:val="right" w:leader="dot" w:pos="9350"/>
        </w:tabs>
        <w:rPr>
          <w:rFonts w:asciiTheme="minorHAnsi" w:eastAsiaTheme="minorEastAsia" w:hAnsiTheme="minorHAnsi" w:cstheme="minorBidi"/>
          <w:bCs w:val="0"/>
          <w:noProof/>
          <w:color w:val="auto"/>
          <w:szCs w:val="24"/>
        </w:rPr>
      </w:pPr>
      <w:hyperlink w:anchor="_Toc121470273" w:history="1">
        <w:r w:rsidRPr="00A60BBF">
          <w:rPr>
            <w:rStyle w:val="Hyperlink"/>
            <w:rFonts w:eastAsiaTheme="majorEastAsia"/>
            <w:noProof/>
          </w:rPr>
          <w:t>5.3 Future Work Recommendations</w:t>
        </w:r>
        <w:r>
          <w:rPr>
            <w:noProof/>
            <w:webHidden/>
          </w:rPr>
          <w:tab/>
        </w:r>
        <w:r>
          <w:rPr>
            <w:noProof/>
            <w:webHidden/>
          </w:rPr>
          <w:fldChar w:fldCharType="begin"/>
        </w:r>
        <w:r>
          <w:rPr>
            <w:noProof/>
            <w:webHidden/>
          </w:rPr>
          <w:instrText xml:space="preserve"> PAGEREF _Toc121470273 \h </w:instrText>
        </w:r>
        <w:r>
          <w:rPr>
            <w:noProof/>
            <w:webHidden/>
          </w:rPr>
        </w:r>
        <w:r>
          <w:rPr>
            <w:noProof/>
            <w:webHidden/>
          </w:rPr>
          <w:fldChar w:fldCharType="separate"/>
        </w:r>
        <w:r>
          <w:rPr>
            <w:noProof/>
            <w:webHidden/>
          </w:rPr>
          <w:t>55</w:t>
        </w:r>
        <w:r>
          <w:rPr>
            <w:noProof/>
            <w:webHidden/>
          </w:rPr>
          <w:fldChar w:fldCharType="end"/>
        </w:r>
      </w:hyperlink>
    </w:p>
    <w:p w14:paraId="0648B340" w14:textId="013FA131" w:rsidR="006F7B7B" w:rsidRDefault="006F7B7B">
      <w:pPr>
        <w:pStyle w:val="TOC1"/>
        <w:tabs>
          <w:tab w:val="right" w:leader="dot" w:pos="9350"/>
        </w:tabs>
        <w:rPr>
          <w:rFonts w:asciiTheme="minorHAnsi" w:eastAsiaTheme="minorEastAsia" w:hAnsiTheme="minorHAnsi" w:cstheme="minorBidi"/>
          <w:bCs w:val="0"/>
          <w:noProof/>
        </w:rPr>
      </w:pPr>
      <w:hyperlink w:anchor="_Toc121470274" w:history="1">
        <w:r w:rsidRPr="00A60BBF">
          <w:rPr>
            <w:rStyle w:val="Hyperlink"/>
            <w:rFonts w:eastAsiaTheme="majorEastAsia"/>
            <w:noProof/>
          </w:rPr>
          <w:t>References</w:t>
        </w:r>
        <w:r>
          <w:rPr>
            <w:noProof/>
            <w:webHidden/>
          </w:rPr>
          <w:tab/>
        </w:r>
        <w:r>
          <w:rPr>
            <w:noProof/>
            <w:webHidden/>
          </w:rPr>
          <w:fldChar w:fldCharType="begin"/>
        </w:r>
        <w:r>
          <w:rPr>
            <w:noProof/>
            <w:webHidden/>
          </w:rPr>
          <w:instrText xml:space="preserve"> PAGEREF _Toc121470274 \h </w:instrText>
        </w:r>
        <w:r>
          <w:rPr>
            <w:noProof/>
            <w:webHidden/>
          </w:rPr>
        </w:r>
        <w:r>
          <w:rPr>
            <w:noProof/>
            <w:webHidden/>
          </w:rPr>
          <w:fldChar w:fldCharType="separate"/>
        </w:r>
        <w:r>
          <w:rPr>
            <w:noProof/>
            <w:webHidden/>
          </w:rPr>
          <w:t>57</w:t>
        </w:r>
        <w:r>
          <w:rPr>
            <w:noProof/>
            <w:webHidden/>
          </w:rPr>
          <w:fldChar w:fldCharType="end"/>
        </w:r>
      </w:hyperlink>
    </w:p>
    <w:p w14:paraId="56A6FCAC" w14:textId="2E1146CA" w:rsidR="001D1B97" w:rsidRPr="001D1B97" w:rsidRDefault="008D245E" w:rsidP="001D1B97">
      <w:r>
        <w:rPr>
          <w:rFonts w:cstheme="minorHAnsi"/>
        </w:rPr>
        <w:fldChar w:fldCharType="end"/>
      </w:r>
    </w:p>
    <w:p w14:paraId="7B67CA9A" w14:textId="77777777" w:rsidR="00212749" w:rsidRPr="00212749" w:rsidRDefault="00212749" w:rsidP="00212749">
      <w:pPr>
        <w:pStyle w:val="NoSpacing"/>
      </w:pPr>
    </w:p>
    <w:p w14:paraId="43D5E20C" w14:textId="0B1E0850" w:rsidR="00341DE9" w:rsidRPr="00A2324E" w:rsidRDefault="009C4AFE" w:rsidP="008D245E">
      <w:r>
        <w:fldChar w:fldCharType="begin"/>
      </w:r>
      <w:r>
        <w:instrText xml:space="preserve"> XE "</w:instrText>
      </w:r>
      <w:r w:rsidRPr="00A30080">
        <w:instrText>Table of Contents</w:instrText>
      </w:r>
      <w:r>
        <w:instrText xml:space="preserve">" </w:instrText>
      </w:r>
      <w:r>
        <w:fldChar w:fldCharType="end"/>
      </w:r>
    </w:p>
    <w:p w14:paraId="74082EA0" w14:textId="77777777" w:rsidR="00A83AE7" w:rsidRDefault="00A83AE7">
      <w:pPr>
        <w:spacing w:line="240" w:lineRule="auto"/>
        <w:jc w:val="left"/>
        <w:rPr>
          <w:rFonts w:eastAsiaTheme="majorEastAsia" w:cstheme="majorBidi"/>
          <w:b/>
          <w:color w:val="000000" w:themeColor="text1"/>
          <w:szCs w:val="32"/>
        </w:rPr>
      </w:pPr>
      <w:bookmarkStart w:id="6" w:name="_Toc118484057"/>
      <w:bookmarkStart w:id="7" w:name="_Toc118485269"/>
      <w:r>
        <w:br w:type="page"/>
      </w:r>
    </w:p>
    <w:p w14:paraId="00556215" w14:textId="7E1E8603" w:rsidR="0025366E" w:rsidRDefault="0025366E" w:rsidP="009D1380">
      <w:pPr>
        <w:pStyle w:val="Heading1"/>
        <w:numPr>
          <w:ilvl w:val="0"/>
          <w:numId w:val="0"/>
        </w:numPr>
      </w:pPr>
      <w:bookmarkStart w:id="8" w:name="_Toc121470223"/>
      <w:r>
        <w:lastRenderedPageBreak/>
        <w:t>List of Figures</w:t>
      </w:r>
      <w:bookmarkEnd w:id="6"/>
      <w:bookmarkEnd w:id="7"/>
      <w:bookmarkEnd w:id="8"/>
      <w:r w:rsidR="008813ED">
        <w:fldChar w:fldCharType="begin"/>
      </w:r>
      <w:r w:rsidR="008813ED">
        <w:instrText xml:space="preserve"> XE "</w:instrText>
      </w:r>
      <w:r w:rsidR="008813ED" w:rsidRPr="00324278">
        <w:instrText>List of Figures</w:instrText>
      </w:r>
      <w:r w:rsidR="008813ED">
        <w:instrText xml:space="preserve">" </w:instrText>
      </w:r>
      <w:r w:rsidR="008813ED">
        <w:fldChar w:fldCharType="end"/>
      </w:r>
    </w:p>
    <w:p w14:paraId="57C0E0D2" w14:textId="59D0C9E0" w:rsidR="006F7B7B" w:rsidRDefault="00205265">
      <w:pPr>
        <w:pStyle w:val="TableofFigures"/>
        <w:tabs>
          <w:tab w:val="right" w:leader="dot" w:pos="9350"/>
        </w:tabs>
        <w:rPr>
          <w:rFonts w:asciiTheme="minorHAnsi" w:eastAsiaTheme="minorEastAsia" w:hAnsiTheme="minorHAnsi"/>
          <w:noProof/>
        </w:rPr>
      </w:pPr>
      <w:r w:rsidRPr="00C316A8">
        <w:fldChar w:fldCharType="begin"/>
      </w:r>
      <w:r w:rsidRPr="00C316A8">
        <w:instrText xml:space="preserve"> TOC \h \z \c "Figure" </w:instrText>
      </w:r>
      <w:r w:rsidRPr="00C316A8">
        <w:fldChar w:fldCharType="separate"/>
      </w:r>
      <w:hyperlink w:anchor="_Toc121470275" w:history="1">
        <w:r w:rsidR="006F7B7B" w:rsidRPr="009E6ED0">
          <w:rPr>
            <w:rStyle w:val="Hyperlink"/>
            <w:noProof/>
          </w:rPr>
          <w:t>Figure 1 - Force balance on water-oil-rock system (Standnes 2001).</w:t>
        </w:r>
        <w:r w:rsidR="006F7B7B">
          <w:rPr>
            <w:noProof/>
            <w:webHidden/>
          </w:rPr>
          <w:tab/>
        </w:r>
        <w:r w:rsidR="006F7B7B">
          <w:rPr>
            <w:noProof/>
            <w:webHidden/>
          </w:rPr>
          <w:fldChar w:fldCharType="begin"/>
        </w:r>
        <w:r w:rsidR="006F7B7B">
          <w:rPr>
            <w:noProof/>
            <w:webHidden/>
          </w:rPr>
          <w:instrText xml:space="preserve"> PAGEREF _Toc121470275 \h </w:instrText>
        </w:r>
        <w:r w:rsidR="006F7B7B">
          <w:rPr>
            <w:noProof/>
            <w:webHidden/>
          </w:rPr>
        </w:r>
        <w:r w:rsidR="006F7B7B">
          <w:rPr>
            <w:noProof/>
            <w:webHidden/>
          </w:rPr>
          <w:fldChar w:fldCharType="separate"/>
        </w:r>
        <w:r w:rsidR="006F7B7B">
          <w:rPr>
            <w:noProof/>
            <w:webHidden/>
          </w:rPr>
          <w:t>5</w:t>
        </w:r>
        <w:r w:rsidR="006F7B7B">
          <w:rPr>
            <w:noProof/>
            <w:webHidden/>
          </w:rPr>
          <w:fldChar w:fldCharType="end"/>
        </w:r>
      </w:hyperlink>
    </w:p>
    <w:p w14:paraId="1D7DB8E0" w14:textId="038036CA" w:rsidR="006F7B7B" w:rsidRDefault="006F7B7B">
      <w:pPr>
        <w:pStyle w:val="TableofFigures"/>
        <w:tabs>
          <w:tab w:val="right" w:leader="dot" w:pos="9350"/>
        </w:tabs>
        <w:rPr>
          <w:rFonts w:asciiTheme="minorHAnsi" w:eastAsiaTheme="minorEastAsia" w:hAnsiTheme="minorHAnsi"/>
          <w:noProof/>
        </w:rPr>
      </w:pPr>
      <w:hyperlink w:anchor="_Toc121470276" w:history="1">
        <w:r w:rsidRPr="009E6ED0">
          <w:rPr>
            <w:rStyle w:val="Hyperlink"/>
            <w:noProof/>
          </w:rPr>
          <w:t>Figure 2 - General structure of surfactant molecule.</w:t>
        </w:r>
        <w:r>
          <w:rPr>
            <w:noProof/>
            <w:webHidden/>
          </w:rPr>
          <w:tab/>
        </w:r>
        <w:r>
          <w:rPr>
            <w:noProof/>
            <w:webHidden/>
          </w:rPr>
          <w:fldChar w:fldCharType="begin"/>
        </w:r>
        <w:r>
          <w:rPr>
            <w:noProof/>
            <w:webHidden/>
          </w:rPr>
          <w:instrText xml:space="preserve"> PAGEREF _Toc121470276 \h </w:instrText>
        </w:r>
        <w:r>
          <w:rPr>
            <w:noProof/>
            <w:webHidden/>
          </w:rPr>
        </w:r>
        <w:r>
          <w:rPr>
            <w:noProof/>
            <w:webHidden/>
          </w:rPr>
          <w:fldChar w:fldCharType="separate"/>
        </w:r>
        <w:r>
          <w:rPr>
            <w:noProof/>
            <w:webHidden/>
          </w:rPr>
          <w:t>7</w:t>
        </w:r>
        <w:r>
          <w:rPr>
            <w:noProof/>
            <w:webHidden/>
          </w:rPr>
          <w:fldChar w:fldCharType="end"/>
        </w:r>
      </w:hyperlink>
    </w:p>
    <w:p w14:paraId="7B2A2204" w14:textId="3B9229AB" w:rsidR="006F7B7B" w:rsidRDefault="006F7B7B">
      <w:pPr>
        <w:pStyle w:val="TableofFigures"/>
        <w:tabs>
          <w:tab w:val="right" w:leader="dot" w:pos="9350"/>
        </w:tabs>
        <w:rPr>
          <w:rFonts w:asciiTheme="minorHAnsi" w:eastAsiaTheme="minorEastAsia" w:hAnsiTheme="minorHAnsi"/>
          <w:noProof/>
        </w:rPr>
      </w:pPr>
      <w:hyperlink w:anchor="_Toc121470277" w:history="1">
        <w:r w:rsidRPr="009E6ED0">
          <w:rPr>
            <w:rStyle w:val="Hyperlink"/>
            <w:noProof/>
          </w:rPr>
          <w:t>Figure 3 - Model showing wettability alteration. (a) ion-pair formation mechanism, and (b) surfactant adsorption mechanism (Standnes &amp; Austad 2000; Bashir et al. 2021).</w:t>
        </w:r>
        <w:r>
          <w:rPr>
            <w:noProof/>
            <w:webHidden/>
          </w:rPr>
          <w:tab/>
        </w:r>
        <w:r>
          <w:rPr>
            <w:noProof/>
            <w:webHidden/>
          </w:rPr>
          <w:fldChar w:fldCharType="begin"/>
        </w:r>
        <w:r>
          <w:rPr>
            <w:noProof/>
            <w:webHidden/>
          </w:rPr>
          <w:instrText xml:space="preserve"> PAGEREF _Toc121470277 \h </w:instrText>
        </w:r>
        <w:r>
          <w:rPr>
            <w:noProof/>
            <w:webHidden/>
          </w:rPr>
        </w:r>
        <w:r>
          <w:rPr>
            <w:noProof/>
            <w:webHidden/>
          </w:rPr>
          <w:fldChar w:fldCharType="separate"/>
        </w:r>
        <w:r>
          <w:rPr>
            <w:noProof/>
            <w:webHidden/>
          </w:rPr>
          <w:t>9</w:t>
        </w:r>
        <w:r>
          <w:rPr>
            <w:noProof/>
            <w:webHidden/>
          </w:rPr>
          <w:fldChar w:fldCharType="end"/>
        </w:r>
      </w:hyperlink>
    </w:p>
    <w:p w14:paraId="1A67FFF2" w14:textId="03D24E19" w:rsidR="006F7B7B" w:rsidRDefault="006F7B7B">
      <w:pPr>
        <w:pStyle w:val="TableofFigures"/>
        <w:tabs>
          <w:tab w:val="right" w:leader="dot" w:pos="9350"/>
        </w:tabs>
        <w:rPr>
          <w:rFonts w:asciiTheme="minorHAnsi" w:eastAsiaTheme="minorEastAsia" w:hAnsiTheme="minorHAnsi"/>
          <w:noProof/>
        </w:rPr>
      </w:pPr>
      <w:hyperlink w:anchor="_Toc121470278" w:history="1">
        <w:r w:rsidRPr="009E6ED0">
          <w:rPr>
            <w:rStyle w:val="Hyperlink"/>
            <w:noProof/>
          </w:rPr>
          <w:t>Figure 4 - Surface tension variation with increase in surfactant concertation (Kruss 2022).</w:t>
        </w:r>
        <w:r>
          <w:rPr>
            <w:noProof/>
            <w:webHidden/>
          </w:rPr>
          <w:tab/>
        </w:r>
        <w:r>
          <w:rPr>
            <w:noProof/>
            <w:webHidden/>
          </w:rPr>
          <w:fldChar w:fldCharType="begin"/>
        </w:r>
        <w:r>
          <w:rPr>
            <w:noProof/>
            <w:webHidden/>
          </w:rPr>
          <w:instrText xml:space="preserve"> PAGEREF _Toc121470278 \h </w:instrText>
        </w:r>
        <w:r>
          <w:rPr>
            <w:noProof/>
            <w:webHidden/>
          </w:rPr>
        </w:r>
        <w:r>
          <w:rPr>
            <w:noProof/>
            <w:webHidden/>
          </w:rPr>
          <w:fldChar w:fldCharType="separate"/>
        </w:r>
        <w:r>
          <w:rPr>
            <w:noProof/>
            <w:webHidden/>
          </w:rPr>
          <w:t>10</w:t>
        </w:r>
        <w:r>
          <w:rPr>
            <w:noProof/>
            <w:webHidden/>
          </w:rPr>
          <w:fldChar w:fldCharType="end"/>
        </w:r>
      </w:hyperlink>
    </w:p>
    <w:p w14:paraId="22D2B092" w14:textId="53138C77" w:rsidR="006F7B7B" w:rsidRDefault="006F7B7B">
      <w:pPr>
        <w:pStyle w:val="TableofFigures"/>
        <w:tabs>
          <w:tab w:val="right" w:leader="dot" w:pos="9350"/>
        </w:tabs>
        <w:rPr>
          <w:rFonts w:asciiTheme="minorHAnsi" w:eastAsiaTheme="minorEastAsia" w:hAnsiTheme="minorHAnsi"/>
          <w:noProof/>
        </w:rPr>
      </w:pPr>
      <w:hyperlink w:anchor="_Toc121470279" w:history="1">
        <w:r w:rsidRPr="009E6ED0">
          <w:rPr>
            <w:rStyle w:val="Hyperlink"/>
            <w:bCs/>
            <w:noProof/>
          </w:rPr>
          <w:t>Figure 5 - Step by step experimental workflow for surfactant adsorption measurements used in this study.</w:t>
        </w:r>
        <w:r>
          <w:rPr>
            <w:noProof/>
            <w:webHidden/>
          </w:rPr>
          <w:tab/>
        </w:r>
        <w:r>
          <w:rPr>
            <w:noProof/>
            <w:webHidden/>
          </w:rPr>
          <w:fldChar w:fldCharType="begin"/>
        </w:r>
        <w:r>
          <w:rPr>
            <w:noProof/>
            <w:webHidden/>
          </w:rPr>
          <w:instrText xml:space="preserve"> PAGEREF _Toc121470279 \h </w:instrText>
        </w:r>
        <w:r>
          <w:rPr>
            <w:noProof/>
            <w:webHidden/>
          </w:rPr>
        </w:r>
        <w:r>
          <w:rPr>
            <w:noProof/>
            <w:webHidden/>
          </w:rPr>
          <w:fldChar w:fldCharType="separate"/>
        </w:r>
        <w:r>
          <w:rPr>
            <w:noProof/>
            <w:webHidden/>
          </w:rPr>
          <w:t>23</w:t>
        </w:r>
        <w:r>
          <w:rPr>
            <w:noProof/>
            <w:webHidden/>
          </w:rPr>
          <w:fldChar w:fldCharType="end"/>
        </w:r>
      </w:hyperlink>
    </w:p>
    <w:p w14:paraId="07CC99B9" w14:textId="2B7C84A4" w:rsidR="006F7B7B" w:rsidRDefault="006F7B7B">
      <w:pPr>
        <w:pStyle w:val="TableofFigures"/>
        <w:tabs>
          <w:tab w:val="right" w:leader="dot" w:pos="9350"/>
        </w:tabs>
        <w:rPr>
          <w:rFonts w:asciiTheme="minorHAnsi" w:eastAsiaTheme="minorEastAsia" w:hAnsiTheme="minorHAnsi"/>
          <w:noProof/>
        </w:rPr>
      </w:pPr>
      <w:hyperlink w:anchor="_Toc121470280" w:history="1">
        <w:r w:rsidRPr="009E6ED0">
          <w:rPr>
            <w:rStyle w:val="Hyperlink"/>
            <w:bCs/>
            <w:noProof/>
          </w:rPr>
          <w:t>Figure 6 - Experimental setup used in this study to imbibe plug samples in produced brine and surfactant solutions.</w:t>
        </w:r>
        <w:r>
          <w:rPr>
            <w:noProof/>
            <w:webHidden/>
          </w:rPr>
          <w:tab/>
        </w:r>
        <w:r>
          <w:rPr>
            <w:noProof/>
            <w:webHidden/>
          </w:rPr>
          <w:fldChar w:fldCharType="begin"/>
        </w:r>
        <w:r>
          <w:rPr>
            <w:noProof/>
            <w:webHidden/>
          </w:rPr>
          <w:instrText xml:space="preserve"> PAGEREF _Toc121470280 \h </w:instrText>
        </w:r>
        <w:r>
          <w:rPr>
            <w:noProof/>
            <w:webHidden/>
          </w:rPr>
        </w:r>
        <w:r>
          <w:rPr>
            <w:noProof/>
            <w:webHidden/>
          </w:rPr>
          <w:fldChar w:fldCharType="separate"/>
        </w:r>
        <w:r>
          <w:rPr>
            <w:noProof/>
            <w:webHidden/>
          </w:rPr>
          <w:t>26</w:t>
        </w:r>
        <w:r>
          <w:rPr>
            <w:noProof/>
            <w:webHidden/>
          </w:rPr>
          <w:fldChar w:fldCharType="end"/>
        </w:r>
      </w:hyperlink>
    </w:p>
    <w:p w14:paraId="4F320906" w14:textId="6615A2FE" w:rsidR="006F7B7B" w:rsidRDefault="006F7B7B">
      <w:pPr>
        <w:pStyle w:val="TableofFigures"/>
        <w:tabs>
          <w:tab w:val="right" w:leader="dot" w:pos="9350"/>
        </w:tabs>
        <w:rPr>
          <w:rFonts w:asciiTheme="minorHAnsi" w:eastAsiaTheme="minorEastAsia" w:hAnsiTheme="minorHAnsi"/>
          <w:noProof/>
        </w:rPr>
      </w:pPr>
      <w:hyperlink w:anchor="_Toc121470281" w:history="1">
        <w:r w:rsidRPr="009E6ED0">
          <w:rPr>
            <w:rStyle w:val="Hyperlink"/>
            <w:bCs/>
            <w:noProof/>
          </w:rPr>
          <w:t>Figure 7 - Step by step experimental workflow for produced brine and surfactant imbibition measurements used in this study.</w:t>
        </w:r>
        <w:r>
          <w:rPr>
            <w:noProof/>
            <w:webHidden/>
          </w:rPr>
          <w:tab/>
        </w:r>
        <w:r>
          <w:rPr>
            <w:noProof/>
            <w:webHidden/>
          </w:rPr>
          <w:fldChar w:fldCharType="begin"/>
        </w:r>
        <w:r>
          <w:rPr>
            <w:noProof/>
            <w:webHidden/>
          </w:rPr>
          <w:instrText xml:space="preserve"> PAGEREF _Toc121470281 \h </w:instrText>
        </w:r>
        <w:r>
          <w:rPr>
            <w:noProof/>
            <w:webHidden/>
          </w:rPr>
        </w:r>
        <w:r>
          <w:rPr>
            <w:noProof/>
            <w:webHidden/>
          </w:rPr>
          <w:fldChar w:fldCharType="separate"/>
        </w:r>
        <w:r>
          <w:rPr>
            <w:noProof/>
            <w:webHidden/>
          </w:rPr>
          <w:t>26</w:t>
        </w:r>
        <w:r>
          <w:rPr>
            <w:noProof/>
            <w:webHidden/>
          </w:rPr>
          <w:fldChar w:fldCharType="end"/>
        </w:r>
      </w:hyperlink>
    </w:p>
    <w:p w14:paraId="4D911B92" w14:textId="1C21A4B2" w:rsidR="006F7B7B" w:rsidRDefault="006F7B7B">
      <w:pPr>
        <w:pStyle w:val="TableofFigures"/>
        <w:tabs>
          <w:tab w:val="right" w:leader="dot" w:pos="9350"/>
        </w:tabs>
        <w:rPr>
          <w:rFonts w:asciiTheme="minorHAnsi" w:eastAsiaTheme="minorEastAsia" w:hAnsiTheme="minorHAnsi"/>
          <w:noProof/>
        </w:rPr>
      </w:pPr>
      <w:hyperlink w:anchor="_Toc121470282" w:history="1">
        <w:r w:rsidRPr="009E6ED0">
          <w:rPr>
            <w:rStyle w:val="Hyperlink"/>
            <w:noProof/>
          </w:rPr>
          <w:t>Figure 8 - NMR T1-T2 maps of sandstone samples pre and post-imbibition using produced brine. (a) shows bound fluid inside the sample after cleaning and drying, (b) shows the total volume of total fluid inside the sample (crude oil plus bound fluid) after oil saturation with one signal relaxing elongated over T1/T2 ratio due to presence of hydrocarbons with varying carbon number, and (c) showing two main signals relaxing at different T1/T2 ratios which indicate presence of two different fluids inside the sample. Highlighted region here shows oil present inside the sample post-imbibition.</w:t>
        </w:r>
        <w:r>
          <w:rPr>
            <w:noProof/>
            <w:webHidden/>
          </w:rPr>
          <w:tab/>
        </w:r>
        <w:r>
          <w:rPr>
            <w:noProof/>
            <w:webHidden/>
          </w:rPr>
          <w:fldChar w:fldCharType="begin"/>
        </w:r>
        <w:r>
          <w:rPr>
            <w:noProof/>
            <w:webHidden/>
          </w:rPr>
          <w:instrText xml:space="preserve"> PAGEREF _Toc121470282 \h </w:instrText>
        </w:r>
        <w:r>
          <w:rPr>
            <w:noProof/>
            <w:webHidden/>
          </w:rPr>
        </w:r>
        <w:r>
          <w:rPr>
            <w:noProof/>
            <w:webHidden/>
          </w:rPr>
          <w:fldChar w:fldCharType="separate"/>
        </w:r>
        <w:r>
          <w:rPr>
            <w:noProof/>
            <w:webHidden/>
          </w:rPr>
          <w:t>27</w:t>
        </w:r>
        <w:r>
          <w:rPr>
            <w:noProof/>
            <w:webHidden/>
          </w:rPr>
          <w:fldChar w:fldCharType="end"/>
        </w:r>
      </w:hyperlink>
    </w:p>
    <w:p w14:paraId="52DB9B8F" w14:textId="1B07F3F4" w:rsidR="006F7B7B" w:rsidRDefault="006F7B7B">
      <w:pPr>
        <w:pStyle w:val="TableofFigures"/>
        <w:tabs>
          <w:tab w:val="right" w:leader="dot" w:pos="9350"/>
        </w:tabs>
        <w:rPr>
          <w:rFonts w:asciiTheme="minorHAnsi" w:eastAsiaTheme="minorEastAsia" w:hAnsiTheme="minorHAnsi"/>
          <w:noProof/>
        </w:rPr>
      </w:pPr>
      <w:hyperlink w:anchor="_Toc121470283" w:history="1">
        <w:r w:rsidRPr="009E6ED0">
          <w:rPr>
            <w:rStyle w:val="Hyperlink"/>
            <w:noProof/>
          </w:rPr>
          <w:t>Figure 9 - NMR T2 measurements of three samples saturated with oil before imbibition. T2 spectra here show two peaks, with second peak having higher amplitude showing oil inside the sample. With all the T2 spectra overlapping each other very closely, we can say that the sample reached similar initial oil saturation.</w:t>
        </w:r>
        <w:r>
          <w:rPr>
            <w:noProof/>
            <w:webHidden/>
          </w:rPr>
          <w:tab/>
        </w:r>
        <w:r>
          <w:rPr>
            <w:noProof/>
            <w:webHidden/>
          </w:rPr>
          <w:fldChar w:fldCharType="begin"/>
        </w:r>
        <w:r>
          <w:rPr>
            <w:noProof/>
            <w:webHidden/>
          </w:rPr>
          <w:instrText xml:space="preserve"> PAGEREF _Toc121470283 \h </w:instrText>
        </w:r>
        <w:r>
          <w:rPr>
            <w:noProof/>
            <w:webHidden/>
          </w:rPr>
        </w:r>
        <w:r>
          <w:rPr>
            <w:noProof/>
            <w:webHidden/>
          </w:rPr>
          <w:fldChar w:fldCharType="separate"/>
        </w:r>
        <w:r>
          <w:rPr>
            <w:noProof/>
            <w:webHidden/>
          </w:rPr>
          <w:t>28</w:t>
        </w:r>
        <w:r>
          <w:rPr>
            <w:noProof/>
            <w:webHidden/>
          </w:rPr>
          <w:fldChar w:fldCharType="end"/>
        </w:r>
      </w:hyperlink>
    </w:p>
    <w:p w14:paraId="4DEBAFE4" w14:textId="347C5AA2" w:rsidR="006F7B7B" w:rsidRDefault="006F7B7B">
      <w:pPr>
        <w:pStyle w:val="TableofFigures"/>
        <w:tabs>
          <w:tab w:val="right" w:leader="dot" w:pos="9350"/>
        </w:tabs>
        <w:rPr>
          <w:rFonts w:asciiTheme="minorHAnsi" w:eastAsiaTheme="minorEastAsia" w:hAnsiTheme="minorHAnsi"/>
          <w:noProof/>
        </w:rPr>
      </w:pPr>
      <w:hyperlink w:anchor="_Toc121470284" w:history="1">
        <w:r w:rsidRPr="009E6ED0">
          <w:rPr>
            <w:rStyle w:val="Hyperlink"/>
            <w:bCs/>
            <w:noProof/>
          </w:rPr>
          <w:t xml:space="preserve">Figure 10 - </w:t>
        </w:r>
        <w:r w:rsidRPr="009E6ED0">
          <w:rPr>
            <w:rStyle w:val="Hyperlink"/>
            <w:rFonts w:eastAsiaTheme="minorHAnsi"/>
            <w:bCs/>
            <w:noProof/>
          </w:rPr>
          <w:t>NMR T1-T2 map showing two signals relaxing at different T1/T2 ratios after imbibition with produced brine, pre-surfactant 1.</w:t>
        </w:r>
        <w:r>
          <w:rPr>
            <w:noProof/>
            <w:webHidden/>
          </w:rPr>
          <w:tab/>
        </w:r>
        <w:r>
          <w:rPr>
            <w:noProof/>
            <w:webHidden/>
          </w:rPr>
          <w:fldChar w:fldCharType="begin"/>
        </w:r>
        <w:r>
          <w:rPr>
            <w:noProof/>
            <w:webHidden/>
          </w:rPr>
          <w:instrText xml:space="preserve"> PAGEREF _Toc121470284 \h </w:instrText>
        </w:r>
        <w:r>
          <w:rPr>
            <w:noProof/>
            <w:webHidden/>
          </w:rPr>
        </w:r>
        <w:r>
          <w:rPr>
            <w:noProof/>
            <w:webHidden/>
          </w:rPr>
          <w:fldChar w:fldCharType="separate"/>
        </w:r>
        <w:r>
          <w:rPr>
            <w:noProof/>
            <w:webHidden/>
          </w:rPr>
          <w:t>29</w:t>
        </w:r>
        <w:r>
          <w:rPr>
            <w:noProof/>
            <w:webHidden/>
          </w:rPr>
          <w:fldChar w:fldCharType="end"/>
        </w:r>
      </w:hyperlink>
    </w:p>
    <w:p w14:paraId="65C789BA" w14:textId="5A8031F6" w:rsidR="006F7B7B" w:rsidRDefault="006F7B7B">
      <w:pPr>
        <w:pStyle w:val="TableofFigures"/>
        <w:tabs>
          <w:tab w:val="right" w:leader="dot" w:pos="9350"/>
        </w:tabs>
        <w:rPr>
          <w:rFonts w:asciiTheme="minorHAnsi" w:eastAsiaTheme="minorEastAsia" w:hAnsiTheme="minorHAnsi"/>
          <w:noProof/>
        </w:rPr>
      </w:pPr>
      <w:hyperlink w:anchor="_Toc121470285" w:history="1">
        <w:r w:rsidRPr="009E6ED0">
          <w:rPr>
            <w:rStyle w:val="Hyperlink"/>
            <w:noProof/>
          </w:rPr>
          <w:t>Figure 11 - NMR T1-T2 maps of sandstone sample after imbibition with NMR doping agent. Post imbibition with brine, sample shows two signals relaxing at different T1/T2 ratios. To distinguish water and oil signal and to quantify oil recovery, sample was imbibed in D</w:t>
        </w:r>
        <w:r w:rsidRPr="009E6ED0">
          <w:rPr>
            <w:rStyle w:val="Hyperlink"/>
            <w:noProof/>
            <w:vertAlign w:val="subscript"/>
          </w:rPr>
          <w:t>2</w:t>
        </w:r>
        <w:r w:rsidRPr="009E6ED0">
          <w:rPr>
            <w:rStyle w:val="Hyperlink"/>
            <w:noProof/>
          </w:rPr>
          <w:t>O for 8 days. With time we see a decrease in amplitude of signal having faster relaxation, which shows it is water, while the signal having slower relaxation remains the same, which shows it is oil.</w:t>
        </w:r>
        <w:r>
          <w:rPr>
            <w:noProof/>
            <w:webHidden/>
          </w:rPr>
          <w:tab/>
        </w:r>
        <w:r>
          <w:rPr>
            <w:noProof/>
            <w:webHidden/>
          </w:rPr>
          <w:fldChar w:fldCharType="begin"/>
        </w:r>
        <w:r>
          <w:rPr>
            <w:noProof/>
            <w:webHidden/>
          </w:rPr>
          <w:instrText xml:space="preserve"> PAGEREF _Toc121470285 \h </w:instrText>
        </w:r>
        <w:r>
          <w:rPr>
            <w:noProof/>
            <w:webHidden/>
          </w:rPr>
        </w:r>
        <w:r>
          <w:rPr>
            <w:noProof/>
            <w:webHidden/>
          </w:rPr>
          <w:fldChar w:fldCharType="separate"/>
        </w:r>
        <w:r>
          <w:rPr>
            <w:noProof/>
            <w:webHidden/>
          </w:rPr>
          <w:t>30</w:t>
        </w:r>
        <w:r>
          <w:rPr>
            <w:noProof/>
            <w:webHidden/>
          </w:rPr>
          <w:fldChar w:fldCharType="end"/>
        </w:r>
      </w:hyperlink>
    </w:p>
    <w:p w14:paraId="32FBA4D9" w14:textId="788F4393" w:rsidR="006F7B7B" w:rsidRDefault="006F7B7B">
      <w:pPr>
        <w:pStyle w:val="TableofFigures"/>
        <w:tabs>
          <w:tab w:val="right" w:leader="dot" w:pos="9350"/>
        </w:tabs>
        <w:rPr>
          <w:rFonts w:asciiTheme="minorHAnsi" w:eastAsiaTheme="minorEastAsia" w:hAnsiTheme="minorHAnsi"/>
          <w:noProof/>
        </w:rPr>
      </w:pPr>
      <w:hyperlink w:anchor="_Toc121470286" w:history="1">
        <w:r w:rsidRPr="009E6ED0">
          <w:rPr>
            <w:rStyle w:val="Hyperlink"/>
            <w:noProof/>
          </w:rPr>
          <w:t>Figure 12 - Surfactant stability tests shows surfactants are stable at 2 gpt concentration as the solutions remained transparent after 3 days at 70</w:t>
        </w:r>
        <w:r w:rsidRPr="009E6ED0">
          <w:rPr>
            <w:rStyle w:val="Hyperlink"/>
            <w:noProof/>
            <w:vertAlign w:val="superscript"/>
          </w:rPr>
          <w:t>o</w:t>
        </w:r>
        <w:r w:rsidRPr="009E6ED0">
          <w:rPr>
            <w:rStyle w:val="Hyperlink"/>
            <w:noProof/>
          </w:rPr>
          <w:t>F and 145</w:t>
        </w:r>
        <w:r w:rsidRPr="009E6ED0">
          <w:rPr>
            <w:rStyle w:val="Hyperlink"/>
            <w:noProof/>
            <w:vertAlign w:val="superscript"/>
          </w:rPr>
          <w:t>o</w:t>
        </w:r>
        <w:r w:rsidRPr="009E6ED0">
          <w:rPr>
            <w:rStyle w:val="Hyperlink"/>
            <w:noProof/>
          </w:rPr>
          <w:t>F.</w:t>
        </w:r>
        <w:r>
          <w:rPr>
            <w:noProof/>
            <w:webHidden/>
          </w:rPr>
          <w:tab/>
        </w:r>
        <w:r>
          <w:rPr>
            <w:noProof/>
            <w:webHidden/>
          </w:rPr>
          <w:fldChar w:fldCharType="begin"/>
        </w:r>
        <w:r>
          <w:rPr>
            <w:noProof/>
            <w:webHidden/>
          </w:rPr>
          <w:instrText xml:space="preserve"> PAGEREF _Toc121470286 \h </w:instrText>
        </w:r>
        <w:r>
          <w:rPr>
            <w:noProof/>
            <w:webHidden/>
          </w:rPr>
        </w:r>
        <w:r>
          <w:rPr>
            <w:noProof/>
            <w:webHidden/>
          </w:rPr>
          <w:fldChar w:fldCharType="separate"/>
        </w:r>
        <w:r>
          <w:rPr>
            <w:noProof/>
            <w:webHidden/>
          </w:rPr>
          <w:t>33</w:t>
        </w:r>
        <w:r>
          <w:rPr>
            <w:noProof/>
            <w:webHidden/>
          </w:rPr>
          <w:fldChar w:fldCharType="end"/>
        </w:r>
      </w:hyperlink>
    </w:p>
    <w:p w14:paraId="7AEFF178" w14:textId="1A4185F7" w:rsidR="006F7B7B" w:rsidRDefault="006F7B7B">
      <w:pPr>
        <w:pStyle w:val="TableofFigures"/>
        <w:tabs>
          <w:tab w:val="right" w:leader="dot" w:pos="9350"/>
        </w:tabs>
        <w:rPr>
          <w:rFonts w:asciiTheme="minorHAnsi" w:eastAsiaTheme="minorEastAsia" w:hAnsiTheme="minorHAnsi"/>
          <w:noProof/>
        </w:rPr>
      </w:pPr>
      <w:hyperlink w:anchor="_Toc121470287" w:history="1">
        <w:r w:rsidRPr="009E6ED0">
          <w:rPr>
            <w:rStyle w:val="Hyperlink"/>
            <w:noProof/>
          </w:rPr>
          <w:t>Figure 13 - IFT measurement of produced brine and three surfactants at 2 gpt concentration.</w:t>
        </w:r>
        <w:r>
          <w:rPr>
            <w:noProof/>
            <w:webHidden/>
          </w:rPr>
          <w:tab/>
        </w:r>
        <w:r>
          <w:rPr>
            <w:noProof/>
            <w:webHidden/>
          </w:rPr>
          <w:fldChar w:fldCharType="begin"/>
        </w:r>
        <w:r>
          <w:rPr>
            <w:noProof/>
            <w:webHidden/>
          </w:rPr>
          <w:instrText xml:space="preserve"> PAGEREF _Toc121470287 \h </w:instrText>
        </w:r>
        <w:r>
          <w:rPr>
            <w:noProof/>
            <w:webHidden/>
          </w:rPr>
        </w:r>
        <w:r>
          <w:rPr>
            <w:noProof/>
            <w:webHidden/>
          </w:rPr>
          <w:fldChar w:fldCharType="separate"/>
        </w:r>
        <w:r>
          <w:rPr>
            <w:noProof/>
            <w:webHidden/>
          </w:rPr>
          <w:t>34</w:t>
        </w:r>
        <w:r>
          <w:rPr>
            <w:noProof/>
            <w:webHidden/>
          </w:rPr>
          <w:fldChar w:fldCharType="end"/>
        </w:r>
      </w:hyperlink>
    </w:p>
    <w:p w14:paraId="620F8439" w14:textId="4A0E5A31" w:rsidR="006F7B7B" w:rsidRDefault="006F7B7B">
      <w:pPr>
        <w:pStyle w:val="TableofFigures"/>
        <w:tabs>
          <w:tab w:val="right" w:leader="dot" w:pos="9350"/>
        </w:tabs>
        <w:rPr>
          <w:rFonts w:asciiTheme="minorHAnsi" w:eastAsiaTheme="minorEastAsia" w:hAnsiTheme="minorHAnsi"/>
          <w:noProof/>
        </w:rPr>
      </w:pPr>
      <w:hyperlink w:anchor="_Toc121470288" w:history="1">
        <w:r w:rsidRPr="009E6ED0">
          <w:rPr>
            <w:rStyle w:val="Hyperlink"/>
            <w:noProof/>
          </w:rPr>
          <w:t>Figure 14 - ICP analysis of produced brine and surfactant solution at 2 gpt concentration showing major ion constituents.</w:t>
        </w:r>
        <w:r>
          <w:rPr>
            <w:noProof/>
            <w:webHidden/>
          </w:rPr>
          <w:tab/>
        </w:r>
        <w:r>
          <w:rPr>
            <w:noProof/>
            <w:webHidden/>
          </w:rPr>
          <w:fldChar w:fldCharType="begin"/>
        </w:r>
        <w:r>
          <w:rPr>
            <w:noProof/>
            <w:webHidden/>
          </w:rPr>
          <w:instrText xml:space="preserve"> PAGEREF _Toc121470288 \h </w:instrText>
        </w:r>
        <w:r>
          <w:rPr>
            <w:noProof/>
            <w:webHidden/>
          </w:rPr>
        </w:r>
        <w:r>
          <w:rPr>
            <w:noProof/>
            <w:webHidden/>
          </w:rPr>
          <w:fldChar w:fldCharType="separate"/>
        </w:r>
        <w:r>
          <w:rPr>
            <w:noProof/>
            <w:webHidden/>
          </w:rPr>
          <w:t>35</w:t>
        </w:r>
        <w:r>
          <w:rPr>
            <w:noProof/>
            <w:webHidden/>
          </w:rPr>
          <w:fldChar w:fldCharType="end"/>
        </w:r>
      </w:hyperlink>
    </w:p>
    <w:p w14:paraId="085073D3" w14:textId="791712A4" w:rsidR="006F7B7B" w:rsidRDefault="006F7B7B">
      <w:pPr>
        <w:pStyle w:val="TableofFigures"/>
        <w:tabs>
          <w:tab w:val="right" w:leader="dot" w:pos="9350"/>
        </w:tabs>
        <w:rPr>
          <w:rFonts w:asciiTheme="minorHAnsi" w:eastAsiaTheme="minorEastAsia" w:hAnsiTheme="minorHAnsi"/>
          <w:noProof/>
        </w:rPr>
      </w:pPr>
      <w:hyperlink w:anchor="_Toc121470289" w:history="1">
        <w:r w:rsidRPr="009E6ED0">
          <w:rPr>
            <w:rStyle w:val="Hyperlink"/>
            <w:noProof/>
          </w:rPr>
          <w:t>Figure 15 - Surface tension at variable surfactant concentration for CMC measurement.</w:t>
        </w:r>
        <w:r>
          <w:rPr>
            <w:noProof/>
            <w:webHidden/>
          </w:rPr>
          <w:tab/>
        </w:r>
        <w:r>
          <w:rPr>
            <w:noProof/>
            <w:webHidden/>
          </w:rPr>
          <w:fldChar w:fldCharType="begin"/>
        </w:r>
        <w:r>
          <w:rPr>
            <w:noProof/>
            <w:webHidden/>
          </w:rPr>
          <w:instrText xml:space="preserve"> PAGEREF _Toc121470289 \h </w:instrText>
        </w:r>
        <w:r>
          <w:rPr>
            <w:noProof/>
            <w:webHidden/>
          </w:rPr>
        </w:r>
        <w:r>
          <w:rPr>
            <w:noProof/>
            <w:webHidden/>
          </w:rPr>
          <w:fldChar w:fldCharType="separate"/>
        </w:r>
        <w:r>
          <w:rPr>
            <w:noProof/>
            <w:webHidden/>
          </w:rPr>
          <w:t>36</w:t>
        </w:r>
        <w:r>
          <w:rPr>
            <w:noProof/>
            <w:webHidden/>
          </w:rPr>
          <w:fldChar w:fldCharType="end"/>
        </w:r>
      </w:hyperlink>
    </w:p>
    <w:p w14:paraId="11781576" w14:textId="17A16FA8" w:rsidR="006F7B7B" w:rsidRDefault="006F7B7B">
      <w:pPr>
        <w:pStyle w:val="TableofFigures"/>
        <w:tabs>
          <w:tab w:val="right" w:leader="dot" w:pos="9350"/>
        </w:tabs>
        <w:rPr>
          <w:rFonts w:asciiTheme="minorHAnsi" w:eastAsiaTheme="minorEastAsia" w:hAnsiTheme="minorHAnsi"/>
          <w:noProof/>
        </w:rPr>
      </w:pPr>
      <w:hyperlink w:anchor="_Toc121470290" w:history="1">
        <w:r w:rsidRPr="009E6ED0">
          <w:rPr>
            <w:rStyle w:val="Hyperlink"/>
            <w:noProof/>
          </w:rPr>
          <w:t>Figure 16 - IFT measurement of produced brine and surfactants at 2 gpt concentration.</w:t>
        </w:r>
        <w:r>
          <w:rPr>
            <w:noProof/>
            <w:webHidden/>
          </w:rPr>
          <w:tab/>
        </w:r>
        <w:r>
          <w:rPr>
            <w:noProof/>
            <w:webHidden/>
          </w:rPr>
          <w:fldChar w:fldCharType="begin"/>
        </w:r>
        <w:r>
          <w:rPr>
            <w:noProof/>
            <w:webHidden/>
          </w:rPr>
          <w:instrText xml:space="preserve"> PAGEREF _Toc121470290 \h </w:instrText>
        </w:r>
        <w:r>
          <w:rPr>
            <w:noProof/>
            <w:webHidden/>
          </w:rPr>
        </w:r>
        <w:r>
          <w:rPr>
            <w:noProof/>
            <w:webHidden/>
          </w:rPr>
          <w:fldChar w:fldCharType="separate"/>
        </w:r>
        <w:r>
          <w:rPr>
            <w:noProof/>
            <w:webHidden/>
          </w:rPr>
          <w:t>37</w:t>
        </w:r>
        <w:r>
          <w:rPr>
            <w:noProof/>
            <w:webHidden/>
          </w:rPr>
          <w:fldChar w:fldCharType="end"/>
        </w:r>
      </w:hyperlink>
    </w:p>
    <w:p w14:paraId="46DBFEFF" w14:textId="2345CEF8" w:rsidR="006F7B7B" w:rsidRDefault="006F7B7B">
      <w:pPr>
        <w:pStyle w:val="TableofFigures"/>
        <w:tabs>
          <w:tab w:val="right" w:leader="dot" w:pos="9350"/>
        </w:tabs>
        <w:rPr>
          <w:rFonts w:asciiTheme="minorHAnsi" w:eastAsiaTheme="minorEastAsia" w:hAnsiTheme="minorHAnsi"/>
          <w:noProof/>
        </w:rPr>
      </w:pPr>
      <w:hyperlink w:anchor="_Toc121470291" w:history="1">
        <w:r w:rsidRPr="009E6ED0">
          <w:rPr>
            <w:rStyle w:val="Hyperlink"/>
            <w:noProof/>
          </w:rPr>
          <w:t>Figure 17 - Contact angle measurements between sandstone samples and surfactants at 2 gpt concentration along with produced brine used in this study. Measurements post oil saturation shows all the samples are oil-and-intermediate wet. After imbibition with brine, the sample remains intermediate wet. With surfactants, the samples become water wet.</w:t>
        </w:r>
        <w:r>
          <w:rPr>
            <w:noProof/>
            <w:webHidden/>
          </w:rPr>
          <w:tab/>
        </w:r>
        <w:r>
          <w:rPr>
            <w:noProof/>
            <w:webHidden/>
          </w:rPr>
          <w:fldChar w:fldCharType="begin"/>
        </w:r>
        <w:r>
          <w:rPr>
            <w:noProof/>
            <w:webHidden/>
          </w:rPr>
          <w:instrText xml:space="preserve"> PAGEREF _Toc121470291 \h </w:instrText>
        </w:r>
        <w:r>
          <w:rPr>
            <w:noProof/>
            <w:webHidden/>
          </w:rPr>
        </w:r>
        <w:r>
          <w:rPr>
            <w:noProof/>
            <w:webHidden/>
          </w:rPr>
          <w:fldChar w:fldCharType="separate"/>
        </w:r>
        <w:r>
          <w:rPr>
            <w:noProof/>
            <w:webHidden/>
          </w:rPr>
          <w:t>39</w:t>
        </w:r>
        <w:r>
          <w:rPr>
            <w:noProof/>
            <w:webHidden/>
          </w:rPr>
          <w:fldChar w:fldCharType="end"/>
        </w:r>
      </w:hyperlink>
    </w:p>
    <w:p w14:paraId="00D26025" w14:textId="6736AF9C" w:rsidR="006F7B7B" w:rsidRDefault="006F7B7B">
      <w:pPr>
        <w:pStyle w:val="TableofFigures"/>
        <w:tabs>
          <w:tab w:val="right" w:leader="dot" w:pos="9350"/>
        </w:tabs>
        <w:rPr>
          <w:rFonts w:asciiTheme="minorHAnsi" w:eastAsiaTheme="minorEastAsia" w:hAnsiTheme="minorHAnsi"/>
          <w:noProof/>
        </w:rPr>
      </w:pPr>
      <w:hyperlink w:anchor="_Toc121470292" w:history="1">
        <w:r w:rsidRPr="009E6ED0">
          <w:rPr>
            <w:rStyle w:val="Hyperlink"/>
            <w:noProof/>
          </w:rPr>
          <w:t>Figure 18 - Model showing ion-pair formation using oil-wet sandstone samples.</w:t>
        </w:r>
        <w:r>
          <w:rPr>
            <w:noProof/>
            <w:webHidden/>
          </w:rPr>
          <w:tab/>
        </w:r>
        <w:r>
          <w:rPr>
            <w:noProof/>
            <w:webHidden/>
          </w:rPr>
          <w:fldChar w:fldCharType="begin"/>
        </w:r>
        <w:r>
          <w:rPr>
            <w:noProof/>
            <w:webHidden/>
          </w:rPr>
          <w:instrText xml:space="preserve"> PAGEREF _Toc121470292 \h </w:instrText>
        </w:r>
        <w:r>
          <w:rPr>
            <w:noProof/>
            <w:webHidden/>
          </w:rPr>
        </w:r>
        <w:r>
          <w:rPr>
            <w:noProof/>
            <w:webHidden/>
          </w:rPr>
          <w:fldChar w:fldCharType="separate"/>
        </w:r>
        <w:r>
          <w:rPr>
            <w:noProof/>
            <w:webHidden/>
          </w:rPr>
          <w:t>39</w:t>
        </w:r>
        <w:r>
          <w:rPr>
            <w:noProof/>
            <w:webHidden/>
          </w:rPr>
          <w:fldChar w:fldCharType="end"/>
        </w:r>
      </w:hyperlink>
    </w:p>
    <w:p w14:paraId="21BF2750" w14:textId="769D4EC0" w:rsidR="006F7B7B" w:rsidRDefault="006F7B7B">
      <w:pPr>
        <w:pStyle w:val="TableofFigures"/>
        <w:tabs>
          <w:tab w:val="right" w:leader="dot" w:pos="9350"/>
        </w:tabs>
        <w:rPr>
          <w:rFonts w:asciiTheme="minorHAnsi" w:eastAsiaTheme="minorEastAsia" w:hAnsiTheme="minorHAnsi"/>
          <w:noProof/>
        </w:rPr>
      </w:pPr>
      <w:hyperlink w:anchor="_Toc121470293" w:history="1">
        <w:r w:rsidRPr="009E6ED0">
          <w:rPr>
            <w:rStyle w:val="Hyperlink"/>
            <w:noProof/>
          </w:rPr>
          <w:t>Figure 19 - Schematic illustration of the adsorption mechanism at water-clay interface (</w:t>
        </w:r>
        <w:r w:rsidRPr="009E6ED0">
          <w:rPr>
            <w:rStyle w:val="Hyperlink"/>
            <w:rFonts w:eastAsiaTheme="minorHAnsi"/>
            <w:noProof/>
          </w:rPr>
          <w:t>Liu et al. 2019</w:t>
        </w:r>
        <w:r w:rsidRPr="009E6ED0">
          <w:rPr>
            <w:rStyle w:val="Hyperlink"/>
            <w:noProof/>
          </w:rPr>
          <w:t>).</w:t>
        </w:r>
        <w:r>
          <w:rPr>
            <w:noProof/>
            <w:webHidden/>
          </w:rPr>
          <w:tab/>
        </w:r>
        <w:r>
          <w:rPr>
            <w:noProof/>
            <w:webHidden/>
          </w:rPr>
          <w:fldChar w:fldCharType="begin"/>
        </w:r>
        <w:r>
          <w:rPr>
            <w:noProof/>
            <w:webHidden/>
          </w:rPr>
          <w:instrText xml:space="preserve"> PAGEREF _Toc121470293 \h </w:instrText>
        </w:r>
        <w:r>
          <w:rPr>
            <w:noProof/>
            <w:webHidden/>
          </w:rPr>
        </w:r>
        <w:r>
          <w:rPr>
            <w:noProof/>
            <w:webHidden/>
          </w:rPr>
          <w:fldChar w:fldCharType="separate"/>
        </w:r>
        <w:r>
          <w:rPr>
            <w:noProof/>
            <w:webHidden/>
          </w:rPr>
          <w:t>40</w:t>
        </w:r>
        <w:r>
          <w:rPr>
            <w:noProof/>
            <w:webHidden/>
          </w:rPr>
          <w:fldChar w:fldCharType="end"/>
        </w:r>
      </w:hyperlink>
    </w:p>
    <w:p w14:paraId="3D53E08F" w14:textId="09394FE8" w:rsidR="006F7B7B" w:rsidRDefault="006F7B7B">
      <w:pPr>
        <w:pStyle w:val="TableofFigures"/>
        <w:tabs>
          <w:tab w:val="right" w:leader="dot" w:pos="9350"/>
        </w:tabs>
        <w:rPr>
          <w:rFonts w:asciiTheme="minorHAnsi" w:eastAsiaTheme="minorEastAsia" w:hAnsiTheme="minorHAnsi"/>
          <w:noProof/>
        </w:rPr>
      </w:pPr>
      <w:hyperlink w:anchor="_Toc121470294" w:history="1">
        <w:r w:rsidRPr="009E6ED0">
          <w:rPr>
            <w:rStyle w:val="Hyperlink"/>
            <w:noProof/>
          </w:rPr>
          <w:t xml:space="preserve">Figure 20 - Light absorption spectrum for surfactant solutions measured at varying concentrations using </w:t>
        </w:r>
        <w:r w:rsidRPr="009E6ED0">
          <w:rPr>
            <w:rStyle w:val="Hyperlink"/>
            <w:rFonts w:eastAsiaTheme="minorHAnsi"/>
            <w:noProof/>
          </w:rPr>
          <w:t>UV-Vis spectrophotometer.</w:t>
        </w:r>
        <w:r>
          <w:rPr>
            <w:noProof/>
            <w:webHidden/>
          </w:rPr>
          <w:tab/>
        </w:r>
        <w:r>
          <w:rPr>
            <w:noProof/>
            <w:webHidden/>
          </w:rPr>
          <w:fldChar w:fldCharType="begin"/>
        </w:r>
        <w:r>
          <w:rPr>
            <w:noProof/>
            <w:webHidden/>
          </w:rPr>
          <w:instrText xml:space="preserve"> PAGEREF _Toc121470294 \h </w:instrText>
        </w:r>
        <w:r>
          <w:rPr>
            <w:noProof/>
            <w:webHidden/>
          </w:rPr>
        </w:r>
        <w:r>
          <w:rPr>
            <w:noProof/>
            <w:webHidden/>
          </w:rPr>
          <w:fldChar w:fldCharType="separate"/>
        </w:r>
        <w:r>
          <w:rPr>
            <w:noProof/>
            <w:webHidden/>
          </w:rPr>
          <w:t>42</w:t>
        </w:r>
        <w:r>
          <w:rPr>
            <w:noProof/>
            <w:webHidden/>
          </w:rPr>
          <w:fldChar w:fldCharType="end"/>
        </w:r>
      </w:hyperlink>
    </w:p>
    <w:p w14:paraId="55DAB1A4" w14:textId="39F739C3" w:rsidR="006F7B7B" w:rsidRDefault="006F7B7B">
      <w:pPr>
        <w:pStyle w:val="TableofFigures"/>
        <w:tabs>
          <w:tab w:val="right" w:leader="dot" w:pos="9350"/>
        </w:tabs>
        <w:rPr>
          <w:rFonts w:asciiTheme="minorHAnsi" w:eastAsiaTheme="minorEastAsia" w:hAnsiTheme="minorHAnsi"/>
          <w:noProof/>
        </w:rPr>
      </w:pPr>
      <w:hyperlink w:anchor="_Toc121470295" w:history="1">
        <w:r w:rsidRPr="009E6ED0">
          <w:rPr>
            <w:rStyle w:val="Hyperlink"/>
            <w:noProof/>
          </w:rPr>
          <w:t>Figure 21 - Calibration curves for surfactants used in this study. Here recorded light absorptions were plotted at peak absorption wavelength of 240 nm at varying surfactant concentrations for three surfactants.</w:t>
        </w:r>
        <w:r>
          <w:rPr>
            <w:noProof/>
            <w:webHidden/>
          </w:rPr>
          <w:tab/>
        </w:r>
        <w:r>
          <w:rPr>
            <w:noProof/>
            <w:webHidden/>
          </w:rPr>
          <w:fldChar w:fldCharType="begin"/>
        </w:r>
        <w:r>
          <w:rPr>
            <w:noProof/>
            <w:webHidden/>
          </w:rPr>
          <w:instrText xml:space="preserve"> PAGEREF _Toc121470295 \h </w:instrText>
        </w:r>
        <w:r>
          <w:rPr>
            <w:noProof/>
            <w:webHidden/>
          </w:rPr>
        </w:r>
        <w:r>
          <w:rPr>
            <w:noProof/>
            <w:webHidden/>
          </w:rPr>
          <w:fldChar w:fldCharType="separate"/>
        </w:r>
        <w:r>
          <w:rPr>
            <w:noProof/>
            <w:webHidden/>
          </w:rPr>
          <w:t>43</w:t>
        </w:r>
        <w:r>
          <w:rPr>
            <w:noProof/>
            <w:webHidden/>
          </w:rPr>
          <w:fldChar w:fldCharType="end"/>
        </w:r>
      </w:hyperlink>
    </w:p>
    <w:p w14:paraId="41DDC116" w14:textId="4149BBC8" w:rsidR="006F7B7B" w:rsidRDefault="006F7B7B">
      <w:pPr>
        <w:pStyle w:val="TableofFigures"/>
        <w:tabs>
          <w:tab w:val="right" w:leader="dot" w:pos="9350"/>
        </w:tabs>
        <w:rPr>
          <w:rFonts w:asciiTheme="minorHAnsi" w:eastAsiaTheme="minorEastAsia" w:hAnsiTheme="minorHAnsi"/>
          <w:noProof/>
        </w:rPr>
      </w:pPr>
      <w:hyperlink w:anchor="_Toc121470296" w:history="1">
        <w:r w:rsidRPr="009E6ED0">
          <w:rPr>
            <w:rStyle w:val="Hyperlink"/>
            <w:noProof/>
          </w:rPr>
          <w:t xml:space="preserve">Figure 22 - Light absorption spectrum for surfactant solutions post imbibition at 2 gpt concentration using </w:t>
        </w:r>
        <w:r w:rsidRPr="009E6ED0">
          <w:rPr>
            <w:rStyle w:val="Hyperlink"/>
            <w:rFonts w:eastAsiaTheme="minorHAnsi"/>
            <w:noProof/>
          </w:rPr>
          <w:t>UV-Vis spectrophotometer.</w:t>
        </w:r>
        <w:r>
          <w:rPr>
            <w:noProof/>
            <w:webHidden/>
          </w:rPr>
          <w:tab/>
        </w:r>
        <w:r>
          <w:rPr>
            <w:noProof/>
            <w:webHidden/>
          </w:rPr>
          <w:fldChar w:fldCharType="begin"/>
        </w:r>
        <w:r>
          <w:rPr>
            <w:noProof/>
            <w:webHidden/>
          </w:rPr>
          <w:instrText xml:space="preserve"> PAGEREF _Toc121470296 \h </w:instrText>
        </w:r>
        <w:r>
          <w:rPr>
            <w:noProof/>
            <w:webHidden/>
          </w:rPr>
        </w:r>
        <w:r>
          <w:rPr>
            <w:noProof/>
            <w:webHidden/>
          </w:rPr>
          <w:fldChar w:fldCharType="separate"/>
        </w:r>
        <w:r>
          <w:rPr>
            <w:noProof/>
            <w:webHidden/>
          </w:rPr>
          <w:t>43</w:t>
        </w:r>
        <w:r>
          <w:rPr>
            <w:noProof/>
            <w:webHidden/>
          </w:rPr>
          <w:fldChar w:fldCharType="end"/>
        </w:r>
      </w:hyperlink>
    </w:p>
    <w:p w14:paraId="73454108" w14:textId="111F8DBF" w:rsidR="006F7B7B" w:rsidRDefault="006F7B7B">
      <w:pPr>
        <w:pStyle w:val="TableofFigures"/>
        <w:tabs>
          <w:tab w:val="right" w:leader="dot" w:pos="9350"/>
        </w:tabs>
        <w:rPr>
          <w:rFonts w:asciiTheme="minorHAnsi" w:eastAsiaTheme="minorEastAsia" w:hAnsiTheme="minorHAnsi"/>
          <w:noProof/>
        </w:rPr>
      </w:pPr>
      <w:hyperlink w:anchor="_Toc121470297" w:history="1">
        <w:r w:rsidRPr="009E6ED0">
          <w:rPr>
            <w:rStyle w:val="Hyperlink"/>
            <w:noProof/>
          </w:rPr>
          <w:t xml:space="preserve">Figure 23 - Surfactant adsorption results at 2 gpt concentration using </w:t>
        </w:r>
        <w:r w:rsidRPr="009E6ED0">
          <w:rPr>
            <w:rStyle w:val="Hyperlink"/>
            <w:rFonts w:eastAsiaTheme="minorHAnsi"/>
            <w:noProof/>
          </w:rPr>
          <w:t>UV-Vis spectrophotometer.</w:t>
        </w:r>
        <w:r>
          <w:rPr>
            <w:noProof/>
            <w:webHidden/>
          </w:rPr>
          <w:tab/>
        </w:r>
        <w:r>
          <w:rPr>
            <w:noProof/>
            <w:webHidden/>
          </w:rPr>
          <w:fldChar w:fldCharType="begin"/>
        </w:r>
        <w:r>
          <w:rPr>
            <w:noProof/>
            <w:webHidden/>
          </w:rPr>
          <w:instrText xml:space="preserve"> PAGEREF _Toc121470297 \h </w:instrText>
        </w:r>
        <w:r>
          <w:rPr>
            <w:noProof/>
            <w:webHidden/>
          </w:rPr>
        </w:r>
        <w:r>
          <w:rPr>
            <w:noProof/>
            <w:webHidden/>
          </w:rPr>
          <w:fldChar w:fldCharType="separate"/>
        </w:r>
        <w:r>
          <w:rPr>
            <w:noProof/>
            <w:webHidden/>
          </w:rPr>
          <w:t>44</w:t>
        </w:r>
        <w:r>
          <w:rPr>
            <w:noProof/>
            <w:webHidden/>
          </w:rPr>
          <w:fldChar w:fldCharType="end"/>
        </w:r>
      </w:hyperlink>
    </w:p>
    <w:p w14:paraId="42DCBA28" w14:textId="0C025052" w:rsidR="006F7B7B" w:rsidRDefault="006F7B7B">
      <w:pPr>
        <w:pStyle w:val="TableofFigures"/>
        <w:tabs>
          <w:tab w:val="right" w:leader="dot" w:pos="9350"/>
        </w:tabs>
        <w:rPr>
          <w:rFonts w:asciiTheme="minorHAnsi" w:eastAsiaTheme="minorEastAsia" w:hAnsiTheme="minorHAnsi"/>
          <w:noProof/>
        </w:rPr>
      </w:pPr>
      <w:hyperlink w:anchor="_Toc121470298" w:history="1">
        <w:r w:rsidRPr="009E6ED0">
          <w:rPr>
            <w:rStyle w:val="Hyperlink"/>
            <w:noProof/>
          </w:rPr>
          <w:t>Figure 24 - Model showing ion-pair formation between polar head of amphoteric surfactant and sandstone surface.</w:t>
        </w:r>
        <w:r>
          <w:rPr>
            <w:noProof/>
            <w:webHidden/>
          </w:rPr>
          <w:tab/>
        </w:r>
        <w:r>
          <w:rPr>
            <w:noProof/>
            <w:webHidden/>
          </w:rPr>
          <w:fldChar w:fldCharType="begin"/>
        </w:r>
        <w:r>
          <w:rPr>
            <w:noProof/>
            <w:webHidden/>
          </w:rPr>
          <w:instrText xml:space="preserve"> PAGEREF _Toc121470298 \h </w:instrText>
        </w:r>
        <w:r>
          <w:rPr>
            <w:noProof/>
            <w:webHidden/>
          </w:rPr>
        </w:r>
        <w:r>
          <w:rPr>
            <w:noProof/>
            <w:webHidden/>
          </w:rPr>
          <w:fldChar w:fldCharType="separate"/>
        </w:r>
        <w:r>
          <w:rPr>
            <w:noProof/>
            <w:webHidden/>
          </w:rPr>
          <w:t>44</w:t>
        </w:r>
        <w:r>
          <w:rPr>
            <w:noProof/>
            <w:webHidden/>
          </w:rPr>
          <w:fldChar w:fldCharType="end"/>
        </w:r>
      </w:hyperlink>
    </w:p>
    <w:p w14:paraId="28DE59E3" w14:textId="5E7FE570" w:rsidR="006F7B7B" w:rsidRDefault="006F7B7B">
      <w:pPr>
        <w:pStyle w:val="TableofFigures"/>
        <w:tabs>
          <w:tab w:val="right" w:leader="dot" w:pos="9350"/>
        </w:tabs>
        <w:rPr>
          <w:rFonts w:asciiTheme="minorHAnsi" w:eastAsiaTheme="minorEastAsia" w:hAnsiTheme="minorHAnsi"/>
          <w:noProof/>
        </w:rPr>
      </w:pPr>
      <w:hyperlink w:anchor="_Toc121470299" w:history="1">
        <w:r w:rsidRPr="009E6ED0">
          <w:rPr>
            <w:rStyle w:val="Hyperlink"/>
            <w:noProof/>
          </w:rPr>
          <w:t xml:space="preserve">Figure 25 - Adsorption of </w:t>
        </w:r>
        <w:r w:rsidRPr="009E6ED0">
          <w:rPr>
            <w:rStyle w:val="Hyperlink"/>
            <w:rFonts w:eastAsiaTheme="minorHAnsi"/>
            <w:noProof/>
          </w:rPr>
          <w:t xml:space="preserve">negative charged polar head of amphoteric surfactant </w:t>
        </w:r>
        <w:r w:rsidRPr="009E6ED0">
          <w:rPr>
            <w:rStyle w:val="Hyperlink"/>
            <w:noProof/>
          </w:rPr>
          <w:t>to clay surface with Ca</w:t>
        </w:r>
        <w:r w:rsidRPr="009E6ED0">
          <w:rPr>
            <w:rStyle w:val="Hyperlink"/>
            <w:noProof/>
            <w:vertAlign w:val="superscript"/>
          </w:rPr>
          <w:t>2+</w:t>
        </w:r>
        <w:r w:rsidRPr="009E6ED0">
          <w:rPr>
            <w:rStyle w:val="Hyperlink"/>
            <w:noProof/>
          </w:rPr>
          <w:t xml:space="preserve"> as a cationic bridge (</w:t>
        </w:r>
        <w:r w:rsidRPr="009E6ED0">
          <w:rPr>
            <w:rStyle w:val="Hyperlink"/>
            <w:rFonts w:eastAsiaTheme="minorHAnsi"/>
            <w:noProof/>
          </w:rPr>
          <w:t>Liu et al. 2021</w:t>
        </w:r>
        <w:r w:rsidRPr="009E6ED0">
          <w:rPr>
            <w:rStyle w:val="Hyperlink"/>
            <w:noProof/>
          </w:rPr>
          <w:t>).</w:t>
        </w:r>
        <w:r>
          <w:rPr>
            <w:noProof/>
            <w:webHidden/>
          </w:rPr>
          <w:tab/>
        </w:r>
        <w:r>
          <w:rPr>
            <w:noProof/>
            <w:webHidden/>
          </w:rPr>
          <w:fldChar w:fldCharType="begin"/>
        </w:r>
        <w:r>
          <w:rPr>
            <w:noProof/>
            <w:webHidden/>
          </w:rPr>
          <w:instrText xml:space="preserve"> PAGEREF _Toc121470299 \h </w:instrText>
        </w:r>
        <w:r>
          <w:rPr>
            <w:noProof/>
            <w:webHidden/>
          </w:rPr>
        </w:r>
        <w:r>
          <w:rPr>
            <w:noProof/>
            <w:webHidden/>
          </w:rPr>
          <w:fldChar w:fldCharType="separate"/>
        </w:r>
        <w:r>
          <w:rPr>
            <w:noProof/>
            <w:webHidden/>
          </w:rPr>
          <w:t>45</w:t>
        </w:r>
        <w:r>
          <w:rPr>
            <w:noProof/>
            <w:webHidden/>
          </w:rPr>
          <w:fldChar w:fldCharType="end"/>
        </w:r>
      </w:hyperlink>
    </w:p>
    <w:p w14:paraId="752B2CA2" w14:textId="1140A66A" w:rsidR="006F7B7B" w:rsidRDefault="006F7B7B">
      <w:pPr>
        <w:pStyle w:val="TableofFigures"/>
        <w:tabs>
          <w:tab w:val="right" w:leader="dot" w:pos="9350"/>
        </w:tabs>
        <w:rPr>
          <w:rFonts w:asciiTheme="minorHAnsi" w:eastAsiaTheme="minorEastAsia" w:hAnsiTheme="minorHAnsi"/>
          <w:noProof/>
        </w:rPr>
      </w:pPr>
      <w:hyperlink w:anchor="_Toc121470300" w:history="1">
        <w:r w:rsidRPr="009E6ED0">
          <w:rPr>
            <w:rStyle w:val="Hyperlink"/>
            <w:noProof/>
          </w:rPr>
          <w:t>Figure 26 - Excess Ca</w:t>
        </w:r>
        <w:r w:rsidRPr="009E6ED0">
          <w:rPr>
            <w:rStyle w:val="Hyperlink"/>
            <w:noProof/>
            <w:vertAlign w:val="superscript"/>
          </w:rPr>
          <w:t>2+</w:t>
        </w:r>
        <w:r w:rsidRPr="009E6ED0">
          <w:rPr>
            <w:rStyle w:val="Hyperlink"/>
            <w:noProof/>
          </w:rPr>
          <w:t xml:space="preserve"> ions in surfactant solution creates multilayer of adsorped </w:t>
        </w:r>
        <w:r w:rsidRPr="009E6ED0">
          <w:rPr>
            <w:rStyle w:val="Hyperlink"/>
            <w:rFonts w:eastAsiaTheme="minorHAnsi"/>
            <w:noProof/>
          </w:rPr>
          <w:t>amphoteric surfactant (Liu et al. 2021).</w:t>
        </w:r>
        <w:r>
          <w:rPr>
            <w:noProof/>
            <w:webHidden/>
          </w:rPr>
          <w:tab/>
        </w:r>
        <w:r>
          <w:rPr>
            <w:noProof/>
            <w:webHidden/>
          </w:rPr>
          <w:fldChar w:fldCharType="begin"/>
        </w:r>
        <w:r>
          <w:rPr>
            <w:noProof/>
            <w:webHidden/>
          </w:rPr>
          <w:instrText xml:space="preserve"> PAGEREF _Toc121470300 \h </w:instrText>
        </w:r>
        <w:r>
          <w:rPr>
            <w:noProof/>
            <w:webHidden/>
          </w:rPr>
        </w:r>
        <w:r>
          <w:rPr>
            <w:noProof/>
            <w:webHidden/>
          </w:rPr>
          <w:fldChar w:fldCharType="separate"/>
        </w:r>
        <w:r>
          <w:rPr>
            <w:noProof/>
            <w:webHidden/>
          </w:rPr>
          <w:t>45</w:t>
        </w:r>
        <w:r>
          <w:rPr>
            <w:noProof/>
            <w:webHidden/>
          </w:rPr>
          <w:fldChar w:fldCharType="end"/>
        </w:r>
      </w:hyperlink>
    </w:p>
    <w:p w14:paraId="145C3485" w14:textId="15E2138A" w:rsidR="006F7B7B" w:rsidRDefault="006F7B7B">
      <w:pPr>
        <w:pStyle w:val="TableofFigures"/>
        <w:tabs>
          <w:tab w:val="right" w:leader="dot" w:pos="9350"/>
        </w:tabs>
        <w:rPr>
          <w:rFonts w:asciiTheme="minorHAnsi" w:eastAsiaTheme="minorEastAsia" w:hAnsiTheme="minorHAnsi"/>
          <w:noProof/>
        </w:rPr>
      </w:pPr>
      <w:hyperlink w:anchor="_Toc121470301" w:history="1">
        <w:r w:rsidRPr="009E6ED0">
          <w:rPr>
            <w:rStyle w:val="Hyperlink"/>
            <w:noProof/>
          </w:rPr>
          <w:t>Figure 27 - Model showing reduction in electrostatic repulsion between same charge on polar head of surfactants due to presence of divalent cations.</w:t>
        </w:r>
        <w:r>
          <w:rPr>
            <w:noProof/>
            <w:webHidden/>
          </w:rPr>
          <w:tab/>
        </w:r>
        <w:r>
          <w:rPr>
            <w:noProof/>
            <w:webHidden/>
          </w:rPr>
          <w:fldChar w:fldCharType="begin"/>
        </w:r>
        <w:r>
          <w:rPr>
            <w:noProof/>
            <w:webHidden/>
          </w:rPr>
          <w:instrText xml:space="preserve"> PAGEREF _Toc121470301 \h </w:instrText>
        </w:r>
        <w:r>
          <w:rPr>
            <w:noProof/>
            <w:webHidden/>
          </w:rPr>
        </w:r>
        <w:r>
          <w:rPr>
            <w:noProof/>
            <w:webHidden/>
          </w:rPr>
          <w:fldChar w:fldCharType="separate"/>
        </w:r>
        <w:r>
          <w:rPr>
            <w:noProof/>
            <w:webHidden/>
          </w:rPr>
          <w:t>45</w:t>
        </w:r>
        <w:r>
          <w:rPr>
            <w:noProof/>
            <w:webHidden/>
          </w:rPr>
          <w:fldChar w:fldCharType="end"/>
        </w:r>
      </w:hyperlink>
    </w:p>
    <w:p w14:paraId="30579AEC" w14:textId="1F21A494" w:rsidR="006F7B7B" w:rsidRDefault="006F7B7B">
      <w:pPr>
        <w:pStyle w:val="TableofFigures"/>
        <w:tabs>
          <w:tab w:val="right" w:leader="dot" w:pos="9350"/>
        </w:tabs>
        <w:rPr>
          <w:rFonts w:asciiTheme="minorHAnsi" w:eastAsiaTheme="minorEastAsia" w:hAnsiTheme="minorHAnsi"/>
          <w:noProof/>
        </w:rPr>
      </w:pPr>
      <w:hyperlink w:anchor="_Toc121470302" w:history="1">
        <w:r w:rsidRPr="009E6ED0">
          <w:rPr>
            <w:rStyle w:val="Hyperlink"/>
            <w:noProof/>
          </w:rPr>
          <w:t xml:space="preserve">Figure 28 - Surfactant adsorption results for five samples at 2 gpt concentration using </w:t>
        </w:r>
        <w:r w:rsidRPr="009E6ED0">
          <w:rPr>
            <w:rStyle w:val="Hyperlink"/>
            <w:rFonts w:eastAsiaTheme="minorHAnsi"/>
            <w:noProof/>
          </w:rPr>
          <w:t>UV-Vis spectrophotometer.</w:t>
        </w:r>
        <w:r>
          <w:rPr>
            <w:noProof/>
            <w:webHidden/>
          </w:rPr>
          <w:tab/>
        </w:r>
        <w:r>
          <w:rPr>
            <w:noProof/>
            <w:webHidden/>
          </w:rPr>
          <w:fldChar w:fldCharType="begin"/>
        </w:r>
        <w:r>
          <w:rPr>
            <w:noProof/>
            <w:webHidden/>
          </w:rPr>
          <w:instrText xml:space="preserve"> PAGEREF _Toc121470302 \h </w:instrText>
        </w:r>
        <w:r>
          <w:rPr>
            <w:noProof/>
            <w:webHidden/>
          </w:rPr>
        </w:r>
        <w:r>
          <w:rPr>
            <w:noProof/>
            <w:webHidden/>
          </w:rPr>
          <w:fldChar w:fldCharType="separate"/>
        </w:r>
        <w:r>
          <w:rPr>
            <w:noProof/>
            <w:webHidden/>
          </w:rPr>
          <w:t>46</w:t>
        </w:r>
        <w:r>
          <w:rPr>
            <w:noProof/>
            <w:webHidden/>
          </w:rPr>
          <w:fldChar w:fldCharType="end"/>
        </w:r>
      </w:hyperlink>
    </w:p>
    <w:p w14:paraId="2BDF29F3" w14:textId="73757274" w:rsidR="006F7B7B" w:rsidRDefault="006F7B7B">
      <w:pPr>
        <w:pStyle w:val="TableofFigures"/>
        <w:tabs>
          <w:tab w:val="right" w:leader="dot" w:pos="9350"/>
        </w:tabs>
        <w:rPr>
          <w:rFonts w:asciiTheme="minorHAnsi" w:eastAsiaTheme="minorEastAsia" w:hAnsiTheme="minorHAnsi"/>
          <w:noProof/>
        </w:rPr>
      </w:pPr>
      <w:hyperlink w:anchor="_Toc121470303" w:history="1">
        <w:r w:rsidRPr="009E6ED0">
          <w:rPr>
            <w:rStyle w:val="Hyperlink"/>
            <w:noProof/>
          </w:rPr>
          <w:t>Figure 29 - Relationship between amphoteric and bio</w:t>
        </w:r>
        <w:r w:rsidRPr="009E6ED0">
          <w:rPr>
            <w:rStyle w:val="Hyperlink"/>
            <w:rFonts w:eastAsiaTheme="minorHAnsi"/>
            <w:noProof/>
          </w:rPr>
          <w:t>surfactant adsorption with quartz plus feldspars in Bone Spring Sandstones.</w:t>
        </w:r>
        <w:r>
          <w:rPr>
            <w:noProof/>
            <w:webHidden/>
          </w:rPr>
          <w:tab/>
        </w:r>
        <w:r>
          <w:rPr>
            <w:noProof/>
            <w:webHidden/>
          </w:rPr>
          <w:fldChar w:fldCharType="begin"/>
        </w:r>
        <w:r>
          <w:rPr>
            <w:noProof/>
            <w:webHidden/>
          </w:rPr>
          <w:instrText xml:space="preserve"> PAGEREF _Toc121470303 \h </w:instrText>
        </w:r>
        <w:r>
          <w:rPr>
            <w:noProof/>
            <w:webHidden/>
          </w:rPr>
        </w:r>
        <w:r>
          <w:rPr>
            <w:noProof/>
            <w:webHidden/>
          </w:rPr>
          <w:fldChar w:fldCharType="separate"/>
        </w:r>
        <w:r>
          <w:rPr>
            <w:noProof/>
            <w:webHidden/>
          </w:rPr>
          <w:t>47</w:t>
        </w:r>
        <w:r>
          <w:rPr>
            <w:noProof/>
            <w:webHidden/>
          </w:rPr>
          <w:fldChar w:fldCharType="end"/>
        </w:r>
      </w:hyperlink>
    </w:p>
    <w:p w14:paraId="2B591D6E" w14:textId="7DE85AEB" w:rsidR="006F7B7B" w:rsidRDefault="006F7B7B">
      <w:pPr>
        <w:pStyle w:val="TableofFigures"/>
        <w:tabs>
          <w:tab w:val="right" w:leader="dot" w:pos="9350"/>
        </w:tabs>
        <w:rPr>
          <w:rFonts w:asciiTheme="minorHAnsi" w:eastAsiaTheme="minorEastAsia" w:hAnsiTheme="minorHAnsi"/>
          <w:noProof/>
        </w:rPr>
      </w:pPr>
      <w:hyperlink w:anchor="_Toc121470304" w:history="1">
        <w:r w:rsidRPr="009E6ED0">
          <w:rPr>
            <w:rStyle w:val="Hyperlink"/>
            <w:noProof/>
          </w:rPr>
          <w:t>Figure 30 - Relationship between amphoteric and bio</w:t>
        </w:r>
        <w:r w:rsidRPr="009E6ED0">
          <w:rPr>
            <w:rStyle w:val="Hyperlink"/>
            <w:rFonts w:eastAsiaTheme="minorHAnsi"/>
            <w:noProof/>
          </w:rPr>
          <w:t>surfactant adsorption with total clays (illite plus mixed clays) in Bone Spring sandstones.</w:t>
        </w:r>
        <w:r>
          <w:rPr>
            <w:noProof/>
            <w:webHidden/>
          </w:rPr>
          <w:tab/>
        </w:r>
        <w:r>
          <w:rPr>
            <w:noProof/>
            <w:webHidden/>
          </w:rPr>
          <w:fldChar w:fldCharType="begin"/>
        </w:r>
        <w:r>
          <w:rPr>
            <w:noProof/>
            <w:webHidden/>
          </w:rPr>
          <w:instrText xml:space="preserve"> PAGEREF _Toc121470304 \h </w:instrText>
        </w:r>
        <w:r>
          <w:rPr>
            <w:noProof/>
            <w:webHidden/>
          </w:rPr>
        </w:r>
        <w:r>
          <w:rPr>
            <w:noProof/>
            <w:webHidden/>
          </w:rPr>
          <w:fldChar w:fldCharType="separate"/>
        </w:r>
        <w:r>
          <w:rPr>
            <w:noProof/>
            <w:webHidden/>
          </w:rPr>
          <w:t>48</w:t>
        </w:r>
        <w:r>
          <w:rPr>
            <w:noProof/>
            <w:webHidden/>
          </w:rPr>
          <w:fldChar w:fldCharType="end"/>
        </w:r>
      </w:hyperlink>
    </w:p>
    <w:p w14:paraId="14CAC9C0" w14:textId="7A418F48" w:rsidR="006F7B7B" w:rsidRDefault="006F7B7B">
      <w:pPr>
        <w:pStyle w:val="TableofFigures"/>
        <w:tabs>
          <w:tab w:val="right" w:leader="dot" w:pos="9350"/>
        </w:tabs>
        <w:rPr>
          <w:rFonts w:asciiTheme="minorHAnsi" w:eastAsiaTheme="minorEastAsia" w:hAnsiTheme="minorHAnsi"/>
          <w:noProof/>
        </w:rPr>
      </w:pPr>
      <w:hyperlink w:anchor="_Toc121470305" w:history="1">
        <w:r w:rsidRPr="009E6ED0">
          <w:rPr>
            <w:rStyle w:val="Hyperlink"/>
            <w:noProof/>
          </w:rPr>
          <w:t>Figure 31 - Relationship between amphoteric and bio</w:t>
        </w:r>
        <w:r w:rsidRPr="009E6ED0">
          <w:rPr>
            <w:rStyle w:val="Hyperlink"/>
            <w:rFonts w:eastAsiaTheme="minorHAnsi"/>
            <w:noProof/>
          </w:rPr>
          <w:t>surfactant adsorption with total carbonates (dolomite plus calcite) in Bone Spring sandstones.</w:t>
        </w:r>
        <w:r>
          <w:rPr>
            <w:noProof/>
            <w:webHidden/>
          </w:rPr>
          <w:tab/>
        </w:r>
        <w:r>
          <w:rPr>
            <w:noProof/>
            <w:webHidden/>
          </w:rPr>
          <w:fldChar w:fldCharType="begin"/>
        </w:r>
        <w:r>
          <w:rPr>
            <w:noProof/>
            <w:webHidden/>
          </w:rPr>
          <w:instrText xml:space="preserve"> PAGEREF _Toc121470305 \h </w:instrText>
        </w:r>
        <w:r>
          <w:rPr>
            <w:noProof/>
            <w:webHidden/>
          </w:rPr>
        </w:r>
        <w:r>
          <w:rPr>
            <w:noProof/>
            <w:webHidden/>
          </w:rPr>
          <w:fldChar w:fldCharType="separate"/>
        </w:r>
        <w:r>
          <w:rPr>
            <w:noProof/>
            <w:webHidden/>
          </w:rPr>
          <w:t>49</w:t>
        </w:r>
        <w:r>
          <w:rPr>
            <w:noProof/>
            <w:webHidden/>
          </w:rPr>
          <w:fldChar w:fldCharType="end"/>
        </w:r>
      </w:hyperlink>
    </w:p>
    <w:p w14:paraId="42AA747C" w14:textId="38527F26" w:rsidR="006F7B7B" w:rsidRDefault="006F7B7B">
      <w:pPr>
        <w:pStyle w:val="TableofFigures"/>
        <w:tabs>
          <w:tab w:val="right" w:leader="dot" w:pos="9350"/>
        </w:tabs>
        <w:rPr>
          <w:rFonts w:asciiTheme="minorHAnsi" w:eastAsiaTheme="minorEastAsia" w:hAnsiTheme="minorHAnsi"/>
          <w:noProof/>
        </w:rPr>
      </w:pPr>
      <w:hyperlink w:anchor="_Toc121470306" w:history="1">
        <w:r w:rsidRPr="009E6ED0">
          <w:rPr>
            <w:rStyle w:val="Hyperlink"/>
            <w:noProof/>
          </w:rPr>
          <w:t>Figure 32 - Oil recovery measured experimentally using imbibition of produced brine and surfactants at 2 gpt concentration in three Bone Spring sandstone samples at 500 psi and 145</w:t>
        </w:r>
        <w:r w:rsidRPr="009E6ED0">
          <w:rPr>
            <w:rStyle w:val="Hyperlink"/>
            <w:noProof/>
            <w:vertAlign w:val="superscript"/>
          </w:rPr>
          <w:t>o</w:t>
        </w:r>
        <w:r w:rsidRPr="009E6ED0">
          <w:rPr>
            <w:rStyle w:val="Hyperlink"/>
            <w:noProof/>
          </w:rPr>
          <w:t>F. All three samples were exposed to brine and surfactants in a series of tests, as shown in Table 1. 12 MHz NMR was used to quantify the oil recovery by calculating the volume of oil inside the sample before and after imbibition.</w:t>
        </w:r>
        <w:r>
          <w:rPr>
            <w:noProof/>
            <w:webHidden/>
          </w:rPr>
          <w:tab/>
        </w:r>
        <w:r>
          <w:rPr>
            <w:noProof/>
            <w:webHidden/>
          </w:rPr>
          <w:fldChar w:fldCharType="begin"/>
        </w:r>
        <w:r>
          <w:rPr>
            <w:noProof/>
            <w:webHidden/>
          </w:rPr>
          <w:instrText xml:space="preserve"> PAGEREF _Toc121470306 \h </w:instrText>
        </w:r>
        <w:r>
          <w:rPr>
            <w:noProof/>
            <w:webHidden/>
          </w:rPr>
        </w:r>
        <w:r>
          <w:rPr>
            <w:noProof/>
            <w:webHidden/>
          </w:rPr>
          <w:fldChar w:fldCharType="separate"/>
        </w:r>
        <w:r>
          <w:rPr>
            <w:noProof/>
            <w:webHidden/>
          </w:rPr>
          <w:t>51</w:t>
        </w:r>
        <w:r>
          <w:rPr>
            <w:noProof/>
            <w:webHidden/>
          </w:rPr>
          <w:fldChar w:fldCharType="end"/>
        </w:r>
      </w:hyperlink>
    </w:p>
    <w:p w14:paraId="2043998F" w14:textId="38FEE7B3" w:rsidR="006F7B7B" w:rsidRDefault="006F7B7B">
      <w:pPr>
        <w:pStyle w:val="TableofFigures"/>
        <w:tabs>
          <w:tab w:val="right" w:leader="dot" w:pos="9350"/>
        </w:tabs>
        <w:rPr>
          <w:rFonts w:asciiTheme="minorHAnsi" w:eastAsiaTheme="minorEastAsia" w:hAnsiTheme="minorHAnsi"/>
          <w:noProof/>
        </w:rPr>
      </w:pPr>
      <w:hyperlink w:anchor="_Toc121470307" w:history="1">
        <w:r w:rsidRPr="009E6ED0">
          <w:rPr>
            <w:rStyle w:val="Hyperlink"/>
            <w:noProof/>
          </w:rPr>
          <w:t>Figure 33 - Average oil recovery measured experimentally using imbibition of produced brine and surfactants at 2 gpt concentration on three Bone Spring sandstone samples at 500 psi and 145</w:t>
        </w:r>
        <w:r w:rsidRPr="009E6ED0">
          <w:rPr>
            <w:rStyle w:val="Hyperlink"/>
            <w:noProof/>
            <w:vertAlign w:val="superscript"/>
          </w:rPr>
          <w:t>o</w:t>
        </w:r>
        <w:r w:rsidRPr="009E6ED0">
          <w:rPr>
            <w:rStyle w:val="Hyperlink"/>
            <w:noProof/>
          </w:rPr>
          <w:t>F.</w:t>
        </w:r>
        <w:r>
          <w:rPr>
            <w:noProof/>
            <w:webHidden/>
          </w:rPr>
          <w:tab/>
        </w:r>
        <w:r>
          <w:rPr>
            <w:noProof/>
            <w:webHidden/>
          </w:rPr>
          <w:fldChar w:fldCharType="begin"/>
        </w:r>
        <w:r>
          <w:rPr>
            <w:noProof/>
            <w:webHidden/>
          </w:rPr>
          <w:instrText xml:space="preserve"> PAGEREF _Toc121470307 \h </w:instrText>
        </w:r>
        <w:r>
          <w:rPr>
            <w:noProof/>
            <w:webHidden/>
          </w:rPr>
        </w:r>
        <w:r>
          <w:rPr>
            <w:noProof/>
            <w:webHidden/>
          </w:rPr>
          <w:fldChar w:fldCharType="separate"/>
        </w:r>
        <w:r>
          <w:rPr>
            <w:noProof/>
            <w:webHidden/>
          </w:rPr>
          <w:t>51</w:t>
        </w:r>
        <w:r>
          <w:rPr>
            <w:noProof/>
            <w:webHidden/>
          </w:rPr>
          <w:fldChar w:fldCharType="end"/>
        </w:r>
      </w:hyperlink>
    </w:p>
    <w:p w14:paraId="0C7F653D" w14:textId="5C66B4A0" w:rsidR="008B28E1" w:rsidRDefault="00205265" w:rsidP="008B28E1">
      <w:pPr>
        <w:rPr>
          <w:rFonts w:eastAsiaTheme="majorEastAsia"/>
        </w:rPr>
      </w:pPr>
      <w:r w:rsidRPr="00C316A8">
        <w:fldChar w:fldCharType="end"/>
      </w:r>
      <w:bookmarkStart w:id="9" w:name="_Toc118484058"/>
      <w:bookmarkStart w:id="10" w:name="_Toc118485270"/>
    </w:p>
    <w:p w14:paraId="6878E82E" w14:textId="77777777" w:rsidR="008B28E1" w:rsidRDefault="008B28E1">
      <w:pPr>
        <w:spacing w:line="240" w:lineRule="auto"/>
        <w:jc w:val="left"/>
        <w:rPr>
          <w:rFonts w:eastAsiaTheme="majorEastAsia"/>
        </w:rPr>
      </w:pPr>
      <w:r>
        <w:rPr>
          <w:rFonts w:eastAsiaTheme="majorEastAsia"/>
        </w:rPr>
        <w:br w:type="page"/>
      </w:r>
    </w:p>
    <w:p w14:paraId="460EAE98" w14:textId="03123DD4" w:rsidR="00EC29DE" w:rsidRPr="008B28E1" w:rsidRDefault="0025366E" w:rsidP="008B28E1">
      <w:pPr>
        <w:pStyle w:val="Heading1"/>
        <w:numPr>
          <w:ilvl w:val="0"/>
          <w:numId w:val="0"/>
        </w:numPr>
      </w:pPr>
      <w:bookmarkStart w:id="11" w:name="_Toc121470224"/>
      <w:r>
        <w:lastRenderedPageBreak/>
        <w:t>List of Tables</w:t>
      </w:r>
      <w:bookmarkEnd w:id="9"/>
      <w:bookmarkEnd w:id="10"/>
      <w:bookmarkEnd w:id="11"/>
    </w:p>
    <w:p w14:paraId="1EA75B7B" w14:textId="0B706CBE" w:rsidR="006F7B7B" w:rsidRDefault="00153561">
      <w:pPr>
        <w:pStyle w:val="TableofFigures"/>
        <w:tabs>
          <w:tab w:val="right" w:leader="dot" w:pos="9350"/>
        </w:tabs>
        <w:rPr>
          <w:rFonts w:asciiTheme="minorHAnsi" w:eastAsiaTheme="minorEastAsia" w:hAnsiTheme="minorHAnsi"/>
          <w:noProof/>
        </w:rPr>
      </w:pPr>
      <w:r>
        <w:fldChar w:fldCharType="begin"/>
      </w:r>
      <w:r>
        <w:instrText xml:space="preserve"> TOC \h \z \c "Table" </w:instrText>
      </w:r>
      <w:r>
        <w:fldChar w:fldCharType="separate"/>
      </w:r>
      <w:hyperlink w:anchor="_Toc121470308" w:history="1">
        <w:r w:rsidR="006F7B7B" w:rsidRPr="004E51D6">
          <w:rPr>
            <w:rStyle w:val="Hyperlink"/>
            <w:noProof/>
          </w:rPr>
          <w:t>Table 1 - Test matrix showing imbibition measurements performed on same three samples in testing order to quantify the oil recovery.</w:t>
        </w:r>
        <w:r w:rsidR="006F7B7B">
          <w:rPr>
            <w:noProof/>
            <w:webHidden/>
          </w:rPr>
          <w:tab/>
        </w:r>
        <w:r w:rsidR="006F7B7B">
          <w:rPr>
            <w:noProof/>
            <w:webHidden/>
          </w:rPr>
          <w:fldChar w:fldCharType="begin"/>
        </w:r>
        <w:r w:rsidR="006F7B7B">
          <w:rPr>
            <w:noProof/>
            <w:webHidden/>
          </w:rPr>
          <w:instrText xml:space="preserve"> PAGEREF _Toc121470308 \h </w:instrText>
        </w:r>
        <w:r w:rsidR="006F7B7B">
          <w:rPr>
            <w:noProof/>
            <w:webHidden/>
          </w:rPr>
        </w:r>
        <w:r w:rsidR="006F7B7B">
          <w:rPr>
            <w:noProof/>
            <w:webHidden/>
          </w:rPr>
          <w:fldChar w:fldCharType="separate"/>
        </w:r>
        <w:r w:rsidR="006F7B7B">
          <w:rPr>
            <w:noProof/>
            <w:webHidden/>
          </w:rPr>
          <w:t>28</w:t>
        </w:r>
        <w:r w:rsidR="006F7B7B">
          <w:rPr>
            <w:noProof/>
            <w:webHidden/>
          </w:rPr>
          <w:fldChar w:fldCharType="end"/>
        </w:r>
      </w:hyperlink>
    </w:p>
    <w:p w14:paraId="156D3429" w14:textId="0DBC3D41" w:rsidR="006F7B7B" w:rsidRDefault="006F7B7B">
      <w:pPr>
        <w:pStyle w:val="TableofFigures"/>
        <w:tabs>
          <w:tab w:val="right" w:leader="dot" w:pos="9350"/>
        </w:tabs>
        <w:rPr>
          <w:rFonts w:asciiTheme="minorHAnsi" w:eastAsiaTheme="minorEastAsia" w:hAnsiTheme="minorHAnsi"/>
          <w:noProof/>
        </w:rPr>
      </w:pPr>
      <w:hyperlink w:anchor="_Toc121470309" w:history="1">
        <w:r w:rsidRPr="004E51D6">
          <w:rPr>
            <w:rStyle w:val="Hyperlink"/>
            <w:noProof/>
          </w:rPr>
          <w:t>Table 2 - Mineralogy, TOC, and porosity of Bone Spring sandstone samples used in this study for imbibition experiments.</w:t>
        </w:r>
        <w:r>
          <w:rPr>
            <w:noProof/>
            <w:webHidden/>
          </w:rPr>
          <w:tab/>
        </w:r>
        <w:r>
          <w:rPr>
            <w:noProof/>
            <w:webHidden/>
          </w:rPr>
          <w:fldChar w:fldCharType="begin"/>
        </w:r>
        <w:r>
          <w:rPr>
            <w:noProof/>
            <w:webHidden/>
          </w:rPr>
          <w:instrText xml:space="preserve"> PAGEREF _Toc121470309 \h </w:instrText>
        </w:r>
        <w:r>
          <w:rPr>
            <w:noProof/>
            <w:webHidden/>
          </w:rPr>
        </w:r>
        <w:r>
          <w:rPr>
            <w:noProof/>
            <w:webHidden/>
          </w:rPr>
          <w:fldChar w:fldCharType="separate"/>
        </w:r>
        <w:r>
          <w:rPr>
            <w:noProof/>
            <w:webHidden/>
          </w:rPr>
          <w:t>31</w:t>
        </w:r>
        <w:r>
          <w:rPr>
            <w:noProof/>
            <w:webHidden/>
          </w:rPr>
          <w:fldChar w:fldCharType="end"/>
        </w:r>
      </w:hyperlink>
    </w:p>
    <w:p w14:paraId="1976BE65" w14:textId="28CB9550" w:rsidR="006F7B7B" w:rsidRDefault="006F7B7B">
      <w:pPr>
        <w:pStyle w:val="TableofFigures"/>
        <w:tabs>
          <w:tab w:val="right" w:leader="dot" w:pos="9350"/>
        </w:tabs>
        <w:rPr>
          <w:rFonts w:asciiTheme="minorHAnsi" w:eastAsiaTheme="minorEastAsia" w:hAnsiTheme="minorHAnsi"/>
          <w:noProof/>
        </w:rPr>
      </w:pPr>
      <w:hyperlink w:anchor="_Toc121470310" w:history="1">
        <w:r w:rsidRPr="004E51D6">
          <w:rPr>
            <w:rStyle w:val="Hyperlink"/>
            <w:noProof/>
          </w:rPr>
          <w:t>Table 3 - Mineralogy of Bone Spring sandstone samples used in this study to analyze relationship between surfactant adsorption and mineralogy.</w:t>
        </w:r>
        <w:r>
          <w:rPr>
            <w:noProof/>
            <w:webHidden/>
          </w:rPr>
          <w:tab/>
        </w:r>
        <w:r>
          <w:rPr>
            <w:noProof/>
            <w:webHidden/>
          </w:rPr>
          <w:fldChar w:fldCharType="begin"/>
        </w:r>
        <w:r>
          <w:rPr>
            <w:noProof/>
            <w:webHidden/>
          </w:rPr>
          <w:instrText xml:space="preserve"> PAGEREF _Toc121470310 \h </w:instrText>
        </w:r>
        <w:r>
          <w:rPr>
            <w:noProof/>
            <w:webHidden/>
          </w:rPr>
        </w:r>
        <w:r>
          <w:rPr>
            <w:noProof/>
            <w:webHidden/>
          </w:rPr>
          <w:fldChar w:fldCharType="separate"/>
        </w:r>
        <w:r>
          <w:rPr>
            <w:noProof/>
            <w:webHidden/>
          </w:rPr>
          <w:t>31</w:t>
        </w:r>
        <w:r>
          <w:rPr>
            <w:noProof/>
            <w:webHidden/>
          </w:rPr>
          <w:fldChar w:fldCharType="end"/>
        </w:r>
      </w:hyperlink>
    </w:p>
    <w:p w14:paraId="7B72F6B0" w14:textId="198D0B41" w:rsidR="006F7B7B" w:rsidRDefault="006F7B7B">
      <w:pPr>
        <w:pStyle w:val="TableofFigures"/>
        <w:tabs>
          <w:tab w:val="right" w:leader="dot" w:pos="9350"/>
        </w:tabs>
        <w:rPr>
          <w:rFonts w:asciiTheme="minorHAnsi" w:eastAsiaTheme="minorEastAsia" w:hAnsiTheme="minorHAnsi"/>
          <w:noProof/>
        </w:rPr>
      </w:pPr>
      <w:hyperlink w:anchor="_Toc121470311" w:history="1">
        <w:r w:rsidRPr="004E51D6">
          <w:rPr>
            <w:rStyle w:val="Hyperlink"/>
            <w:noProof/>
          </w:rPr>
          <w:t>Table 4 - Description of different surfactants used in this study.</w:t>
        </w:r>
        <w:r>
          <w:rPr>
            <w:noProof/>
            <w:webHidden/>
          </w:rPr>
          <w:tab/>
        </w:r>
        <w:r>
          <w:rPr>
            <w:noProof/>
            <w:webHidden/>
          </w:rPr>
          <w:fldChar w:fldCharType="begin"/>
        </w:r>
        <w:r>
          <w:rPr>
            <w:noProof/>
            <w:webHidden/>
          </w:rPr>
          <w:instrText xml:space="preserve"> PAGEREF _Toc121470311 \h </w:instrText>
        </w:r>
        <w:r>
          <w:rPr>
            <w:noProof/>
            <w:webHidden/>
          </w:rPr>
        </w:r>
        <w:r>
          <w:rPr>
            <w:noProof/>
            <w:webHidden/>
          </w:rPr>
          <w:fldChar w:fldCharType="separate"/>
        </w:r>
        <w:r>
          <w:rPr>
            <w:noProof/>
            <w:webHidden/>
          </w:rPr>
          <w:t>32</w:t>
        </w:r>
        <w:r>
          <w:rPr>
            <w:noProof/>
            <w:webHidden/>
          </w:rPr>
          <w:fldChar w:fldCharType="end"/>
        </w:r>
      </w:hyperlink>
    </w:p>
    <w:p w14:paraId="046EC184" w14:textId="13E74792" w:rsidR="006F7B7B" w:rsidRDefault="006F7B7B">
      <w:pPr>
        <w:pStyle w:val="TableofFigures"/>
        <w:tabs>
          <w:tab w:val="right" w:leader="dot" w:pos="9350"/>
        </w:tabs>
        <w:rPr>
          <w:rFonts w:asciiTheme="minorHAnsi" w:eastAsiaTheme="minorEastAsia" w:hAnsiTheme="minorHAnsi"/>
          <w:noProof/>
        </w:rPr>
      </w:pPr>
      <w:hyperlink w:anchor="_Toc121470312" w:history="1">
        <w:r w:rsidRPr="004E51D6">
          <w:rPr>
            <w:rStyle w:val="Hyperlink"/>
            <w:noProof/>
          </w:rPr>
          <w:t>Table 5 - Density of crude oil at 145</w:t>
        </w:r>
        <w:r w:rsidRPr="004E51D6">
          <w:rPr>
            <w:rStyle w:val="Hyperlink"/>
            <w:noProof/>
            <w:vertAlign w:val="superscript"/>
          </w:rPr>
          <w:t>o</w:t>
        </w:r>
        <w:r w:rsidRPr="004E51D6">
          <w:rPr>
            <w:rStyle w:val="Hyperlink"/>
            <w:noProof/>
          </w:rPr>
          <w:t xml:space="preserve">F along with </w:t>
        </w:r>
        <w:r w:rsidRPr="004E51D6">
          <w:rPr>
            <w:rStyle w:val="Hyperlink"/>
            <w:rFonts w:eastAsiaTheme="minorHAnsi"/>
            <w:noProof/>
          </w:rPr>
          <w:t>produced brine, and surfactant solutions at 2 gpt concentration and 70</w:t>
        </w:r>
        <w:r w:rsidRPr="004E51D6">
          <w:rPr>
            <w:rStyle w:val="Hyperlink"/>
            <w:rFonts w:eastAsiaTheme="minorHAnsi"/>
            <w:noProof/>
            <w:vertAlign w:val="superscript"/>
          </w:rPr>
          <w:t>o</w:t>
        </w:r>
        <w:r w:rsidRPr="004E51D6">
          <w:rPr>
            <w:rStyle w:val="Hyperlink"/>
            <w:rFonts w:eastAsiaTheme="minorHAnsi"/>
            <w:noProof/>
          </w:rPr>
          <w:t>F.</w:t>
        </w:r>
        <w:r>
          <w:rPr>
            <w:noProof/>
            <w:webHidden/>
          </w:rPr>
          <w:tab/>
        </w:r>
        <w:r>
          <w:rPr>
            <w:noProof/>
            <w:webHidden/>
          </w:rPr>
          <w:fldChar w:fldCharType="begin"/>
        </w:r>
        <w:r>
          <w:rPr>
            <w:noProof/>
            <w:webHidden/>
          </w:rPr>
          <w:instrText xml:space="preserve"> PAGEREF _Toc121470312 \h </w:instrText>
        </w:r>
        <w:r>
          <w:rPr>
            <w:noProof/>
            <w:webHidden/>
          </w:rPr>
        </w:r>
        <w:r>
          <w:rPr>
            <w:noProof/>
            <w:webHidden/>
          </w:rPr>
          <w:fldChar w:fldCharType="separate"/>
        </w:r>
        <w:r>
          <w:rPr>
            <w:noProof/>
            <w:webHidden/>
          </w:rPr>
          <w:t>33</w:t>
        </w:r>
        <w:r>
          <w:rPr>
            <w:noProof/>
            <w:webHidden/>
          </w:rPr>
          <w:fldChar w:fldCharType="end"/>
        </w:r>
      </w:hyperlink>
    </w:p>
    <w:p w14:paraId="280296EF" w14:textId="7223083B" w:rsidR="006F7B7B" w:rsidRDefault="006F7B7B">
      <w:pPr>
        <w:pStyle w:val="TableofFigures"/>
        <w:tabs>
          <w:tab w:val="right" w:leader="dot" w:pos="9350"/>
        </w:tabs>
        <w:rPr>
          <w:rFonts w:asciiTheme="minorHAnsi" w:eastAsiaTheme="minorEastAsia" w:hAnsiTheme="minorHAnsi"/>
          <w:noProof/>
        </w:rPr>
      </w:pPr>
      <w:hyperlink w:anchor="_Toc121470313" w:history="1">
        <w:r w:rsidRPr="004E51D6">
          <w:rPr>
            <w:rStyle w:val="Hyperlink"/>
            <w:noProof/>
          </w:rPr>
          <w:t>Table 6 - Ion analysis of produced brine.</w:t>
        </w:r>
        <w:r>
          <w:rPr>
            <w:noProof/>
            <w:webHidden/>
          </w:rPr>
          <w:tab/>
        </w:r>
        <w:r>
          <w:rPr>
            <w:noProof/>
            <w:webHidden/>
          </w:rPr>
          <w:fldChar w:fldCharType="begin"/>
        </w:r>
        <w:r>
          <w:rPr>
            <w:noProof/>
            <w:webHidden/>
          </w:rPr>
          <w:instrText xml:space="preserve"> PAGEREF _Toc121470313 \h </w:instrText>
        </w:r>
        <w:r>
          <w:rPr>
            <w:noProof/>
            <w:webHidden/>
          </w:rPr>
        </w:r>
        <w:r>
          <w:rPr>
            <w:noProof/>
            <w:webHidden/>
          </w:rPr>
          <w:fldChar w:fldCharType="separate"/>
        </w:r>
        <w:r>
          <w:rPr>
            <w:noProof/>
            <w:webHidden/>
          </w:rPr>
          <w:t>35</w:t>
        </w:r>
        <w:r>
          <w:rPr>
            <w:noProof/>
            <w:webHidden/>
          </w:rPr>
          <w:fldChar w:fldCharType="end"/>
        </w:r>
      </w:hyperlink>
    </w:p>
    <w:p w14:paraId="06650839" w14:textId="4010C862" w:rsidR="006F7B7B" w:rsidRDefault="006F7B7B">
      <w:pPr>
        <w:pStyle w:val="TableofFigures"/>
        <w:tabs>
          <w:tab w:val="right" w:leader="dot" w:pos="9350"/>
        </w:tabs>
        <w:rPr>
          <w:rFonts w:asciiTheme="minorHAnsi" w:eastAsiaTheme="minorEastAsia" w:hAnsiTheme="minorHAnsi"/>
          <w:noProof/>
        </w:rPr>
      </w:pPr>
      <w:hyperlink w:anchor="_Toc121470314" w:history="1">
        <w:r w:rsidRPr="004E51D6">
          <w:rPr>
            <w:rStyle w:val="Hyperlink"/>
            <w:noProof/>
          </w:rPr>
          <w:t>Table 7 - CMC measurements of surfactants used in this study.</w:t>
        </w:r>
        <w:r>
          <w:rPr>
            <w:noProof/>
            <w:webHidden/>
          </w:rPr>
          <w:tab/>
        </w:r>
        <w:r>
          <w:rPr>
            <w:noProof/>
            <w:webHidden/>
          </w:rPr>
          <w:fldChar w:fldCharType="begin"/>
        </w:r>
        <w:r>
          <w:rPr>
            <w:noProof/>
            <w:webHidden/>
          </w:rPr>
          <w:instrText xml:space="preserve"> PAGEREF _Toc121470314 \h </w:instrText>
        </w:r>
        <w:r>
          <w:rPr>
            <w:noProof/>
            <w:webHidden/>
          </w:rPr>
        </w:r>
        <w:r>
          <w:rPr>
            <w:noProof/>
            <w:webHidden/>
          </w:rPr>
          <w:fldChar w:fldCharType="separate"/>
        </w:r>
        <w:r>
          <w:rPr>
            <w:noProof/>
            <w:webHidden/>
          </w:rPr>
          <w:t>36</w:t>
        </w:r>
        <w:r>
          <w:rPr>
            <w:noProof/>
            <w:webHidden/>
          </w:rPr>
          <w:fldChar w:fldCharType="end"/>
        </w:r>
      </w:hyperlink>
    </w:p>
    <w:p w14:paraId="6CF92B6D" w14:textId="6E15B092" w:rsidR="006F7B7B" w:rsidRDefault="006F7B7B">
      <w:pPr>
        <w:pStyle w:val="TableofFigures"/>
        <w:tabs>
          <w:tab w:val="right" w:leader="dot" w:pos="9350"/>
        </w:tabs>
        <w:rPr>
          <w:rFonts w:asciiTheme="minorHAnsi" w:eastAsiaTheme="minorEastAsia" w:hAnsiTheme="minorHAnsi"/>
          <w:noProof/>
        </w:rPr>
      </w:pPr>
      <w:hyperlink w:anchor="_Toc121470315" w:history="1">
        <w:r w:rsidRPr="004E51D6">
          <w:rPr>
            <w:rStyle w:val="Hyperlink"/>
            <w:noProof/>
          </w:rPr>
          <w:t>Table 8 - Summary of IFT, contact angle, surfactant adsorption, and oil recovery experiment results using produced brine and surfactants at 2 gpt concentration.</w:t>
        </w:r>
        <w:r>
          <w:rPr>
            <w:noProof/>
            <w:webHidden/>
          </w:rPr>
          <w:tab/>
        </w:r>
        <w:r>
          <w:rPr>
            <w:noProof/>
            <w:webHidden/>
          </w:rPr>
          <w:fldChar w:fldCharType="begin"/>
        </w:r>
        <w:r>
          <w:rPr>
            <w:noProof/>
            <w:webHidden/>
          </w:rPr>
          <w:instrText xml:space="preserve"> PAGEREF _Toc121470315 \h </w:instrText>
        </w:r>
        <w:r>
          <w:rPr>
            <w:noProof/>
            <w:webHidden/>
          </w:rPr>
        </w:r>
        <w:r>
          <w:rPr>
            <w:noProof/>
            <w:webHidden/>
          </w:rPr>
          <w:fldChar w:fldCharType="separate"/>
        </w:r>
        <w:r>
          <w:rPr>
            <w:noProof/>
            <w:webHidden/>
          </w:rPr>
          <w:t>52</w:t>
        </w:r>
        <w:r>
          <w:rPr>
            <w:noProof/>
            <w:webHidden/>
          </w:rPr>
          <w:fldChar w:fldCharType="end"/>
        </w:r>
      </w:hyperlink>
    </w:p>
    <w:p w14:paraId="4864C845" w14:textId="2E03E1B2" w:rsidR="00BD7C84" w:rsidRDefault="00153561" w:rsidP="00BD7C84">
      <w:pPr>
        <w:sectPr w:rsidR="00BD7C84" w:rsidSect="00431A46">
          <w:footerReference w:type="default" r:id="rId10"/>
          <w:type w:val="continuous"/>
          <w:pgSz w:w="12240" w:h="15840"/>
          <w:pgMar w:top="1440" w:right="1440" w:bottom="1440" w:left="1440" w:header="720" w:footer="720" w:gutter="0"/>
          <w:pgNumType w:fmt="lowerRoman" w:start="4"/>
          <w:cols w:space="720"/>
          <w:docGrid w:linePitch="360"/>
        </w:sectPr>
      </w:pPr>
      <w:r>
        <w:fldChar w:fldCharType="end"/>
      </w:r>
      <w:bookmarkStart w:id="12" w:name="_Toc118484059"/>
      <w:bookmarkStart w:id="13" w:name="_Toc118485271"/>
    </w:p>
    <w:bookmarkEnd w:id="12"/>
    <w:bookmarkEnd w:id="13"/>
    <w:p w14:paraId="6A6FA934" w14:textId="77777777" w:rsidR="00407DF0" w:rsidRDefault="00407DF0">
      <w:pPr>
        <w:spacing w:line="240" w:lineRule="auto"/>
        <w:jc w:val="left"/>
        <w:rPr>
          <w:rFonts w:eastAsiaTheme="majorEastAsia" w:cstheme="majorBidi"/>
          <w:b/>
          <w:color w:val="000000" w:themeColor="text1"/>
          <w:szCs w:val="32"/>
        </w:rPr>
      </w:pPr>
      <w:r>
        <w:br w:type="page"/>
      </w:r>
    </w:p>
    <w:p w14:paraId="54845157" w14:textId="11BF1404" w:rsidR="00215C46" w:rsidRDefault="00215C46" w:rsidP="00407DF0">
      <w:pPr>
        <w:pStyle w:val="Heading1"/>
        <w:numPr>
          <w:ilvl w:val="0"/>
          <w:numId w:val="0"/>
        </w:numPr>
      </w:pPr>
      <w:bookmarkStart w:id="14" w:name="_Toc121470225"/>
      <w:r>
        <w:lastRenderedPageBreak/>
        <w:t>Abstract</w:t>
      </w:r>
      <w:bookmarkEnd w:id="14"/>
    </w:p>
    <w:p w14:paraId="5F854347" w14:textId="1503F96C" w:rsidR="009418E2" w:rsidRDefault="007050B9" w:rsidP="004825DF">
      <w:r>
        <w:t>Surfactants have been used to increase hydrocarbon recovery to</w:t>
      </w:r>
      <w:r w:rsidR="004825DF" w:rsidRPr="00314C3F">
        <w:t xml:space="preserve"> meet the increasing demand for oil and gas. </w:t>
      </w:r>
      <w:r w:rsidR="004825DF">
        <w:t>This mechanism of using</w:t>
      </w:r>
      <w:r w:rsidR="004825DF" w:rsidRPr="00314C3F">
        <w:t xml:space="preserve"> </w:t>
      </w:r>
      <w:r w:rsidR="004825DF">
        <w:t>s</w:t>
      </w:r>
      <w:r w:rsidR="004825DF" w:rsidRPr="00314C3F">
        <w:t>urfactant</w:t>
      </w:r>
      <w:r w:rsidR="004825DF">
        <w:t xml:space="preserve">s </w:t>
      </w:r>
      <w:r w:rsidR="004825DF" w:rsidRPr="00314C3F">
        <w:t xml:space="preserve">reduces the Interfacial Tension (IFT) at </w:t>
      </w:r>
      <w:r w:rsidR="009B04ED">
        <w:t xml:space="preserve">the </w:t>
      </w:r>
      <w:r w:rsidR="004825DF" w:rsidRPr="00314C3F">
        <w:t xml:space="preserve">fluid/fluid interface and wettability at </w:t>
      </w:r>
      <w:r w:rsidR="009B04ED">
        <w:t xml:space="preserve">the </w:t>
      </w:r>
      <w:r w:rsidR="004825DF" w:rsidRPr="00314C3F">
        <w:t>rock/fluid interface to mobilize trapped oil out of the pores. However, there are two main limitations of the surfactant flooding process—first, high reservoir temperature &amp; salinity, and second, adsorption of surfactants on the rock surface. Surfactant adsorption alters wettability of reservoir rock from oil-wet to water-wet</w:t>
      </w:r>
      <w:r w:rsidR="004825DF">
        <w:t xml:space="preserve">. However, </w:t>
      </w:r>
      <w:r w:rsidR="009418E2">
        <w:t xml:space="preserve">excess adsorption </w:t>
      </w:r>
      <w:r w:rsidR="004825DF">
        <w:t>may</w:t>
      </w:r>
      <w:r w:rsidR="009B04ED">
        <w:t xml:space="preserve"> </w:t>
      </w:r>
      <w:r w:rsidR="00FC2083">
        <w:t>decrease</w:t>
      </w:r>
      <w:r w:rsidR="009B04ED">
        <w:t xml:space="preserve"> </w:t>
      </w:r>
      <w:r w:rsidR="004825DF">
        <w:t>oil</w:t>
      </w:r>
      <w:r w:rsidR="004825DF" w:rsidRPr="00314C3F">
        <w:t xml:space="preserve"> recovery, especially in conventional reservoirs with high </w:t>
      </w:r>
      <w:r w:rsidR="00F82BE2">
        <w:t xml:space="preserve">temperature and </w:t>
      </w:r>
      <w:r w:rsidR="00362CDD">
        <w:t>T</w:t>
      </w:r>
      <w:r w:rsidR="00F82BE2">
        <w:t xml:space="preserve">otal </w:t>
      </w:r>
      <w:r w:rsidR="00362CDD">
        <w:t>D</w:t>
      </w:r>
      <w:r w:rsidR="00F82BE2">
        <w:t xml:space="preserve">issolved </w:t>
      </w:r>
      <w:r w:rsidR="00362CDD">
        <w:t>S</w:t>
      </w:r>
      <w:r w:rsidR="00F82BE2">
        <w:t>olids</w:t>
      </w:r>
      <w:r w:rsidR="004825DF" w:rsidRPr="00314C3F">
        <w:t xml:space="preserve"> (TDS). </w:t>
      </w:r>
    </w:p>
    <w:p w14:paraId="48EA2E97" w14:textId="77777777" w:rsidR="00A2324E" w:rsidRDefault="004825DF" w:rsidP="00A2324E">
      <w:pPr>
        <w:ind w:firstLine="720"/>
        <w:rPr>
          <w:rFonts w:eastAsiaTheme="minorHAnsi"/>
        </w:rPr>
      </w:pPr>
      <w:r w:rsidRPr="00314C3F">
        <w:t xml:space="preserve">This study tested two synthetic amphoteric surfactants, one nonionic biosurfactant, and a base case with produced brine to understand wettability, IFT, surfactant adsorption, and its effect on oil recovery in Bone Spring sandstone formation. </w:t>
      </w:r>
      <w:r>
        <w:t>Produced b</w:t>
      </w:r>
      <w:r w:rsidRPr="00314C3F">
        <w:t xml:space="preserve">rine has a high TDS of </w:t>
      </w:r>
      <w:r w:rsidR="008E7F6B">
        <w:t>23</w:t>
      </w:r>
      <w:r w:rsidR="004A5269">
        <w:t>7,70</w:t>
      </w:r>
      <w:r w:rsidR="001A4F24">
        <w:t>5</w:t>
      </w:r>
      <w:r w:rsidR="008E7F6B">
        <w:t xml:space="preserve"> </w:t>
      </w:r>
      <w:r w:rsidRPr="00314C3F">
        <w:t>ppm, and test conditions were kept at 145</w:t>
      </w:r>
      <w:r w:rsidRPr="00314C3F">
        <w:rPr>
          <w:vertAlign w:val="superscript"/>
        </w:rPr>
        <w:t>o</w:t>
      </w:r>
      <w:r w:rsidRPr="00314C3F">
        <w:t>F and 500 psi pressure. First, surfactant stability tests</w:t>
      </w:r>
      <w:r w:rsidR="00DE4B3E">
        <w:t xml:space="preserve"> and CMC measurements</w:t>
      </w:r>
      <w:r w:rsidRPr="00314C3F">
        <w:t xml:space="preserve"> were performed on </w:t>
      </w:r>
      <w:r>
        <w:t xml:space="preserve">three </w:t>
      </w:r>
      <w:r w:rsidRPr="00314C3F">
        <w:rPr>
          <w:rFonts w:eastAsiaTheme="minorHAnsi"/>
        </w:rPr>
        <w:t xml:space="preserve">surfactants. Then, IFT measurements were performed between crude oil and surfactant solutions along with </w:t>
      </w:r>
      <w:r w:rsidR="00856E1D">
        <w:rPr>
          <w:rFonts w:eastAsiaTheme="minorHAnsi"/>
        </w:rPr>
        <w:t xml:space="preserve">produced </w:t>
      </w:r>
      <w:r>
        <w:rPr>
          <w:rFonts w:eastAsiaTheme="minorHAnsi"/>
        </w:rPr>
        <w:t>brine</w:t>
      </w:r>
      <w:r w:rsidRPr="00314C3F">
        <w:rPr>
          <w:rFonts w:eastAsiaTheme="minorHAnsi"/>
        </w:rPr>
        <w:t>. Next, w</w:t>
      </w:r>
      <w:r w:rsidRPr="00314C3F">
        <w:t xml:space="preserve">ettability alteration was studied by measuring contact angle on oil saturated rock samples before and after being exposed with surfactants and </w:t>
      </w:r>
      <w:r w:rsidR="00DE4B3E">
        <w:t xml:space="preserve">produced </w:t>
      </w:r>
      <w:r w:rsidRPr="00314C3F">
        <w:t xml:space="preserve">brine. Then, surfactant </w:t>
      </w:r>
      <w:r w:rsidRPr="00314C3F">
        <w:rPr>
          <w:rFonts w:eastAsiaTheme="minorHAnsi"/>
        </w:rPr>
        <w:t xml:space="preserve">adsorption experiments were performed using UV-Vis spectrophotometer to calculate the amount of surfactant </w:t>
      </w:r>
      <w:r>
        <w:rPr>
          <w:rFonts w:eastAsiaTheme="minorHAnsi"/>
        </w:rPr>
        <w:t>getting adsorbed</w:t>
      </w:r>
      <w:r w:rsidRPr="00314C3F">
        <w:rPr>
          <w:rFonts w:eastAsiaTheme="minorHAnsi"/>
        </w:rPr>
        <w:t xml:space="preserve"> on the rock sample</w:t>
      </w:r>
      <w:r w:rsidR="00985914">
        <w:rPr>
          <w:rFonts w:eastAsiaTheme="minorHAnsi"/>
        </w:rPr>
        <w:t>s</w:t>
      </w:r>
      <w:r w:rsidRPr="00314C3F">
        <w:rPr>
          <w:rFonts w:eastAsiaTheme="minorHAnsi"/>
        </w:rPr>
        <w:t xml:space="preserve">. </w:t>
      </w:r>
      <w:r w:rsidR="00625B09">
        <w:rPr>
          <w:rFonts w:eastAsiaTheme="minorHAnsi"/>
        </w:rPr>
        <w:t>Lastly</w:t>
      </w:r>
      <w:r>
        <w:rPr>
          <w:rFonts w:eastAsiaTheme="minorHAnsi"/>
        </w:rPr>
        <w:t>, s</w:t>
      </w:r>
      <w:r w:rsidRPr="00314C3F">
        <w:rPr>
          <w:rFonts w:eastAsiaTheme="minorHAnsi"/>
        </w:rPr>
        <w:t xml:space="preserve">urfactants and brine </w:t>
      </w:r>
      <w:r>
        <w:rPr>
          <w:rFonts w:eastAsiaTheme="minorHAnsi"/>
        </w:rPr>
        <w:t>imbibition</w:t>
      </w:r>
      <w:r w:rsidRPr="00314C3F">
        <w:rPr>
          <w:rFonts w:eastAsiaTheme="minorHAnsi"/>
        </w:rPr>
        <w:t xml:space="preserve"> experiments were performed on </w:t>
      </w:r>
      <w:r w:rsidR="003951EE">
        <w:rPr>
          <w:rFonts w:eastAsiaTheme="minorHAnsi"/>
        </w:rPr>
        <w:t>plug</w:t>
      </w:r>
      <w:r w:rsidRPr="00314C3F">
        <w:rPr>
          <w:rFonts w:eastAsiaTheme="minorHAnsi"/>
        </w:rPr>
        <w:t xml:space="preserve"> samples, and oil recovery was quantified using</w:t>
      </w:r>
      <w:r>
        <w:rPr>
          <w:rFonts w:eastAsiaTheme="minorHAnsi"/>
        </w:rPr>
        <w:t xml:space="preserve"> </w:t>
      </w:r>
      <w:r w:rsidRPr="00314C3F">
        <w:rPr>
          <w:rFonts w:eastAsiaTheme="minorHAnsi"/>
        </w:rPr>
        <w:t>12MHz Nuclear Magnetic Resonance (NMR) spectrometer.</w:t>
      </w:r>
      <w:r w:rsidR="001F5129">
        <w:rPr>
          <w:rFonts w:eastAsiaTheme="minorHAnsi"/>
        </w:rPr>
        <w:t xml:space="preserve"> </w:t>
      </w:r>
      <w:r w:rsidR="00333BE9">
        <w:rPr>
          <w:rFonts w:eastAsiaTheme="minorHAnsi"/>
        </w:rPr>
        <w:t>All the r</w:t>
      </w:r>
      <w:r w:rsidR="00DE4B3E">
        <w:rPr>
          <w:rFonts w:eastAsiaTheme="minorHAnsi"/>
        </w:rPr>
        <w:t>ecovery experiments were repeated on</w:t>
      </w:r>
      <w:r w:rsidR="00FC2083">
        <w:rPr>
          <w:rFonts w:eastAsiaTheme="minorHAnsi"/>
        </w:rPr>
        <w:t xml:space="preserve"> </w:t>
      </w:r>
      <w:r w:rsidR="00F70B6A">
        <w:rPr>
          <w:rFonts w:eastAsiaTheme="minorHAnsi"/>
        </w:rPr>
        <w:t xml:space="preserve">the </w:t>
      </w:r>
      <w:r w:rsidR="00DE4B3E">
        <w:rPr>
          <w:rFonts w:eastAsiaTheme="minorHAnsi"/>
        </w:rPr>
        <w:t>s</w:t>
      </w:r>
      <w:r w:rsidR="001F5129">
        <w:rPr>
          <w:rFonts w:eastAsiaTheme="minorHAnsi"/>
        </w:rPr>
        <w:t xml:space="preserve">ame three plug samples with </w:t>
      </w:r>
      <w:r w:rsidR="00FC2083">
        <w:rPr>
          <w:rFonts w:eastAsiaTheme="minorHAnsi"/>
        </w:rPr>
        <w:t>approximately</w:t>
      </w:r>
      <w:r w:rsidR="001F5129">
        <w:rPr>
          <w:rFonts w:eastAsiaTheme="minorHAnsi"/>
        </w:rPr>
        <w:t xml:space="preserve"> </w:t>
      </w:r>
      <w:r w:rsidR="00DE4B3E">
        <w:rPr>
          <w:rFonts w:eastAsiaTheme="minorHAnsi"/>
        </w:rPr>
        <w:t>3</w:t>
      </w:r>
      <w:r w:rsidR="00625B09">
        <w:rPr>
          <w:rFonts w:eastAsiaTheme="minorHAnsi"/>
        </w:rPr>
        <w:t>0</w:t>
      </w:r>
      <w:r w:rsidR="00E0118B">
        <w:rPr>
          <w:rFonts w:eastAsiaTheme="minorHAnsi"/>
        </w:rPr>
        <w:t xml:space="preserve"> wt.</w:t>
      </w:r>
      <w:r w:rsidR="00DE4B3E">
        <w:rPr>
          <w:rFonts w:eastAsiaTheme="minorHAnsi"/>
        </w:rPr>
        <w:t xml:space="preserve">% clay. </w:t>
      </w:r>
    </w:p>
    <w:p w14:paraId="52F8E609" w14:textId="64E89006" w:rsidR="00180E06" w:rsidRDefault="00E22FA8" w:rsidP="00A2324E">
      <w:pPr>
        <w:ind w:firstLine="720"/>
        <w:rPr>
          <w:rFonts w:eastAsiaTheme="minorHAnsi"/>
        </w:rPr>
      </w:pPr>
      <w:r>
        <w:rPr>
          <w:rFonts w:eastAsiaTheme="minorHAnsi"/>
        </w:rPr>
        <w:lastRenderedPageBreak/>
        <w:t>This study</w:t>
      </w:r>
      <w:r w:rsidR="007313EC">
        <w:rPr>
          <w:rFonts w:eastAsiaTheme="minorHAnsi"/>
        </w:rPr>
        <w:t xml:space="preserve"> </w:t>
      </w:r>
      <w:r w:rsidR="00FC2083">
        <w:rPr>
          <w:rFonts w:eastAsiaTheme="minorHAnsi"/>
        </w:rPr>
        <w:t>shows</w:t>
      </w:r>
      <w:r w:rsidR="004825DF" w:rsidRPr="00314C3F">
        <w:rPr>
          <w:rFonts w:eastAsiaTheme="minorHAnsi"/>
        </w:rPr>
        <w:t xml:space="preserve"> that all three surfactants </w:t>
      </w:r>
      <w:r w:rsidR="004825DF">
        <w:rPr>
          <w:rFonts w:eastAsiaTheme="minorHAnsi"/>
        </w:rPr>
        <w:t>reduced</w:t>
      </w:r>
      <w:r w:rsidR="004825DF" w:rsidRPr="00314C3F">
        <w:rPr>
          <w:rFonts w:eastAsiaTheme="minorHAnsi"/>
        </w:rPr>
        <w:t xml:space="preserve"> IFT and alte</w:t>
      </w:r>
      <w:r w:rsidR="004825DF">
        <w:rPr>
          <w:rFonts w:eastAsiaTheme="minorHAnsi"/>
        </w:rPr>
        <w:t>red</w:t>
      </w:r>
      <w:r w:rsidR="004825DF" w:rsidRPr="00314C3F">
        <w:rPr>
          <w:rFonts w:eastAsiaTheme="minorHAnsi"/>
        </w:rPr>
        <w:t xml:space="preserve"> wettability, </w:t>
      </w:r>
      <w:r w:rsidR="004825DF">
        <w:rPr>
          <w:rFonts w:eastAsiaTheme="minorHAnsi"/>
        </w:rPr>
        <w:t xml:space="preserve">but </w:t>
      </w:r>
      <w:r w:rsidR="004825DF" w:rsidRPr="00314C3F">
        <w:t>biosurfactant</w:t>
      </w:r>
      <w:r w:rsidR="004825DF" w:rsidRPr="00314C3F">
        <w:rPr>
          <w:rFonts w:eastAsiaTheme="minorHAnsi"/>
        </w:rPr>
        <w:t xml:space="preserve"> </w:t>
      </w:r>
      <w:r w:rsidR="004825DF">
        <w:rPr>
          <w:rFonts w:eastAsiaTheme="minorHAnsi"/>
        </w:rPr>
        <w:t>showed</w:t>
      </w:r>
      <w:r w:rsidR="004825DF" w:rsidRPr="00314C3F">
        <w:rPr>
          <w:rFonts w:eastAsiaTheme="minorHAnsi"/>
        </w:rPr>
        <w:t xml:space="preserve"> low IFT</w:t>
      </w:r>
      <w:r w:rsidR="004825DF">
        <w:rPr>
          <w:rFonts w:eastAsiaTheme="minorHAnsi"/>
        </w:rPr>
        <w:t xml:space="preserve">, much lower surfactant adsorption, </w:t>
      </w:r>
      <w:r w:rsidR="004825DF" w:rsidRPr="00314C3F">
        <w:rPr>
          <w:rFonts w:eastAsiaTheme="minorHAnsi"/>
        </w:rPr>
        <w:t xml:space="preserve">and </w:t>
      </w:r>
      <w:r w:rsidR="004825DF">
        <w:rPr>
          <w:rFonts w:eastAsiaTheme="minorHAnsi"/>
        </w:rPr>
        <w:t>made</w:t>
      </w:r>
      <w:r w:rsidR="004825DF" w:rsidRPr="00314C3F">
        <w:rPr>
          <w:rFonts w:eastAsiaTheme="minorHAnsi"/>
        </w:rPr>
        <w:t xml:space="preserve"> the sample most water</w:t>
      </w:r>
      <w:r w:rsidR="0081498B">
        <w:rPr>
          <w:rFonts w:eastAsiaTheme="minorHAnsi"/>
        </w:rPr>
        <w:t xml:space="preserve"> </w:t>
      </w:r>
      <w:r w:rsidR="004825DF" w:rsidRPr="00314C3F">
        <w:rPr>
          <w:rFonts w:eastAsiaTheme="minorHAnsi"/>
        </w:rPr>
        <w:t xml:space="preserve">wet as compared to amphoteric surfactants. </w:t>
      </w:r>
      <w:r w:rsidR="004825DF">
        <w:rPr>
          <w:rFonts w:eastAsiaTheme="minorHAnsi"/>
        </w:rPr>
        <w:t>Imbibition</w:t>
      </w:r>
      <w:r w:rsidR="004825DF" w:rsidRPr="00314C3F">
        <w:rPr>
          <w:rFonts w:eastAsiaTheme="minorHAnsi"/>
        </w:rPr>
        <w:t xml:space="preserve"> experiments show</w:t>
      </w:r>
      <w:r w:rsidR="004825DF">
        <w:rPr>
          <w:rFonts w:eastAsiaTheme="minorHAnsi"/>
        </w:rPr>
        <w:t>ed</w:t>
      </w:r>
      <w:r w:rsidR="004825DF" w:rsidRPr="00314C3F">
        <w:rPr>
          <w:rFonts w:eastAsiaTheme="minorHAnsi"/>
        </w:rPr>
        <w:t xml:space="preserve"> that </w:t>
      </w:r>
      <w:r w:rsidR="004825DF" w:rsidRPr="00314C3F">
        <w:t>biosurfactant ha</w:t>
      </w:r>
      <w:r w:rsidR="004825DF">
        <w:t>ve</w:t>
      </w:r>
      <w:r w:rsidR="004825DF" w:rsidRPr="00314C3F">
        <w:t xml:space="preserve"> the highest oil recovery</w:t>
      </w:r>
      <w:r w:rsidR="004825DF">
        <w:t>,</w:t>
      </w:r>
      <w:r w:rsidR="004825DF" w:rsidRPr="00314C3F">
        <w:t xml:space="preserve"> while</w:t>
      </w:r>
      <w:r w:rsidR="004825DF" w:rsidRPr="00314C3F">
        <w:rPr>
          <w:rFonts w:eastAsiaTheme="minorHAnsi"/>
        </w:rPr>
        <w:t xml:space="preserve"> amphoteric surfactants have oil recovery</w:t>
      </w:r>
      <w:r w:rsidR="004825DF">
        <w:rPr>
          <w:rFonts w:eastAsiaTheme="minorHAnsi"/>
        </w:rPr>
        <w:t xml:space="preserve"> even</w:t>
      </w:r>
      <w:r w:rsidR="004825DF" w:rsidRPr="00314C3F">
        <w:rPr>
          <w:rFonts w:eastAsiaTheme="minorHAnsi"/>
        </w:rPr>
        <w:t xml:space="preserve"> lower </w:t>
      </w:r>
      <w:r w:rsidR="004825DF" w:rsidRPr="00B81785">
        <w:rPr>
          <w:rFonts w:eastAsiaTheme="minorHAnsi"/>
        </w:rPr>
        <w:t>than</w:t>
      </w:r>
      <w:r w:rsidR="00DB5ECA" w:rsidRPr="00B81785">
        <w:rPr>
          <w:rFonts w:eastAsiaTheme="minorHAnsi"/>
        </w:rPr>
        <w:t xml:space="preserve"> produced</w:t>
      </w:r>
      <w:r w:rsidR="004825DF" w:rsidRPr="00B81785">
        <w:rPr>
          <w:rFonts w:eastAsiaTheme="minorHAnsi"/>
        </w:rPr>
        <w:t xml:space="preserve"> brine. </w:t>
      </w:r>
      <w:r w:rsidR="001A2C20">
        <w:rPr>
          <w:rFonts w:eastAsiaTheme="minorHAnsi"/>
        </w:rPr>
        <w:t xml:space="preserve">This study </w:t>
      </w:r>
      <w:r w:rsidR="00F70B6A">
        <w:rPr>
          <w:rFonts w:eastAsiaTheme="minorHAnsi"/>
        </w:rPr>
        <w:t>shows</w:t>
      </w:r>
      <w:r w:rsidR="001A2C20">
        <w:rPr>
          <w:rFonts w:eastAsiaTheme="minorHAnsi"/>
        </w:rPr>
        <w:t xml:space="preserve"> that surfactant adsorption </w:t>
      </w:r>
      <w:r w:rsidR="00F70B6A">
        <w:rPr>
          <w:rFonts w:eastAsiaTheme="minorHAnsi"/>
        </w:rPr>
        <w:t>affects</w:t>
      </w:r>
      <w:r w:rsidR="001A2C20">
        <w:rPr>
          <w:rFonts w:eastAsiaTheme="minorHAnsi"/>
        </w:rPr>
        <w:t xml:space="preserve"> o</w:t>
      </w:r>
      <w:r w:rsidR="001A2C20" w:rsidRPr="00314C3F">
        <w:t>il recovery, which</w:t>
      </w:r>
      <w:r w:rsidR="001A2C20">
        <w:t xml:space="preserve"> </w:t>
      </w:r>
      <w:r w:rsidR="001A2C20" w:rsidRPr="00314C3F">
        <w:t>lead</w:t>
      </w:r>
      <w:r w:rsidR="001A2C20">
        <w:t>s</w:t>
      </w:r>
      <w:r w:rsidR="001A2C20" w:rsidRPr="00314C3F">
        <w:t xml:space="preserve"> to loss of surfactants from</w:t>
      </w:r>
      <w:r w:rsidR="001A2C20">
        <w:t xml:space="preserve"> </w:t>
      </w:r>
      <w:r w:rsidR="001A2C20" w:rsidRPr="00314C3F">
        <w:t xml:space="preserve">solution to </w:t>
      </w:r>
      <w:r w:rsidR="001A2C20">
        <w:t xml:space="preserve">the </w:t>
      </w:r>
      <w:r w:rsidR="001A2C20" w:rsidRPr="00314C3F">
        <w:t>rock surface.</w:t>
      </w:r>
      <w:r w:rsidR="001A2C20">
        <w:rPr>
          <w:rFonts w:eastAsiaTheme="minorHAnsi"/>
        </w:rPr>
        <w:t xml:space="preserve"> </w:t>
      </w:r>
      <w:r w:rsidR="003E742D">
        <w:rPr>
          <w:rFonts w:eastAsiaTheme="minorHAnsi"/>
        </w:rPr>
        <w:t>M</w:t>
      </w:r>
      <w:r w:rsidR="0012056A">
        <w:rPr>
          <w:rFonts w:eastAsiaTheme="minorHAnsi"/>
        </w:rPr>
        <w:t xml:space="preserve">easurements </w:t>
      </w:r>
      <w:r w:rsidR="008316C9">
        <w:rPr>
          <w:rFonts w:eastAsiaTheme="minorHAnsi"/>
        </w:rPr>
        <w:t xml:space="preserve">also </w:t>
      </w:r>
      <w:r w:rsidR="0012056A">
        <w:rPr>
          <w:rFonts w:eastAsiaTheme="minorHAnsi"/>
        </w:rPr>
        <w:t>show that the adsorption of amphoteric surfactant</w:t>
      </w:r>
      <w:r w:rsidR="00E6145D">
        <w:rPr>
          <w:rFonts w:eastAsiaTheme="minorHAnsi"/>
        </w:rPr>
        <w:t>s</w:t>
      </w:r>
      <w:r w:rsidR="0012056A">
        <w:rPr>
          <w:rFonts w:eastAsiaTheme="minorHAnsi"/>
        </w:rPr>
        <w:t xml:space="preserve"> increases with </w:t>
      </w:r>
      <w:r w:rsidR="00F70B6A">
        <w:rPr>
          <w:rFonts w:eastAsiaTheme="minorHAnsi"/>
        </w:rPr>
        <w:t>increased</w:t>
      </w:r>
      <w:r w:rsidR="0012056A">
        <w:rPr>
          <w:rFonts w:eastAsiaTheme="minorHAnsi"/>
        </w:rPr>
        <w:t xml:space="preserve"> clay concentration</w:t>
      </w:r>
      <w:r w:rsidR="002C02A2">
        <w:rPr>
          <w:rFonts w:eastAsiaTheme="minorHAnsi"/>
        </w:rPr>
        <w:t xml:space="preserve"> which shows </w:t>
      </w:r>
      <w:r w:rsidR="00F70B6A">
        <w:rPr>
          <w:rFonts w:eastAsiaTheme="minorHAnsi"/>
        </w:rPr>
        <w:t xml:space="preserve">the </w:t>
      </w:r>
      <w:r w:rsidR="005B13EF">
        <w:rPr>
          <w:rFonts w:eastAsiaTheme="minorHAnsi"/>
        </w:rPr>
        <w:t xml:space="preserve">efficacy of </w:t>
      </w:r>
      <w:r w:rsidR="007D722B">
        <w:rPr>
          <w:rFonts w:eastAsiaTheme="minorHAnsi"/>
        </w:rPr>
        <w:t>surfactants</w:t>
      </w:r>
      <w:r w:rsidR="005B13EF">
        <w:rPr>
          <w:rFonts w:eastAsiaTheme="minorHAnsi"/>
        </w:rPr>
        <w:t xml:space="preserve"> depends on rock mineral composition. </w:t>
      </w:r>
    </w:p>
    <w:p w14:paraId="59D50AF0" w14:textId="4883B7CD" w:rsidR="00ED1B3A" w:rsidRPr="00CA09E0" w:rsidRDefault="009E16C8" w:rsidP="00ED1B3A">
      <w:pPr>
        <w:ind w:firstLine="720"/>
        <w:rPr>
          <w:rFonts w:eastAsiaTheme="minorHAnsi"/>
        </w:rPr>
        <w:sectPr w:rsidR="00ED1B3A" w:rsidRPr="00CA09E0" w:rsidSect="00AA4079">
          <w:type w:val="continuous"/>
          <w:pgSz w:w="12240" w:h="15840"/>
          <w:pgMar w:top="1440" w:right="1440" w:bottom="1440" w:left="1440" w:header="720" w:footer="720" w:gutter="0"/>
          <w:pgNumType w:fmt="lowerRoman"/>
          <w:cols w:space="720"/>
          <w:docGrid w:linePitch="360"/>
        </w:sectPr>
      </w:pPr>
      <w:r>
        <w:rPr>
          <w:rFonts w:eastAsiaTheme="minorHAnsi"/>
        </w:rPr>
        <w:t>T</w:t>
      </w:r>
      <w:r w:rsidRPr="00314C3F">
        <w:t>his study suggests that</w:t>
      </w:r>
      <w:r w:rsidRPr="00314C3F">
        <w:rPr>
          <w:rFonts w:eastAsiaTheme="minorHAnsi"/>
        </w:rPr>
        <w:t xml:space="preserve"> biosurfactant</w:t>
      </w:r>
      <w:r>
        <w:rPr>
          <w:rFonts w:eastAsiaTheme="minorHAnsi"/>
        </w:rPr>
        <w:t>s</w:t>
      </w:r>
      <w:r w:rsidRPr="00314C3F">
        <w:rPr>
          <w:rFonts w:eastAsiaTheme="minorHAnsi"/>
        </w:rPr>
        <w:t xml:space="preserve"> with glycolipids can be used in </w:t>
      </w:r>
      <w:r w:rsidR="004B797D">
        <w:rPr>
          <w:rFonts w:eastAsiaTheme="minorHAnsi"/>
        </w:rPr>
        <w:t xml:space="preserve">shaly </w:t>
      </w:r>
      <w:r w:rsidR="00EF16A6">
        <w:rPr>
          <w:rFonts w:eastAsiaTheme="minorHAnsi"/>
        </w:rPr>
        <w:t>s</w:t>
      </w:r>
      <w:r w:rsidRPr="00314C3F">
        <w:rPr>
          <w:rFonts w:eastAsiaTheme="minorHAnsi"/>
        </w:rPr>
        <w:t>andstone</w:t>
      </w:r>
      <w:r w:rsidR="002E65B7">
        <w:rPr>
          <w:rFonts w:eastAsiaTheme="minorHAnsi"/>
        </w:rPr>
        <w:t xml:space="preserve">s </w:t>
      </w:r>
      <w:r w:rsidRPr="00314C3F">
        <w:rPr>
          <w:rFonts w:eastAsiaTheme="minorHAnsi"/>
        </w:rPr>
        <w:t>at high TDS and temperature.</w:t>
      </w:r>
      <w:r>
        <w:rPr>
          <w:rFonts w:eastAsiaTheme="minorHAnsi"/>
        </w:rPr>
        <w:t xml:space="preserve"> With oil recovery using biosurfactants being very close to produced brine, it might be more economical to use only produced brine with no surfactants.</w:t>
      </w:r>
      <w:bookmarkStart w:id="15" w:name="_Toc118484060"/>
      <w:bookmarkStart w:id="16" w:name="_Toc118485272"/>
    </w:p>
    <w:p w14:paraId="066F95C5" w14:textId="77777777" w:rsidR="000F6DA6" w:rsidRDefault="00EC60E5" w:rsidP="000F6DA6">
      <w:pPr>
        <w:pStyle w:val="Heading1"/>
      </w:pPr>
      <w:bookmarkStart w:id="17" w:name="_Toc121470226"/>
      <w:r>
        <w:lastRenderedPageBreak/>
        <w:t xml:space="preserve">: </w:t>
      </w:r>
      <w:r w:rsidR="0025366E">
        <w:t>Introduction</w:t>
      </w:r>
      <w:bookmarkEnd w:id="15"/>
      <w:bookmarkEnd w:id="16"/>
      <w:bookmarkEnd w:id="17"/>
    </w:p>
    <w:p w14:paraId="63BB4E40" w14:textId="4C9AF0CF" w:rsidR="00CA49E9" w:rsidRDefault="000F6DA6" w:rsidP="00CA49E9">
      <w:r>
        <w:t xml:space="preserve">To meet the ever increasing demand </w:t>
      </w:r>
      <w:r w:rsidR="00BF5781">
        <w:t>for</w:t>
      </w:r>
      <w:r>
        <w:t xml:space="preserve"> oil &amp; gas and to keep the hydrocarbon exploration &amp; production business economical, it is </w:t>
      </w:r>
      <w:r w:rsidR="00BF5781">
        <w:t>essential</w:t>
      </w:r>
      <w:r>
        <w:t xml:space="preserve"> to improve recovery from depleting oil &amp; gas reservoirs. </w:t>
      </w:r>
      <w:r w:rsidR="00CA49E9">
        <w:t xml:space="preserve">Primary and secondary recovery methods in conventional reservoirs result in 10 to 35% recovery of the Original Oil in Place (OOIP) </w:t>
      </w:r>
      <w:r w:rsidR="00CA49E9" w:rsidRPr="00FC1677">
        <w:t>(</w:t>
      </w:r>
      <w:r w:rsidR="00CA49E9">
        <w:t>Ali</w:t>
      </w:r>
      <w:r w:rsidR="00CA49E9" w:rsidRPr="00FC1677">
        <w:t xml:space="preserve"> </w:t>
      </w:r>
      <w:r w:rsidR="00EE65E8">
        <w:t>and</w:t>
      </w:r>
      <w:r w:rsidR="00CA49E9" w:rsidRPr="00FC1677">
        <w:t xml:space="preserve"> Stahl, 1970)</w:t>
      </w:r>
      <w:r w:rsidR="00CA49E9">
        <w:t xml:space="preserve">. Tertiary recovery or </w:t>
      </w:r>
      <w:r w:rsidR="00CA49E9" w:rsidRPr="000502EE">
        <w:t>Enhanced Oil Recovery (EOR) methods are used</w:t>
      </w:r>
      <w:r w:rsidR="00CA49E9">
        <w:t xml:space="preserve"> to i</w:t>
      </w:r>
      <w:r w:rsidR="00CA49E9" w:rsidRPr="000502EE">
        <w:t xml:space="preserve">ncrease the recovery to 60% or more of the OOIP. </w:t>
      </w:r>
    </w:p>
    <w:p w14:paraId="725382DA" w14:textId="18074C27" w:rsidR="00CA49E9" w:rsidRDefault="00CA49E9" w:rsidP="00B20BCC">
      <w:r>
        <w:tab/>
        <w:t xml:space="preserve">One of the most extensively used EOR processes to reduce oil saturation is injection of chemicals into the reservoir, known as surfactant flooding. </w:t>
      </w:r>
      <w:r w:rsidRPr="00314C3F">
        <w:t>Studies have shown that different types of surfactants, including anionic, cationic, nonionic, and amphoteric, can increase oil recovery (Lake 1989</w:t>
      </w:r>
      <w:r w:rsidR="00DF3859">
        <w:t xml:space="preserve"> and</w:t>
      </w:r>
      <w:r w:rsidRPr="00314C3F">
        <w:t xml:space="preserve"> Schramm 2000). Besides synthetic surfactants, biosurfac</w:t>
      </w:r>
      <w:r>
        <w:t xml:space="preserve">tants synthesized from enzymes and microorganisms are also commercially available. Studies have shown that </w:t>
      </w:r>
      <w:r w:rsidR="002B1007">
        <w:t xml:space="preserve">the </w:t>
      </w:r>
      <w:r>
        <w:t>imbibition</w:t>
      </w:r>
      <w:r w:rsidRPr="00314C3F">
        <w:t xml:space="preserve"> of synthetic or biosurfactants in conventional reservoirs alters the wettability of rock to water-wet</w:t>
      </w:r>
      <w:r w:rsidR="002966D0">
        <w:t xml:space="preserve"> (Saxena et al. 2017; </w:t>
      </w:r>
      <w:r w:rsidR="002966D0" w:rsidRPr="0010746D">
        <w:t>Kumar and Mandal 2019</w:t>
      </w:r>
      <w:r w:rsidR="002966D0">
        <w:t>)</w:t>
      </w:r>
      <w:r w:rsidRPr="00314C3F">
        <w:t>. These surfactants reduce the Interfacial Tension (IFT) at fluid</w:t>
      </w:r>
      <w:r>
        <w:t>-fluid</w:t>
      </w:r>
      <w:r w:rsidRPr="00314C3F">
        <w:t xml:space="preserve"> interface</w:t>
      </w:r>
      <w:r>
        <w:t xml:space="preserve"> </w:t>
      </w:r>
      <w:r w:rsidR="00702A38">
        <w:t>and</w:t>
      </w:r>
      <w:r w:rsidRPr="00314C3F">
        <w:t xml:space="preserve"> mobilize trapped oil out of the pores</w:t>
      </w:r>
      <w:r w:rsidR="00B20BCC">
        <w:t xml:space="preserve">. </w:t>
      </w:r>
      <w:r w:rsidRPr="00314C3F">
        <w:t>This mechanism of using surfactants increases the capillary number by reducing the capillary forces, which depend</w:t>
      </w:r>
      <w:r w:rsidR="00FF6FB6">
        <w:t>s</w:t>
      </w:r>
      <w:r w:rsidRPr="00314C3F">
        <w:t xml:space="preserve"> on IFT and contact angle</w:t>
      </w:r>
      <w:r>
        <w:t>.</w:t>
      </w:r>
    </w:p>
    <w:p w14:paraId="73074744" w14:textId="5875D665" w:rsidR="0089691B" w:rsidRDefault="00E015B1" w:rsidP="009418E2">
      <w:r>
        <w:tab/>
        <w:t>Surfactant flooding process has two main limitations</w:t>
      </w:r>
      <w:r w:rsidRPr="00314C3F">
        <w:t xml:space="preserve">—first, high reservoir temperature &amp; high salinity, and second, </w:t>
      </w:r>
      <w:r w:rsidR="00D25BD6">
        <w:t xml:space="preserve">excess </w:t>
      </w:r>
      <w:r w:rsidRPr="00314C3F">
        <w:t>adsorption of surfactants on the rock surface</w:t>
      </w:r>
      <w:r w:rsidR="002B1007">
        <w:t>,</w:t>
      </w:r>
      <w:r w:rsidRPr="00314C3F">
        <w:t xml:space="preserve"> which can reduce the recovery of trapped oil from pores inside the rocks.</w:t>
      </w:r>
      <w:r w:rsidR="00B20BCC">
        <w:t xml:space="preserve"> </w:t>
      </w:r>
      <w:r w:rsidR="00E010BC">
        <w:t>Numerous s</w:t>
      </w:r>
      <w:r w:rsidR="00B20BCC" w:rsidRPr="00314C3F">
        <w:t xml:space="preserve">tudies have identified various reasons for surfactant adsorption, which include ion exchange, ion association, hydrophobic bonding, dispersion forces, electrostatic attraction, van der </w:t>
      </w:r>
      <w:r w:rsidR="00B20BCC">
        <w:t>Waals</w:t>
      </w:r>
      <w:r w:rsidR="00B20BCC" w:rsidRPr="00314C3F">
        <w:t xml:space="preserve"> forces</w:t>
      </w:r>
      <w:r w:rsidR="007B4411">
        <w:t>,</w:t>
      </w:r>
      <w:r w:rsidR="00B20BCC" w:rsidRPr="00314C3F">
        <w:t xml:space="preserve"> and polarization of </w:t>
      </w:r>
      <w:r w:rsidR="00B20BCC" w:rsidRPr="00314C3F">
        <w:rPr>
          <w:rFonts w:ascii="Cambria Math" w:hAnsi="Cambria Math" w:cs="Cambria Math"/>
        </w:rPr>
        <w:t>𝜋</w:t>
      </w:r>
      <w:r w:rsidR="00B20BCC" w:rsidRPr="00314C3F">
        <w:t xml:space="preserve"> electrons</w:t>
      </w:r>
      <w:r w:rsidR="00E010BC">
        <w:t xml:space="preserve"> (</w:t>
      </w:r>
      <w:r w:rsidR="00E010BC" w:rsidRPr="00314C3F">
        <w:t>Paria and Khilar 2004; Zhang and Somasundaran 2006; Dang et al. 2011</w:t>
      </w:r>
      <w:r w:rsidR="00E010BC">
        <w:t xml:space="preserve">; </w:t>
      </w:r>
      <w:r w:rsidR="00E010BC" w:rsidRPr="00314C3F">
        <w:t>Kamal et al. 2017</w:t>
      </w:r>
      <w:r w:rsidR="00E010BC">
        <w:t>)</w:t>
      </w:r>
      <w:r w:rsidR="00B20BCC" w:rsidRPr="00314C3F">
        <w:t>.</w:t>
      </w:r>
    </w:p>
    <w:p w14:paraId="11515AEC" w14:textId="6AB9BFFD" w:rsidR="00180E06" w:rsidRDefault="00CA49E9" w:rsidP="0089691B">
      <w:pPr>
        <w:ind w:firstLine="720"/>
      </w:pPr>
      <w:r w:rsidRPr="00CA49E9">
        <w:lastRenderedPageBreak/>
        <w:t xml:space="preserve">Considering the increasing interest of exploration and production companies in using surfactant flooding in </w:t>
      </w:r>
      <w:r w:rsidR="00B857B0">
        <w:t xml:space="preserve">shaly sandstones having </w:t>
      </w:r>
      <w:r w:rsidRPr="00CA49E9">
        <w:t xml:space="preserve">high TDS and temperature, this study aims to use a set of related experiments to determine the role of surfactants in improving oil recovery </w:t>
      </w:r>
      <w:r w:rsidR="00CF5B98">
        <w:t>using</w:t>
      </w:r>
      <w:r w:rsidRPr="00CA49E9">
        <w:t xml:space="preserve"> surfactant flooding in Bone Spring sandstone. This study will close the existing gaps in the literature by testing two synthetic surfactants (amphoteric) and one biosurfactant (nonionic) using sandstone plug samples, crude oil, and produced brine from the well site. As per our best knowledge, no literature is currently available with thoroughly performed experiments that evaluate</w:t>
      </w:r>
      <w:r w:rsidR="00A32BF8">
        <w:t>s</w:t>
      </w:r>
      <w:r w:rsidRPr="00CA49E9">
        <w:t xml:space="preserve"> the use of surfactants, especially nonionic biosurfactant, to understand wettability, IFT, surfactant adsorption, and its effect on oil recovery in </w:t>
      </w:r>
      <w:r w:rsidR="00CD4502">
        <w:t>s</w:t>
      </w:r>
      <w:r w:rsidR="00B24FF8">
        <w:t>haly</w:t>
      </w:r>
      <w:r w:rsidR="00654E8C">
        <w:t xml:space="preserve"> sandstone</w:t>
      </w:r>
      <w:r w:rsidR="006C671B">
        <w:t>s</w:t>
      </w:r>
      <w:r w:rsidR="00654E8C">
        <w:t>.</w:t>
      </w:r>
    </w:p>
    <w:p w14:paraId="04A0F826" w14:textId="42CF3DBF" w:rsidR="00180E06" w:rsidRDefault="005E12AB" w:rsidP="005E297A">
      <w:pPr>
        <w:ind w:firstLine="720"/>
      </w:pPr>
      <w:r>
        <w:t xml:space="preserve">This study uses a set of related </w:t>
      </w:r>
      <w:r w:rsidR="00651CF0">
        <w:t>experiments</w:t>
      </w:r>
      <w:r>
        <w:t xml:space="preserve"> to understand </w:t>
      </w:r>
      <w:r w:rsidR="002A2F95">
        <w:t xml:space="preserve">the </w:t>
      </w:r>
      <w:r>
        <w:t xml:space="preserve">combined effect of IFT and wettability </w:t>
      </w:r>
      <w:r w:rsidR="00A96F47">
        <w:t>on oil recovery</w:t>
      </w:r>
      <w:r w:rsidR="0006120F">
        <w:t xml:space="preserve"> </w:t>
      </w:r>
      <w:r>
        <w:t xml:space="preserve">with a focus </w:t>
      </w:r>
      <w:r w:rsidR="00A96F47">
        <w:t>on</w:t>
      </w:r>
      <w:r>
        <w:t xml:space="preserve"> surfactant adsorption</w:t>
      </w:r>
      <w:r w:rsidR="00442F35">
        <w:t xml:space="preserve"> using </w:t>
      </w:r>
      <w:r w:rsidR="00D733ED">
        <w:t>samples</w:t>
      </w:r>
      <w:r w:rsidR="0026561E">
        <w:t xml:space="preserve"> </w:t>
      </w:r>
      <w:r w:rsidR="00442F35">
        <w:t>from Bone Spring</w:t>
      </w:r>
      <w:r w:rsidR="00507029">
        <w:t xml:space="preserve"> sandstone</w:t>
      </w:r>
      <w:r w:rsidR="00180E06">
        <w:t>. The specific objectives are described as follows:</w:t>
      </w:r>
    </w:p>
    <w:p w14:paraId="0368805B" w14:textId="786FAE88" w:rsidR="00050188" w:rsidRPr="00050188" w:rsidRDefault="00050188" w:rsidP="00050188">
      <w:pPr>
        <w:pStyle w:val="ListParagraph"/>
        <w:numPr>
          <w:ilvl w:val="0"/>
          <w:numId w:val="16"/>
        </w:numPr>
        <w:rPr>
          <w:rFonts w:eastAsiaTheme="minorHAnsi"/>
        </w:rPr>
      </w:pPr>
      <w:r>
        <w:rPr>
          <w:rFonts w:eastAsiaTheme="minorHAnsi"/>
        </w:rPr>
        <w:t>Investigate the effect of amphoteric and biosurfactants on IFT using produced brine having high TDS.</w:t>
      </w:r>
    </w:p>
    <w:p w14:paraId="2A479CF4" w14:textId="568DCF4D" w:rsidR="001C0012" w:rsidRPr="001C0012" w:rsidRDefault="001C0012" w:rsidP="001C0012">
      <w:pPr>
        <w:pStyle w:val="ListParagraph"/>
        <w:numPr>
          <w:ilvl w:val="0"/>
          <w:numId w:val="16"/>
        </w:numPr>
        <w:rPr>
          <w:rFonts w:eastAsiaTheme="minorHAnsi"/>
        </w:rPr>
      </w:pPr>
      <w:r w:rsidRPr="00180E06">
        <w:rPr>
          <w:rFonts w:eastAsiaTheme="minorHAnsi"/>
        </w:rPr>
        <w:t>Investigate</w:t>
      </w:r>
      <w:r>
        <w:rPr>
          <w:rFonts w:eastAsiaTheme="minorHAnsi"/>
        </w:rPr>
        <w:t xml:space="preserve"> the effect of</w:t>
      </w:r>
      <w:r w:rsidRPr="00180E06">
        <w:rPr>
          <w:rFonts w:eastAsiaTheme="minorHAnsi"/>
        </w:rPr>
        <w:t xml:space="preserve"> amphoteric and biosurfactants </w:t>
      </w:r>
      <w:r>
        <w:rPr>
          <w:rFonts w:eastAsiaTheme="minorHAnsi"/>
        </w:rPr>
        <w:t xml:space="preserve">on wettability alteration and oil recovery in shaly </w:t>
      </w:r>
      <w:r w:rsidRPr="00180E06">
        <w:rPr>
          <w:rFonts w:eastAsiaTheme="minorHAnsi"/>
        </w:rPr>
        <w:t xml:space="preserve">sandstone </w:t>
      </w:r>
      <w:r>
        <w:rPr>
          <w:rFonts w:eastAsiaTheme="minorHAnsi"/>
        </w:rPr>
        <w:t>at</w:t>
      </w:r>
      <w:r w:rsidRPr="00180E06">
        <w:rPr>
          <w:rFonts w:eastAsiaTheme="minorHAnsi"/>
        </w:rPr>
        <w:t xml:space="preserve"> high TDS and temperature</w:t>
      </w:r>
    </w:p>
    <w:p w14:paraId="1863AA51" w14:textId="02E1C4CD" w:rsidR="003069FB" w:rsidRDefault="00050188" w:rsidP="00180E06">
      <w:pPr>
        <w:pStyle w:val="ListParagraph"/>
        <w:numPr>
          <w:ilvl w:val="0"/>
          <w:numId w:val="16"/>
        </w:numPr>
        <w:rPr>
          <w:rFonts w:eastAsiaTheme="minorHAnsi"/>
        </w:rPr>
      </w:pPr>
      <w:r>
        <w:rPr>
          <w:rFonts w:eastAsiaTheme="minorHAnsi"/>
        </w:rPr>
        <w:t>Determine surfactant adsorption during imbi</w:t>
      </w:r>
      <w:r w:rsidR="004969CD">
        <w:rPr>
          <w:rFonts w:eastAsiaTheme="minorHAnsi"/>
        </w:rPr>
        <w:t>bi</w:t>
      </w:r>
      <w:r>
        <w:rPr>
          <w:rFonts w:eastAsiaTheme="minorHAnsi"/>
        </w:rPr>
        <w:t xml:space="preserve">tion and correlate it with surfactant type, rock </w:t>
      </w:r>
      <w:r w:rsidR="000E3D20">
        <w:rPr>
          <w:rFonts w:eastAsiaTheme="minorHAnsi"/>
        </w:rPr>
        <w:t>mineralogy</w:t>
      </w:r>
      <w:r w:rsidR="002A2F95">
        <w:rPr>
          <w:rFonts w:eastAsiaTheme="minorHAnsi"/>
        </w:rPr>
        <w:t>,</w:t>
      </w:r>
      <w:r>
        <w:rPr>
          <w:rFonts w:eastAsiaTheme="minorHAnsi"/>
        </w:rPr>
        <w:t xml:space="preserve"> and oil recovery</w:t>
      </w:r>
      <w:r w:rsidR="000E3D20">
        <w:rPr>
          <w:rFonts w:eastAsiaTheme="minorHAnsi"/>
        </w:rPr>
        <w:t>.</w:t>
      </w:r>
      <w:r>
        <w:rPr>
          <w:rFonts w:eastAsiaTheme="minorHAnsi"/>
        </w:rPr>
        <w:t xml:space="preserve"> </w:t>
      </w:r>
    </w:p>
    <w:p w14:paraId="62E403A7" w14:textId="773E6B43" w:rsidR="00721B76" w:rsidRDefault="00705E64" w:rsidP="002C635C">
      <w:pPr>
        <w:pStyle w:val="Heading2"/>
      </w:pPr>
      <w:bookmarkStart w:id="18" w:name="_Toc121470227"/>
      <w:r>
        <w:t>1.</w:t>
      </w:r>
      <w:r w:rsidR="00C163A2">
        <w:t>1</w:t>
      </w:r>
      <w:r>
        <w:t xml:space="preserve"> Organization of the Thesis</w:t>
      </w:r>
      <w:bookmarkEnd w:id="18"/>
      <w:r>
        <w:t xml:space="preserve"> </w:t>
      </w:r>
      <w:bookmarkStart w:id="19" w:name="_Toc118484061"/>
      <w:bookmarkStart w:id="20" w:name="_Toc118485273"/>
    </w:p>
    <w:p w14:paraId="509CA9E2" w14:textId="29846192" w:rsidR="00721B76" w:rsidRDefault="00721B76" w:rsidP="00721B76">
      <w:r>
        <w:t>The</w:t>
      </w:r>
      <w:r w:rsidR="00F757F1">
        <w:t xml:space="preserve"> r</w:t>
      </w:r>
      <w:r w:rsidR="00FC4B18">
        <w:t xml:space="preserve">est of </w:t>
      </w:r>
      <w:r>
        <w:t xml:space="preserve">thesis is divided into four </w:t>
      </w:r>
      <w:r w:rsidR="00FC4B18">
        <w:t xml:space="preserve">additional </w:t>
      </w:r>
      <w:r>
        <w:t>chapters and is organized as follows:</w:t>
      </w:r>
    </w:p>
    <w:p w14:paraId="1192A297" w14:textId="3DFEE545" w:rsidR="002C635C" w:rsidRDefault="00721B76" w:rsidP="00721B76">
      <w:r>
        <w:t xml:space="preserve">Chapter 2 introduces a literature review on </w:t>
      </w:r>
      <w:r w:rsidR="00CF590C">
        <w:t xml:space="preserve">the </w:t>
      </w:r>
      <w:r>
        <w:t xml:space="preserve">fundamentals of oil recovery, wettability, </w:t>
      </w:r>
      <w:r w:rsidR="001E2281">
        <w:t xml:space="preserve">surfactant flooding, </w:t>
      </w:r>
      <w:r>
        <w:t xml:space="preserve">and wettability alteration mechanisms. This </w:t>
      </w:r>
      <w:r w:rsidR="00896AAE">
        <w:t xml:space="preserve">section </w:t>
      </w:r>
      <w:r>
        <w:t xml:space="preserve">also </w:t>
      </w:r>
      <w:r w:rsidR="001E2281">
        <w:t>describes the state-o</w:t>
      </w:r>
      <w:r w:rsidR="003C79B7">
        <w:t>f</w:t>
      </w:r>
      <w:r w:rsidR="001E2281">
        <w:t xml:space="preserve">-art on </w:t>
      </w:r>
      <w:r w:rsidR="001E2281">
        <w:lastRenderedPageBreak/>
        <w:t>surfactant adsorption, wettability alteration</w:t>
      </w:r>
      <w:r w:rsidR="00CF590C">
        <w:t>,</w:t>
      </w:r>
      <w:r w:rsidR="001E2281">
        <w:t xml:space="preserve"> and imbi</w:t>
      </w:r>
      <w:r w:rsidR="00483E42">
        <w:t>bi</w:t>
      </w:r>
      <w:r w:rsidR="001E2281">
        <w:t>tion using synthetic and microbial surfactants in sandstones.</w:t>
      </w:r>
    </w:p>
    <w:p w14:paraId="4A68B17E" w14:textId="1A1FDC44" w:rsidR="001E2281" w:rsidRDefault="001E2281" w:rsidP="00721B76">
      <w:r>
        <w:t>Chapter 3 describes the experimental methodologies used for petrophysical analysis, fluid characterization, wettability alteration, surfactant adsorption</w:t>
      </w:r>
      <w:r w:rsidR="00CF590C">
        <w:t>,</w:t>
      </w:r>
      <w:r>
        <w:t xml:space="preserve"> and imbi</w:t>
      </w:r>
      <w:r w:rsidR="00483E42">
        <w:t>bi</w:t>
      </w:r>
      <w:r>
        <w:t>tio</w:t>
      </w:r>
      <w:r w:rsidR="008564B7">
        <w:t xml:space="preserve">n on </w:t>
      </w:r>
      <w:r w:rsidR="00B27936">
        <w:t xml:space="preserve">Bone Spring </w:t>
      </w:r>
      <w:r w:rsidR="008564B7">
        <w:t>sandstones using produced brine and surfactants</w:t>
      </w:r>
      <w:r w:rsidR="009D4E72">
        <w:t>.</w:t>
      </w:r>
    </w:p>
    <w:p w14:paraId="4C55962B" w14:textId="6A9A9584" w:rsidR="0005506E" w:rsidRDefault="008564B7" w:rsidP="00721B76">
      <w:r>
        <w:t xml:space="preserve">Chapter 4 describes the findings of this study </w:t>
      </w:r>
      <w:r w:rsidR="0005506E">
        <w:t xml:space="preserve">with a focus </w:t>
      </w:r>
      <w:r w:rsidR="00CF590C">
        <w:t>on understanding</w:t>
      </w:r>
      <w:r w:rsidR="0005506E">
        <w:t xml:space="preserve"> </w:t>
      </w:r>
      <w:r w:rsidR="003F5C10">
        <w:t xml:space="preserve">the </w:t>
      </w:r>
      <w:r w:rsidR="0005506E">
        <w:t xml:space="preserve">low oil recovery of amphoteric surfactants </w:t>
      </w:r>
      <w:r w:rsidR="00FC3FCF">
        <w:t>as compared to</w:t>
      </w:r>
      <w:r w:rsidR="0005506E">
        <w:t xml:space="preserve"> produced brine using surfactant adsorption measurements. </w:t>
      </w:r>
    </w:p>
    <w:p w14:paraId="3738AD1D" w14:textId="246F82A3" w:rsidR="0005506E" w:rsidRDefault="0005506E" w:rsidP="00721B76">
      <w:r>
        <w:t xml:space="preserve">Chapter </w:t>
      </w:r>
      <w:r w:rsidRPr="0077732B">
        <w:t xml:space="preserve">5 presents the </w:t>
      </w:r>
      <w:r w:rsidR="004E2370" w:rsidRPr="0077732B">
        <w:t>conclusions</w:t>
      </w:r>
      <w:r w:rsidR="00DB5415" w:rsidRPr="0077732B">
        <w:t xml:space="preserve">, </w:t>
      </w:r>
      <w:r w:rsidR="007B4411">
        <w:t xml:space="preserve">surfactant selection strategy for sandstones, </w:t>
      </w:r>
      <w:r w:rsidR="0077732B">
        <w:t>and</w:t>
      </w:r>
      <w:r w:rsidR="002E15D0">
        <w:t xml:space="preserve"> </w:t>
      </w:r>
      <w:r w:rsidR="00EC6AF8" w:rsidRPr="0077732B">
        <w:t>future work recommendations</w:t>
      </w:r>
      <w:r w:rsidRPr="0077732B">
        <w:t>.</w:t>
      </w:r>
      <w:r>
        <w:t xml:space="preserve"> </w:t>
      </w:r>
    </w:p>
    <w:p w14:paraId="6F2DB1C4" w14:textId="5932AF32" w:rsidR="001E2281" w:rsidRPr="002C635C" w:rsidRDefault="0005506E" w:rsidP="0005506E">
      <w:pPr>
        <w:spacing w:line="240" w:lineRule="auto"/>
        <w:jc w:val="left"/>
      </w:pPr>
      <w:r>
        <w:br w:type="page"/>
      </w:r>
    </w:p>
    <w:p w14:paraId="5B0680CC" w14:textId="5C717E83" w:rsidR="007B18F6" w:rsidRDefault="002C635C" w:rsidP="00AE24CD">
      <w:pPr>
        <w:pStyle w:val="Heading1"/>
      </w:pPr>
      <w:bookmarkStart w:id="21" w:name="_Toc121470228"/>
      <w:r>
        <w:lastRenderedPageBreak/>
        <w:t>:</w:t>
      </w:r>
      <w:r w:rsidR="00EC60E5">
        <w:t xml:space="preserve"> </w:t>
      </w:r>
      <w:r w:rsidR="007B18F6">
        <w:t>Literature Review</w:t>
      </w:r>
      <w:bookmarkEnd w:id="19"/>
      <w:bookmarkEnd w:id="20"/>
      <w:bookmarkEnd w:id="21"/>
      <w:r w:rsidR="008813ED">
        <w:fldChar w:fldCharType="begin"/>
      </w:r>
      <w:r w:rsidR="008813ED">
        <w:instrText xml:space="preserve"> XE "</w:instrText>
      </w:r>
      <w:r w:rsidR="008813ED" w:rsidRPr="00B92C3A">
        <w:instrText>Chapter 2 : Literature Review</w:instrText>
      </w:r>
      <w:r w:rsidR="008813ED">
        <w:instrText xml:space="preserve">" </w:instrText>
      </w:r>
      <w:r w:rsidR="008813ED">
        <w:fldChar w:fldCharType="end"/>
      </w:r>
    </w:p>
    <w:p w14:paraId="4849FF3E" w14:textId="3A6BC93F" w:rsidR="00FC2796" w:rsidRDefault="00FC2796" w:rsidP="00341DE9">
      <w:pPr>
        <w:spacing w:line="240" w:lineRule="auto"/>
        <w:jc w:val="left"/>
        <w:sectPr w:rsidR="00FC2796" w:rsidSect="00AA4079">
          <w:headerReference w:type="default" r:id="rId11"/>
          <w:footerReference w:type="default" r:id="rId12"/>
          <w:pgSz w:w="12240" w:h="15840"/>
          <w:pgMar w:top="1440" w:right="1440" w:bottom="1440" w:left="1440" w:header="720" w:footer="720" w:gutter="0"/>
          <w:pgNumType w:start="1"/>
          <w:cols w:space="720"/>
          <w:docGrid w:linePitch="360"/>
        </w:sectPr>
      </w:pPr>
    </w:p>
    <w:p w14:paraId="61B980BB" w14:textId="5A2EBE98" w:rsidR="00EC6ABA" w:rsidRDefault="00EC6ABA" w:rsidP="00EC6ABA">
      <w:pPr>
        <w:pStyle w:val="Heading2"/>
      </w:pPr>
      <w:bookmarkStart w:id="22" w:name="_Toc121470229"/>
      <w:r>
        <w:t>2.1 Oil Recovery</w:t>
      </w:r>
      <w:bookmarkEnd w:id="22"/>
    </w:p>
    <w:p w14:paraId="29312BEE" w14:textId="4766E64F" w:rsidR="00AE24CD" w:rsidRPr="000502EE" w:rsidRDefault="00BF5781" w:rsidP="0026233E">
      <w:r w:rsidRPr="000502EE">
        <w:t>The process</w:t>
      </w:r>
      <w:r w:rsidR="00522FA2" w:rsidRPr="000502EE">
        <w:t xml:space="preserve"> of increasing recovery is divided into three major phases: primary, </w:t>
      </w:r>
      <w:r w:rsidR="006303A2" w:rsidRPr="000502EE">
        <w:t>secondary,</w:t>
      </w:r>
      <w:r w:rsidR="00522FA2" w:rsidRPr="000502EE">
        <w:t xml:space="preserve"> and tertiary</w:t>
      </w:r>
      <w:r w:rsidR="006303A2" w:rsidRPr="000502EE">
        <w:t xml:space="preserve"> (Green and Willhite </w:t>
      </w:r>
      <w:r w:rsidR="00BE662B" w:rsidRPr="000502EE">
        <w:t>19</w:t>
      </w:r>
      <w:r w:rsidR="006303A2" w:rsidRPr="000502EE">
        <w:t>98).</w:t>
      </w:r>
      <w:r w:rsidR="00A333F4" w:rsidRPr="000502EE">
        <w:t xml:space="preserve"> </w:t>
      </w:r>
      <w:r w:rsidR="006303A2" w:rsidRPr="000502EE">
        <w:t>Primary recovery</w:t>
      </w:r>
      <w:r w:rsidRPr="000502EE">
        <w:t>,</w:t>
      </w:r>
      <w:r w:rsidR="006303A2" w:rsidRPr="000502EE">
        <w:t xml:space="preserve"> which depends on</w:t>
      </w:r>
      <w:r w:rsidR="00B95781" w:rsidRPr="000502EE">
        <w:t xml:space="preserve"> </w:t>
      </w:r>
      <w:r w:rsidR="006303A2" w:rsidRPr="000502EE">
        <w:t>natural energy of the reservoir</w:t>
      </w:r>
      <w:r w:rsidR="00B95781" w:rsidRPr="000502EE">
        <w:t>,</w:t>
      </w:r>
      <w:r w:rsidR="006303A2" w:rsidRPr="000502EE">
        <w:t xml:space="preserve"> </w:t>
      </w:r>
      <w:r w:rsidR="001462D4" w:rsidRPr="000502EE">
        <w:t>produces less than 30% of</w:t>
      </w:r>
      <w:r w:rsidR="001A3455" w:rsidRPr="000502EE">
        <w:t xml:space="preserve"> the</w:t>
      </w:r>
      <w:r w:rsidR="001462D4" w:rsidRPr="000502EE">
        <w:t xml:space="preserve"> Original Oil in Place (OOIP).</w:t>
      </w:r>
      <w:r w:rsidR="00A333F4" w:rsidRPr="000502EE">
        <w:t xml:space="preserve"> </w:t>
      </w:r>
      <w:r w:rsidR="00C91063">
        <w:t xml:space="preserve">As </w:t>
      </w:r>
      <w:r w:rsidR="006B239C">
        <w:t xml:space="preserve">the </w:t>
      </w:r>
      <w:r w:rsidR="001462D4" w:rsidRPr="000502EE">
        <w:t>pressure gradient in</w:t>
      </w:r>
      <w:r w:rsidR="006B239C">
        <w:t xml:space="preserve"> </w:t>
      </w:r>
      <w:r w:rsidR="0039195D">
        <w:t xml:space="preserve">the </w:t>
      </w:r>
      <w:r w:rsidR="001462D4" w:rsidRPr="000502EE">
        <w:t>reservoir falls</w:t>
      </w:r>
      <w:r w:rsidR="00B95781" w:rsidRPr="000502EE">
        <w:t>,</w:t>
      </w:r>
      <w:r w:rsidR="007F5B88">
        <w:t xml:space="preserve"> </w:t>
      </w:r>
      <w:r w:rsidR="001462D4" w:rsidRPr="000502EE">
        <w:t>production also decreases.</w:t>
      </w:r>
      <w:r w:rsidR="00A333F4" w:rsidRPr="000502EE">
        <w:t xml:space="preserve"> </w:t>
      </w:r>
      <w:r w:rsidR="00BE1C2B" w:rsidRPr="000502EE">
        <w:t>Then secondary recovery methods are deployed in which water and gas are injected into the reservoir to increase the natural energy.</w:t>
      </w:r>
      <w:r w:rsidR="00A333F4" w:rsidRPr="000502EE">
        <w:t xml:space="preserve"> </w:t>
      </w:r>
      <w:r w:rsidR="00BE1C2B" w:rsidRPr="000502EE">
        <w:t xml:space="preserve">Water flooding is the most common secondary recovery method in which water is injected into the reservoir using </w:t>
      </w:r>
      <w:r w:rsidR="002F7227" w:rsidRPr="000502EE">
        <w:t>several</w:t>
      </w:r>
      <w:r w:rsidR="00BE1C2B" w:rsidRPr="000502EE">
        <w:t xml:space="preserve"> injection wells</w:t>
      </w:r>
      <w:r w:rsidR="002F7227" w:rsidRPr="000502EE">
        <w:t>,</w:t>
      </w:r>
      <w:r w:rsidR="00BE1C2B" w:rsidRPr="000502EE">
        <w:t xml:space="preserve"> and oil is produced </w:t>
      </w:r>
      <w:r w:rsidR="005251DC" w:rsidRPr="000502EE">
        <w:t xml:space="preserve">using </w:t>
      </w:r>
      <w:r w:rsidR="00BE1C2B" w:rsidRPr="000502EE">
        <w:t>producer wells.</w:t>
      </w:r>
      <w:r w:rsidR="00A333F4" w:rsidRPr="000502EE">
        <w:t xml:space="preserve"> </w:t>
      </w:r>
      <w:r w:rsidR="007F4E5D" w:rsidRPr="000502EE">
        <w:t xml:space="preserve">This method also </w:t>
      </w:r>
      <w:r w:rsidR="003E3F91" w:rsidRPr="000502EE">
        <w:t>doesn’t</w:t>
      </w:r>
      <w:r w:rsidR="007F4E5D" w:rsidRPr="000502EE">
        <w:t xml:space="preserve"> recover all the oil as water </w:t>
      </w:r>
      <w:r w:rsidR="002F7227" w:rsidRPr="000502EE">
        <w:t>cannot</w:t>
      </w:r>
      <w:r w:rsidR="007F4E5D" w:rsidRPr="000502EE">
        <w:t xml:space="preserve"> reach everywhere</w:t>
      </w:r>
      <w:r w:rsidR="00564FE0" w:rsidRPr="000502EE">
        <w:t xml:space="preserve"> </w:t>
      </w:r>
      <w:r w:rsidR="007F4E5D" w:rsidRPr="000502EE">
        <w:t xml:space="preserve">due to </w:t>
      </w:r>
      <w:r w:rsidR="00564FE0" w:rsidRPr="000502EE">
        <w:t xml:space="preserve">reservoir </w:t>
      </w:r>
      <w:r w:rsidR="007F4E5D" w:rsidRPr="000502EE">
        <w:t xml:space="preserve">heterogeneity and </w:t>
      </w:r>
      <w:r w:rsidR="00564FE0" w:rsidRPr="000502EE">
        <w:t>ha</w:t>
      </w:r>
      <w:r w:rsidR="006520F7" w:rsidRPr="000502EE">
        <w:t>s</w:t>
      </w:r>
      <w:r w:rsidR="007F4E5D" w:rsidRPr="000502EE">
        <w:t xml:space="preserve"> low displacement sweep efficiency.</w:t>
      </w:r>
      <w:r w:rsidR="00A333F4" w:rsidRPr="000502EE">
        <w:t xml:space="preserve"> </w:t>
      </w:r>
      <w:r w:rsidR="007F4E5D" w:rsidRPr="000502EE">
        <w:t xml:space="preserve">Then tertiary recovery </w:t>
      </w:r>
      <w:r w:rsidR="00166008" w:rsidRPr="000502EE">
        <w:t>or Enhanced Oil Recovery (EOR) methods are used.</w:t>
      </w:r>
      <w:r w:rsidR="00A333F4" w:rsidRPr="000502EE">
        <w:t xml:space="preserve"> </w:t>
      </w:r>
      <w:r w:rsidR="00166008" w:rsidRPr="000502EE">
        <w:t xml:space="preserve">These methods increase the recovery to 60% or more of the OOIP. </w:t>
      </w:r>
    </w:p>
    <w:p w14:paraId="413D4516" w14:textId="77777777" w:rsidR="00BF0AA7" w:rsidRDefault="00E42814" w:rsidP="00E42814">
      <w:pPr>
        <w:pStyle w:val="Heading2"/>
      </w:pPr>
      <w:bookmarkStart w:id="23" w:name="_Toc121470230"/>
      <w:r>
        <w:t>2.2 Enhanced Oil Recovery</w:t>
      </w:r>
      <w:bookmarkEnd w:id="23"/>
    </w:p>
    <w:p w14:paraId="210E6133" w14:textId="3A1398CE" w:rsidR="00E42814" w:rsidRDefault="00C0015E" w:rsidP="00103A05">
      <w:r>
        <w:t>In conventional reservoirs, EOR</w:t>
      </w:r>
      <w:r w:rsidR="00103A05">
        <w:t xml:space="preserve"> methods </w:t>
      </w:r>
      <w:r w:rsidR="00E1724E">
        <w:t>reduce</w:t>
      </w:r>
      <w:r w:rsidR="00103A05">
        <w:t xml:space="preserve"> remaining oil saturation </w:t>
      </w:r>
      <w:r w:rsidR="00821D88">
        <w:t xml:space="preserve">after primary and secondary </w:t>
      </w:r>
      <w:r>
        <w:t>recovery phases</w:t>
      </w:r>
      <w:r w:rsidR="00103A05">
        <w:t>.</w:t>
      </w:r>
      <w:r w:rsidR="00A333F4">
        <w:t xml:space="preserve"> </w:t>
      </w:r>
      <w:r w:rsidR="00BE662B">
        <w:t>This reduction i</w:t>
      </w:r>
      <w:r w:rsidR="00CD665B">
        <w:t>n</w:t>
      </w:r>
      <w:r w:rsidR="00BE662B">
        <w:t xml:space="preserve"> saturation </w:t>
      </w:r>
      <w:r w:rsidR="002A0D33">
        <w:t>depends on displacement efficiency</w:t>
      </w:r>
      <w:r w:rsidR="00BE662B">
        <w:t xml:space="preserve"> (Eq.1)</w:t>
      </w:r>
      <w:r w:rsidR="002A0D33">
        <w:t xml:space="preserve"> </w:t>
      </w:r>
    </w:p>
    <w:p w14:paraId="48ED242D" w14:textId="77777777" w:rsidR="0088556C" w:rsidRPr="00E42814" w:rsidRDefault="0088556C" w:rsidP="00717969">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BE662B" w14:paraId="08C630D0" w14:textId="77777777" w:rsidTr="00BE662B">
        <w:tc>
          <w:tcPr>
            <w:tcW w:w="3116" w:type="dxa"/>
          </w:tcPr>
          <w:p w14:paraId="2F99AE78" w14:textId="77777777" w:rsidR="00BE662B" w:rsidRDefault="00BE662B" w:rsidP="00BB6627"/>
        </w:tc>
        <w:tc>
          <w:tcPr>
            <w:tcW w:w="3117" w:type="dxa"/>
          </w:tcPr>
          <w:p w14:paraId="35C6EF7C" w14:textId="12E9EE5E" w:rsidR="00BE662B" w:rsidRDefault="00BE662B" w:rsidP="00BB6627">
            <m:oMathPara>
              <m:oMath>
                <m:r>
                  <w:rPr>
                    <w:rFonts w:ascii="Cambria Math" w:hAnsi="Cambria Math"/>
                  </w:rPr>
                  <m:t xml:space="preserve">E= </m:t>
                </m:r>
                <m:sSub>
                  <m:sSubPr>
                    <m:ctrlPr>
                      <w:rPr>
                        <w:rFonts w:ascii="Cambria Math" w:hAnsi="Cambria Math"/>
                        <w:i/>
                      </w:rPr>
                    </m:ctrlPr>
                  </m:sSubPr>
                  <m:e>
                    <m:r>
                      <w:rPr>
                        <w:rFonts w:ascii="Cambria Math" w:hAnsi="Cambria Math"/>
                      </w:rPr>
                      <m:t>E</m:t>
                    </m:r>
                  </m:e>
                  <m:sub>
                    <m:r>
                      <w:rPr>
                        <w:rFonts w:ascii="Cambria Math" w:hAnsi="Cambria Math"/>
                      </w:rPr>
                      <m:t>D</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V</m:t>
                    </m:r>
                  </m:sub>
                </m:sSub>
              </m:oMath>
            </m:oMathPara>
          </w:p>
        </w:tc>
        <w:tc>
          <w:tcPr>
            <w:tcW w:w="3117" w:type="dxa"/>
            <w:vAlign w:val="center"/>
          </w:tcPr>
          <w:p w14:paraId="2BDE433C" w14:textId="49468D83" w:rsidR="00BE662B" w:rsidRDefault="00BE662B" w:rsidP="00BE662B">
            <w:pPr>
              <w:jc w:val="right"/>
            </w:pPr>
            <w:r>
              <w:t>(1)</w:t>
            </w:r>
          </w:p>
        </w:tc>
      </w:tr>
    </w:tbl>
    <w:p w14:paraId="0C1738A6" w14:textId="77777777" w:rsidR="0088556C" w:rsidRDefault="0088556C" w:rsidP="00717969">
      <w:pPr>
        <w:spacing w:line="240" w:lineRule="auto"/>
      </w:pPr>
    </w:p>
    <w:p w14:paraId="332BD386" w14:textId="4C91AFEF" w:rsidR="00C62CA0" w:rsidRPr="000502EE" w:rsidRDefault="00BE662B" w:rsidP="000502EE">
      <w:pPr>
        <w:rPr>
          <w:rFonts w:cs="Times New Roman"/>
        </w:rPr>
      </w:pPr>
      <w:r w:rsidRPr="000502EE">
        <w:rPr>
          <w:rFonts w:cs="Times New Roman"/>
        </w:rPr>
        <w:t>where</w:t>
      </w:r>
      <w:r w:rsidRPr="000502EE">
        <w:rPr>
          <w:rFonts w:cs="Times New Roman"/>
          <w:i/>
        </w:rPr>
        <w:t xml:space="preserve"> </w:t>
      </w:r>
      <m:oMath>
        <m:r>
          <w:rPr>
            <w:rFonts w:ascii="Cambria Math" w:hAnsi="Cambria Math" w:cs="Times New Roman"/>
          </w:rPr>
          <m:t>E</m:t>
        </m:r>
      </m:oMath>
      <w:r w:rsidRPr="000502EE">
        <w:rPr>
          <w:rFonts w:cs="Times New Roman"/>
        </w:rPr>
        <w:t xml:space="preserve"> = displacement efficiency;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oMath>
      <w:r w:rsidRPr="000502EE">
        <w:rPr>
          <w:rFonts w:cs="Times New Roman"/>
        </w:rPr>
        <w:t xml:space="preserve"> = microscopic displacement efficiency; and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V</m:t>
            </m:r>
          </m:sub>
        </m:sSub>
      </m:oMath>
      <w:r w:rsidRPr="000502EE">
        <w:rPr>
          <w:rFonts w:cs="Times New Roman"/>
        </w:rPr>
        <w:t xml:space="preserve"> = macroscopic displacement efficiency</w:t>
      </w:r>
      <w:r w:rsidR="00C62CA0" w:rsidRPr="000502EE">
        <w:rPr>
          <w:rFonts w:cs="Times New Roman"/>
        </w:rPr>
        <w:t>.</w:t>
      </w:r>
    </w:p>
    <w:p w14:paraId="494113F6" w14:textId="54D6D27F" w:rsidR="00C62CA0" w:rsidRPr="000502EE" w:rsidRDefault="00C62CA0" w:rsidP="000502EE">
      <w:r w:rsidRPr="000502EE">
        <w:t xml:space="preserve">Capillary forces </w:t>
      </w:r>
      <w:r w:rsidR="001D0CFD">
        <w:t>affect</w:t>
      </w:r>
      <w:r w:rsidRPr="000502EE">
        <w:t xml:space="preserve"> </w:t>
      </w:r>
      <w:r w:rsidR="002A5700" w:rsidRPr="000502EE">
        <w:t>microscopic displacement efficiency</w:t>
      </w:r>
      <w:r w:rsidR="00C351B4" w:rsidRPr="000502EE">
        <w:t>.</w:t>
      </w:r>
      <w:r w:rsidR="00A333F4" w:rsidRPr="000502EE">
        <w:t xml:space="preserve"> </w:t>
      </w:r>
      <w:r w:rsidR="00C351B4" w:rsidRPr="000502EE">
        <w:t>These forces</w:t>
      </w:r>
      <w:r w:rsidRPr="000502EE">
        <w:t xml:space="preserve"> depend on fluid-fluid interactions</w:t>
      </w:r>
      <w:r w:rsidR="00E1724E" w:rsidRPr="000502EE">
        <w:t>,</w:t>
      </w:r>
      <w:r w:rsidRPr="000502EE">
        <w:t xml:space="preserve"> such as interfacial tension</w:t>
      </w:r>
      <w:r w:rsidR="00E1724E" w:rsidRPr="000502EE">
        <w:t>,</w:t>
      </w:r>
      <w:r w:rsidRPr="000502EE">
        <w:t xml:space="preserve"> and rock</w:t>
      </w:r>
      <w:r w:rsidR="002A22C6" w:rsidRPr="000502EE">
        <w:t>-</w:t>
      </w:r>
      <w:r w:rsidRPr="000502EE">
        <w:t>fluid interaction</w:t>
      </w:r>
      <w:r w:rsidR="00E1724E" w:rsidRPr="000502EE">
        <w:t>,</w:t>
      </w:r>
      <w:r w:rsidRPr="000502EE">
        <w:t xml:space="preserve"> such as wettability, ion exchange</w:t>
      </w:r>
      <w:r w:rsidR="00E1724E" w:rsidRPr="000502EE">
        <w:t>,</w:t>
      </w:r>
      <w:r w:rsidRPr="000502EE">
        <w:t xml:space="preserve"> and </w:t>
      </w:r>
      <w:r w:rsidR="00CD5CE7" w:rsidRPr="002E2E49">
        <w:t xml:space="preserve">surfactant </w:t>
      </w:r>
      <w:r w:rsidRPr="002E2E49">
        <w:t>adsorption</w:t>
      </w:r>
      <w:r w:rsidR="00E625FC" w:rsidRPr="002E2E49">
        <w:t xml:space="preserve"> (Shah and Schechter 1977)</w:t>
      </w:r>
      <w:r w:rsidRPr="002E2E49">
        <w:t>.</w:t>
      </w:r>
    </w:p>
    <w:p w14:paraId="427C9CED" w14:textId="396C7543" w:rsidR="00A07F1A" w:rsidRDefault="00A07F1A" w:rsidP="00A07F1A">
      <w:pPr>
        <w:pStyle w:val="Heading2"/>
        <w:numPr>
          <w:ilvl w:val="0"/>
          <w:numId w:val="0"/>
        </w:numPr>
      </w:pPr>
      <w:bookmarkStart w:id="24" w:name="_Toc121470231"/>
      <w:r>
        <w:lastRenderedPageBreak/>
        <w:t>2.3 Wettability</w:t>
      </w:r>
      <w:bookmarkEnd w:id="24"/>
      <w:r>
        <w:t xml:space="preserve"> </w:t>
      </w:r>
    </w:p>
    <w:p w14:paraId="419D182C" w14:textId="182E8589" w:rsidR="00A07F1A" w:rsidRPr="000502EE" w:rsidRDefault="00A07F1A" w:rsidP="000502EE">
      <w:r w:rsidRPr="000502EE">
        <w:t xml:space="preserve">Wettability is defined as the affinity of </w:t>
      </w:r>
      <w:r w:rsidR="00F230E1">
        <w:t xml:space="preserve">a </w:t>
      </w:r>
      <w:r w:rsidRPr="000502EE">
        <w:t xml:space="preserve">fluid to spread on </w:t>
      </w:r>
      <w:r w:rsidR="00CD39FA" w:rsidRPr="000502EE">
        <w:t xml:space="preserve">a </w:t>
      </w:r>
      <w:r w:rsidRPr="000502EE">
        <w:t xml:space="preserve">rock surface </w:t>
      </w:r>
      <w:r w:rsidR="00E1724E" w:rsidRPr="000502EE">
        <w:t>in presence of</w:t>
      </w:r>
      <w:r w:rsidRPr="000502EE">
        <w:t xml:space="preserve"> second fluid in the system (Anderson 1986).</w:t>
      </w:r>
      <w:r w:rsidR="00A333F4" w:rsidRPr="000502EE">
        <w:t xml:space="preserve"> </w:t>
      </w:r>
      <w:r w:rsidRPr="000502EE">
        <w:t xml:space="preserve">In a water-wet rock, water is the wetting phase and has </w:t>
      </w:r>
      <w:r w:rsidR="000F0C28" w:rsidRPr="000502EE">
        <w:t xml:space="preserve">a </w:t>
      </w:r>
      <w:r w:rsidRPr="000502EE">
        <w:t>higher affinity towards the rock, while oil is the non-wetting phase and is present in center of the pore.</w:t>
      </w:r>
      <w:r w:rsidR="00A333F4" w:rsidRPr="000502EE">
        <w:t xml:space="preserve"> </w:t>
      </w:r>
      <w:r w:rsidRPr="000502EE">
        <w:t xml:space="preserve">Wetting phase </w:t>
      </w:r>
      <w:r w:rsidRPr="002441A5">
        <w:t>fluid occupies small pores</w:t>
      </w:r>
      <w:r w:rsidR="000F0C28" w:rsidRPr="002441A5">
        <w:t>,</w:t>
      </w:r>
      <w:r w:rsidRPr="002441A5">
        <w:t xml:space="preserve"> while non-wetting phase fluid occupies larger pores in a water-oil-rock system (Basu </w:t>
      </w:r>
      <w:r w:rsidR="00B97FAC">
        <w:t>&amp;</w:t>
      </w:r>
      <w:r w:rsidRPr="002441A5">
        <w:t xml:space="preserve"> Sharma 1997</w:t>
      </w:r>
      <w:r w:rsidR="00EC6AF8">
        <w:t xml:space="preserve">; </w:t>
      </w:r>
      <w:r w:rsidRPr="002441A5">
        <w:t>Abdullah et al. 2007).</w:t>
      </w:r>
      <w:r w:rsidRPr="000502EE">
        <w:t xml:space="preserve"> </w:t>
      </w:r>
    </w:p>
    <w:p w14:paraId="42B5354A" w14:textId="773C75B1" w:rsidR="00A07F1A" w:rsidRPr="000502EE" w:rsidRDefault="00A07F1A" w:rsidP="00A07F1A">
      <w:r>
        <w:tab/>
      </w:r>
      <w:r w:rsidRPr="000502EE">
        <w:t xml:space="preserve">Conventional rocks like </w:t>
      </w:r>
      <w:r w:rsidR="000F0C28" w:rsidRPr="000502EE">
        <w:t>sandstone</w:t>
      </w:r>
      <w:r w:rsidRPr="000502EE">
        <w:t xml:space="preserve"> show </w:t>
      </w:r>
      <w:r w:rsidRPr="002441A5">
        <w:t xml:space="preserve">homogenous wettability as they have uniform mineralogy and </w:t>
      </w:r>
      <w:r w:rsidR="000F0C28" w:rsidRPr="002441A5">
        <w:t>significantly</w:t>
      </w:r>
      <w:r w:rsidRPr="002441A5">
        <w:t xml:space="preserve"> less organic content </w:t>
      </w:r>
      <w:r w:rsidR="000F0C28" w:rsidRPr="002441A5">
        <w:t>than</w:t>
      </w:r>
      <w:r w:rsidRPr="002441A5">
        <w:t xml:space="preserve"> shales (Wang et al. 2011).</w:t>
      </w:r>
      <w:r w:rsidR="00A333F4" w:rsidRPr="000502EE">
        <w:t xml:space="preserve"> </w:t>
      </w:r>
      <w:r w:rsidRPr="000502EE">
        <w:t>Wettability of conventional rocks can be determined by measuring contact angle</w:t>
      </w:r>
      <w:r w:rsidR="0006577A" w:rsidRPr="000502EE">
        <w:t xml:space="preserve">. These measurements are based on </w:t>
      </w:r>
      <w:r w:rsidRPr="000502EE">
        <w:t xml:space="preserve">balancing interfacial tension on the surface of water-oil-rock system using </w:t>
      </w:r>
      <w:r w:rsidR="00F230E1">
        <w:t>Y</w:t>
      </w:r>
      <w:r w:rsidR="000767C9" w:rsidRPr="000502EE">
        <w:t>oung’s</w:t>
      </w:r>
      <w:r w:rsidRPr="000502EE">
        <w:t xml:space="preserve"> equation (Eq. </w:t>
      </w:r>
      <w:r w:rsidR="00717969">
        <w:t>2</w:t>
      </w:r>
      <w:r w:rsidRPr="000502EE">
        <w:t>)</w:t>
      </w:r>
      <w:r w:rsidR="000F0C28" w:rsidRPr="000502EE">
        <w:t>,</w:t>
      </w:r>
      <w:r w:rsidRPr="000502EE">
        <w:t xml:space="preserve"> as shown in </w:t>
      </w:r>
      <w:r w:rsidRPr="000502EE">
        <w:fldChar w:fldCharType="begin"/>
      </w:r>
      <w:r w:rsidRPr="000502EE">
        <w:instrText xml:space="preserve"> REF _Ref118673489 \h  \* MERGEFORMAT </w:instrText>
      </w:r>
      <w:r w:rsidRPr="000502EE">
        <w:fldChar w:fldCharType="separate"/>
      </w:r>
      <w:r w:rsidR="002F3906" w:rsidRPr="0066450A">
        <w:t xml:space="preserve">Figure </w:t>
      </w:r>
      <w:r w:rsidR="002F3906">
        <w:rPr>
          <w:noProof/>
        </w:rPr>
        <w:t>1</w:t>
      </w:r>
      <w:r w:rsidRPr="000502EE">
        <w:fldChar w:fldCharType="end"/>
      </w:r>
      <w:r w:rsidRPr="000502EE">
        <w:t xml:space="preserve">. </w:t>
      </w:r>
      <w:r w:rsidR="00A333F4" w:rsidRPr="000502EE">
        <w:t xml:space="preserve"> </w:t>
      </w:r>
      <w:r w:rsidR="000F0C28" w:rsidRPr="000502EE">
        <w:t>Rock surface wettability is</w:t>
      </w:r>
      <w:r w:rsidRPr="000502EE">
        <w:t xml:space="preserve"> categorized from 0</w:t>
      </w:r>
      <w:r w:rsidRPr="000502EE">
        <w:rPr>
          <w:vertAlign w:val="superscript"/>
        </w:rPr>
        <w:t>o</w:t>
      </w:r>
      <w:r w:rsidRPr="000502EE">
        <w:t xml:space="preserve"> to 75</w:t>
      </w:r>
      <w:r w:rsidRPr="000502EE">
        <w:rPr>
          <w:vertAlign w:val="superscript"/>
        </w:rPr>
        <w:t>o</w:t>
      </w:r>
      <w:r w:rsidRPr="000502EE">
        <w:t xml:space="preserve"> as water</w:t>
      </w:r>
      <w:r w:rsidR="000F0C28" w:rsidRPr="000502EE">
        <w:t>-</w:t>
      </w:r>
      <w:r w:rsidRPr="000502EE">
        <w:t>wet, 75</w:t>
      </w:r>
      <w:r w:rsidRPr="000502EE">
        <w:rPr>
          <w:vertAlign w:val="superscript"/>
        </w:rPr>
        <w:t>o</w:t>
      </w:r>
      <w:r w:rsidRPr="000502EE">
        <w:t xml:space="preserve"> to 105</w:t>
      </w:r>
      <w:r w:rsidRPr="000502EE">
        <w:rPr>
          <w:vertAlign w:val="superscript"/>
        </w:rPr>
        <w:t>o</w:t>
      </w:r>
      <w:r w:rsidRPr="000502EE">
        <w:t xml:space="preserve"> as intermediate</w:t>
      </w:r>
      <w:r w:rsidR="000F0C28" w:rsidRPr="000502EE">
        <w:t>-</w:t>
      </w:r>
      <w:r w:rsidRPr="000502EE">
        <w:t>wet, and 105</w:t>
      </w:r>
      <w:r w:rsidRPr="000502EE">
        <w:rPr>
          <w:vertAlign w:val="superscript"/>
        </w:rPr>
        <w:t>o</w:t>
      </w:r>
      <w:r w:rsidRPr="000502EE">
        <w:t xml:space="preserve"> to 180</w:t>
      </w:r>
      <w:r w:rsidRPr="000502EE">
        <w:rPr>
          <w:vertAlign w:val="superscript"/>
        </w:rPr>
        <w:t>o</w:t>
      </w:r>
      <w:r w:rsidRPr="000502EE">
        <w:t xml:space="preserve"> as </w:t>
      </w:r>
      <w:r w:rsidR="000F0C28" w:rsidRPr="000502EE">
        <w:t>oil-wet</w:t>
      </w:r>
      <w:r w:rsidRPr="000502EE">
        <w:t xml:space="preserve"> (Anderson 1986). </w:t>
      </w:r>
    </w:p>
    <w:p w14:paraId="3CCA218A" w14:textId="77777777" w:rsidR="00A07F1A" w:rsidRDefault="00A07F1A" w:rsidP="00A07F1A">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07F1A" w14:paraId="6F529E08" w14:textId="77777777" w:rsidTr="00677D32">
        <w:tc>
          <w:tcPr>
            <w:tcW w:w="3116" w:type="dxa"/>
          </w:tcPr>
          <w:p w14:paraId="317573D1" w14:textId="77777777" w:rsidR="00A07F1A" w:rsidRDefault="00A07F1A" w:rsidP="00677D32"/>
        </w:tc>
        <w:tc>
          <w:tcPr>
            <w:tcW w:w="3117" w:type="dxa"/>
          </w:tcPr>
          <w:p w14:paraId="01E8D3C0" w14:textId="73A529F0" w:rsidR="00A07F1A" w:rsidRDefault="009A0740" w:rsidP="00677D32">
            <m:oMathPara>
              <m:oMath>
                <m:sSub>
                  <m:sSubPr>
                    <m:ctrlPr>
                      <w:rPr>
                        <w:rFonts w:ascii="Cambria Math" w:hAnsi="Cambria Math"/>
                        <w:i/>
                      </w:rPr>
                    </m:ctrlPr>
                  </m:sSubPr>
                  <m:e>
                    <m:r>
                      <w:rPr>
                        <w:rFonts w:ascii="Cambria Math" w:hAnsi="Cambria Math"/>
                      </w:rPr>
                      <m:t>σ</m:t>
                    </m:r>
                  </m:e>
                  <m:sub>
                    <m:r>
                      <w:rPr>
                        <w:rFonts w:ascii="Cambria Math" w:hAnsi="Cambria Math"/>
                      </w:rPr>
                      <m:t>OS</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WS</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OW</m:t>
                    </m:r>
                  </m:sub>
                </m:sSub>
                <m:r>
                  <w:rPr>
                    <w:rFonts w:ascii="Cambria Math" w:hAnsi="Cambria Math"/>
                  </w:rPr>
                  <m:t>*cosθ</m:t>
                </m:r>
              </m:oMath>
            </m:oMathPara>
          </w:p>
        </w:tc>
        <w:tc>
          <w:tcPr>
            <w:tcW w:w="3117" w:type="dxa"/>
            <w:vAlign w:val="center"/>
          </w:tcPr>
          <w:p w14:paraId="5C10106A" w14:textId="32DAA9D5" w:rsidR="00A07F1A" w:rsidRDefault="00A07F1A" w:rsidP="00677D32">
            <w:pPr>
              <w:jc w:val="right"/>
            </w:pPr>
            <w:r>
              <w:t>(</w:t>
            </w:r>
            <w:r w:rsidR="00717969">
              <w:t>2</w:t>
            </w:r>
            <w:r>
              <w:t>)</w:t>
            </w:r>
          </w:p>
        </w:tc>
      </w:tr>
    </w:tbl>
    <w:p w14:paraId="4F857C7C" w14:textId="77777777" w:rsidR="00A07F1A" w:rsidRDefault="00A07F1A" w:rsidP="00A07F1A">
      <w:pPr>
        <w:spacing w:line="240" w:lineRule="auto"/>
      </w:pPr>
    </w:p>
    <w:p w14:paraId="21ED07C2" w14:textId="457FF202" w:rsidR="00521E84" w:rsidRDefault="00A07F1A" w:rsidP="00712C78">
      <w:r>
        <w:t xml:space="preserve">where </w:t>
      </w:r>
      <m:oMath>
        <m:sSub>
          <m:sSubPr>
            <m:ctrlPr>
              <w:rPr>
                <w:rFonts w:ascii="Cambria Math" w:hAnsi="Cambria Math"/>
                <w:i/>
              </w:rPr>
            </m:ctrlPr>
          </m:sSubPr>
          <m:e>
            <m:r>
              <w:rPr>
                <w:rFonts w:ascii="Cambria Math" w:hAnsi="Cambria Math"/>
              </w:rPr>
              <m:t>σ</m:t>
            </m:r>
          </m:e>
          <m:sub>
            <m:r>
              <w:rPr>
                <w:rFonts w:ascii="Cambria Math" w:hAnsi="Cambria Math"/>
              </w:rPr>
              <m:t>OS</m:t>
            </m:r>
          </m:sub>
        </m:sSub>
      </m:oMath>
      <w:r>
        <w:t xml:space="preserve"> = oil-rock IFT (N/m); </w:t>
      </w:r>
      <m:oMath>
        <m:sSub>
          <m:sSubPr>
            <m:ctrlPr>
              <w:rPr>
                <w:rFonts w:ascii="Cambria Math" w:hAnsi="Cambria Math"/>
                <w:i/>
              </w:rPr>
            </m:ctrlPr>
          </m:sSubPr>
          <m:e>
            <m:r>
              <w:rPr>
                <w:rFonts w:ascii="Cambria Math" w:hAnsi="Cambria Math"/>
              </w:rPr>
              <m:t>σ</m:t>
            </m:r>
          </m:e>
          <m:sub>
            <m:r>
              <w:rPr>
                <w:rFonts w:ascii="Cambria Math" w:hAnsi="Cambria Math"/>
              </w:rPr>
              <m:t>WS</m:t>
            </m:r>
          </m:sub>
        </m:sSub>
      </m:oMath>
      <w:r>
        <w:t xml:space="preserve"> = water-rock IFT (N/m); </w:t>
      </w:r>
      <m:oMath>
        <m:sSub>
          <m:sSubPr>
            <m:ctrlPr>
              <w:rPr>
                <w:rFonts w:ascii="Cambria Math" w:hAnsi="Cambria Math"/>
                <w:i/>
              </w:rPr>
            </m:ctrlPr>
          </m:sSubPr>
          <m:e>
            <m:r>
              <w:rPr>
                <w:rFonts w:ascii="Cambria Math" w:hAnsi="Cambria Math"/>
              </w:rPr>
              <m:t>σ</m:t>
            </m:r>
          </m:e>
          <m:sub>
            <m:r>
              <w:rPr>
                <w:rFonts w:ascii="Cambria Math" w:hAnsi="Cambria Math"/>
              </w:rPr>
              <m:t>OW</m:t>
            </m:r>
          </m:sub>
        </m:sSub>
      </m:oMath>
      <w:r>
        <w:t xml:space="preserve"> = oil-water IFT (N/m); and </w:t>
      </w:r>
      <m:oMath>
        <m:r>
          <w:rPr>
            <w:rFonts w:ascii="Cambria Math" w:hAnsi="Cambria Math"/>
          </w:rPr>
          <m:t>θ</m:t>
        </m:r>
      </m:oMath>
      <w:r>
        <w:t xml:space="preserve">  = contact angle (degree).</w:t>
      </w:r>
    </w:p>
    <w:p w14:paraId="5873FDAF" w14:textId="77777777" w:rsidR="00712C78" w:rsidRDefault="00712C78" w:rsidP="00712C78">
      <w:pPr>
        <w:spacing w:line="240" w:lineRule="auto"/>
      </w:pPr>
    </w:p>
    <w:p w14:paraId="47E1D595" w14:textId="77777777" w:rsidR="00A07F1A" w:rsidRDefault="00A07F1A" w:rsidP="00712C78">
      <w:pPr>
        <w:jc w:val="center"/>
      </w:pPr>
      <w:r w:rsidRPr="00B515DD">
        <w:rPr>
          <w:noProof/>
        </w:rPr>
        <w:drawing>
          <wp:inline distT="0" distB="0" distL="0" distR="0" wp14:anchorId="438C4509" wp14:editId="7BB501B4">
            <wp:extent cx="3002413" cy="1170432"/>
            <wp:effectExtent l="0" t="0" r="0"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3"/>
                    <a:stretch>
                      <a:fillRect/>
                    </a:stretch>
                  </pic:blipFill>
                  <pic:spPr>
                    <a:xfrm>
                      <a:off x="0" y="0"/>
                      <a:ext cx="3002413" cy="1170432"/>
                    </a:xfrm>
                    <a:prstGeom prst="rect">
                      <a:avLst/>
                    </a:prstGeom>
                  </pic:spPr>
                </pic:pic>
              </a:graphicData>
            </a:graphic>
          </wp:inline>
        </w:drawing>
      </w:r>
    </w:p>
    <w:p w14:paraId="22676B11" w14:textId="714B12C6" w:rsidR="00A07F1A" w:rsidRPr="0066450A" w:rsidRDefault="00A07F1A" w:rsidP="00712C78">
      <w:pPr>
        <w:pStyle w:val="NoSpacing"/>
        <w:spacing w:line="480" w:lineRule="auto"/>
        <w:jc w:val="center"/>
      </w:pPr>
      <w:bookmarkStart w:id="25" w:name="_Ref118673489"/>
      <w:bookmarkStart w:id="26" w:name="_Toc121470275"/>
      <w:r w:rsidRPr="0066450A">
        <w:t xml:space="preserve">Figure </w:t>
      </w:r>
      <w:fldSimple w:instr=" SEQ Figure \* ARABIC ">
        <w:r w:rsidR="002F3906">
          <w:rPr>
            <w:noProof/>
          </w:rPr>
          <w:t>1</w:t>
        </w:r>
      </w:fldSimple>
      <w:bookmarkEnd w:id="25"/>
      <w:r w:rsidRPr="0066450A">
        <w:t xml:space="preserve"> -</w:t>
      </w:r>
      <w:r w:rsidR="00964CC1" w:rsidRPr="0066450A">
        <w:t xml:space="preserve"> </w:t>
      </w:r>
      <w:r w:rsidRPr="0066450A">
        <w:t>Force balance on water-oil-rock system (Standnes 2001).</w:t>
      </w:r>
      <w:bookmarkEnd w:id="26"/>
    </w:p>
    <w:p w14:paraId="1BCE6F14" w14:textId="43EE1A69" w:rsidR="00607189" w:rsidRDefault="00607189" w:rsidP="00607189">
      <w:pPr>
        <w:pStyle w:val="Heading2"/>
      </w:pPr>
      <w:bookmarkStart w:id="27" w:name="_Toc121470232"/>
      <w:r>
        <w:lastRenderedPageBreak/>
        <w:t>2.</w:t>
      </w:r>
      <w:r w:rsidR="00A07F1A">
        <w:t>4</w:t>
      </w:r>
      <w:r>
        <w:t xml:space="preserve"> Surfactant Flooding</w:t>
      </w:r>
      <w:bookmarkEnd w:id="27"/>
    </w:p>
    <w:p w14:paraId="3A02F22F" w14:textId="5DC88107" w:rsidR="00FB567D" w:rsidRDefault="003E2A6E" w:rsidP="00607189">
      <w:r>
        <w:t xml:space="preserve">Surfactant flooding is one of the most </w:t>
      </w:r>
      <w:r w:rsidR="00FE3DFC">
        <w:t>extensively used chemical EOR process to increase oil recovery.</w:t>
      </w:r>
      <w:r w:rsidR="00566788">
        <w:t xml:space="preserve"> </w:t>
      </w:r>
      <w:r w:rsidR="00C5374D">
        <w:t>Surfactants reduce interfacial tension</w:t>
      </w:r>
      <w:r w:rsidR="005F57C5">
        <w:t xml:space="preserve"> </w:t>
      </w:r>
      <w:r w:rsidR="005E44EA">
        <w:t>and</w:t>
      </w:r>
      <w:r w:rsidR="00C5374D">
        <w:t xml:space="preserve"> alter wettability </w:t>
      </w:r>
      <w:r w:rsidR="005E44EA" w:rsidRPr="00314C3F">
        <w:t>to mobilize trapped oil out of the pores.</w:t>
      </w:r>
      <w:r w:rsidR="00A333F4">
        <w:t xml:space="preserve"> </w:t>
      </w:r>
      <w:r w:rsidR="001D0CFD">
        <w:t>This m</w:t>
      </w:r>
      <w:r w:rsidR="005E44EA" w:rsidRPr="00314C3F">
        <w:t>echanism of using surfactants increases the capillary number (Eq</w:t>
      </w:r>
      <w:r w:rsidR="005E44EA">
        <w:t>.</w:t>
      </w:r>
      <w:r w:rsidR="005E44EA" w:rsidRPr="00314C3F">
        <w:t xml:space="preserve"> </w:t>
      </w:r>
      <w:r w:rsidR="002161DC">
        <w:t>3</w:t>
      </w:r>
      <w:r w:rsidR="005E44EA" w:rsidRPr="00314C3F">
        <w:t xml:space="preserve">) by reducing </w:t>
      </w:r>
      <w:r w:rsidR="0086491F">
        <w:t xml:space="preserve">the </w:t>
      </w:r>
      <w:r w:rsidR="005E44EA" w:rsidRPr="00314C3F">
        <w:t>capillary forces</w:t>
      </w:r>
      <w:r w:rsidR="00BA5883">
        <w:t xml:space="preserve">. Reduction in these forces </w:t>
      </w:r>
      <w:r w:rsidR="00FD2CC9">
        <w:t>increases the microscopic displacement</w:t>
      </w:r>
      <w:r w:rsidR="00750067">
        <w:t>,</w:t>
      </w:r>
      <w:r w:rsidR="00FD2CC9">
        <w:t xml:space="preserve"> thus increasing </w:t>
      </w:r>
      <w:r w:rsidR="00750067">
        <w:t xml:space="preserve">net </w:t>
      </w:r>
      <w:r w:rsidR="00FD2CC9">
        <w:t>oil recovery from the reservoir.</w:t>
      </w:r>
    </w:p>
    <w:p w14:paraId="0D5456C8" w14:textId="77777777" w:rsidR="0088556C" w:rsidRDefault="0088556C" w:rsidP="0073043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567D" w14:paraId="44259C98" w14:textId="351FD81B" w:rsidTr="00FB567D">
        <w:tc>
          <w:tcPr>
            <w:tcW w:w="3116" w:type="dxa"/>
          </w:tcPr>
          <w:p w14:paraId="1836D0D5" w14:textId="77777777" w:rsidR="00FB567D" w:rsidRDefault="00FB567D" w:rsidP="00FB567D"/>
        </w:tc>
        <w:tc>
          <w:tcPr>
            <w:tcW w:w="3117" w:type="dxa"/>
          </w:tcPr>
          <w:p w14:paraId="09F62CE9" w14:textId="14E7541A" w:rsidR="00FB567D" w:rsidRDefault="009A0740" w:rsidP="00FB567D">
            <m:oMathPara>
              <m:oMath>
                <m:sSub>
                  <m:sSubPr>
                    <m:ctrlPr>
                      <w:rPr>
                        <w:rFonts w:ascii="Cambria Math" w:hAnsi="Cambria Math" w:cs="Arial"/>
                      </w:rPr>
                    </m:ctrlPr>
                  </m:sSubPr>
                  <m:e>
                    <m:r>
                      <w:rPr>
                        <w:rFonts w:ascii="Cambria Math" w:hAnsi="Cambria Math" w:cs="Arial"/>
                      </w:rPr>
                      <m:t>N</m:t>
                    </m:r>
                  </m:e>
                  <m:sub>
                    <m:r>
                      <w:rPr>
                        <w:rFonts w:ascii="Cambria Math" w:hAnsi="Cambria Math" w:cs="Arial"/>
                      </w:rPr>
                      <m:t>c</m:t>
                    </m:r>
                  </m:sub>
                </m:sSub>
                <m:r>
                  <w:rPr>
                    <w:rFonts w:ascii="Cambria Math" w:hAnsi="Cambria Math" w:cs="Arial"/>
                  </w:rPr>
                  <m:t xml:space="preserve">= </m:t>
                </m:r>
                <m:f>
                  <m:fPr>
                    <m:ctrlPr>
                      <w:rPr>
                        <w:rFonts w:ascii="Cambria Math" w:hAnsi="Cambria Math" w:cs="Arial"/>
                      </w:rPr>
                    </m:ctrlPr>
                  </m:fPr>
                  <m:num>
                    <m:r>
                      <w:rPr>
                        <w:rFonts w:ascii="Cambria Math" w:hAnsi="Cambria Math" w:cs="Arial"/>
                      </w:rPr>
                      <m:t>v* μ</m:t>
                    </m:r>
                  </m:num>
                  <m:den>
                    <m:r>
                      <w:rPr>
                        <w:rFonts w:ascii="Cambria Math" w:hAnsi="Cambria Math" w:cs="Arial"/>
                      </w:rPr>
                      <m:t>σ*cosθ</m:t>
                    </m:r>
                  </m:den>
                </m:f>
              </m:oMath>
            </m:oMathPara>
          </w:p>
        </w:tc>
        <w:tc>
          <w:tcPr>
            <w:tcW w:w="3117" w:type="dxa"/>
            <w:vAlign w:val="center"/>
          </w:tcPr>
          <w:p w14:paraId="21B25F39" w14:textId="3F0329BD" w:rsidR="00FB567D" w:rsidRDefault="00FB567D" w:rsidP="00FB567D">
            <w:pPr>
              <w:jc w:val="right"/>
            </w:pPr>
            <w:r>
              <w:t>(</w:t>
            </w:r>
            <w:r w:rsidR="002161DC">
              <w:t>3</w:t>
            </w:r>
            <w:r>
              <w:t>)</w:t>
            </w:r>
          </w:p>
        </w:tc>
      </w:tr>
    </w:tbl>
    <w:p w14:paraId="52A4C713" w14:textId="77777777" w:rsidR="0088556C" w:rsidRDefault="0088556C" w:rsidP="0088556C">
      <w:pPr>
        <w:spacing w:line="240" w:lineRule="auto"/>
      </w:pPr>
    </w:p>
    <w:p w14:paraId="71EE611B" w14:textId="46735C32" w:rsidR="005E44EA" w:rsidRDefault="005E44EA" w:rsidP="001043F6">
      <w:r>
        <w:t xml:space="preserve">where </w:t>
      </w:r>
      <m:oMath>
        <m:sSub>
          <m:sSubPr>
            <m:ctrlPr>
              <w:rPr>
                <w:rFonts w:ascii="Cambria Math" w:hAnsi="Cambria Math" w:cs="Arial"/>
              </w:rPr>
            </m:ctrlPr>
          </m:sSubPr>
          <m:e>
            <m:r>
              <w:rPr>
                <w:rFonts w:ascii="Cambria Math" w:hAnsi="Cambria Math" w:cs="Arial"/>
              </w:rPr>
              <m:t>N</m:t>
            </m:r>
          </m:e>
          <m:sub>
            <m:r>
              <w:rPr>
                <w:rFonts w:ascii="Cambria Math" w:hAnsi="Cambria Math" w:cs="Arial"/>
              </w:rPr>
              <m:t>c</m:t>
            </m:r>
          </m:sub>
        </m:sSub>
      </m:oMath>
      <w:r>
        <w:t xml:space="preserve">= capillary number (dimensionless); </w:t>
      </w:r>
      <m:oMath>
        <m:r>
          <w:rPr>
            <w:rFonts w:ascii="Cambria Math" w:hAnsi="Cambria Math" w:cs="Arial"/>
          </w:rPr>
          <m:t>v</m:t>
        </m:r>
      </m:oMath>
      <w:r>
        <w:t xml:space="preserve"> = Darcy velocity of the displacing phase (m/s); </w:t>
      </w:r>
      <m:oMath>
        <m:r>
          <w:rPr>
            <w:rFonts w:ascii="Cambria Math" w:hAnsi="Cambria Math" w:cs="Arial"/>
          </w:rPr>
          <m:t>μ</m:t>
        </m:r>
      </m:oMath>
      <w:r>
        <w:t xml:space="preserve"> = pore scale viscosity of the displacing fluid (cP); </w:t>
      </w:r>
      <m:oMath>
        <m:r>
          <w:rPr>
            <w:rFonts w:ascii="Cambria Math" w:hAnsi="Cambria Math" w:cs="Arial"/>
          </w:rPr>
          <m:t>σ</m:t>
        </m:r>
      </m:oMath>
      <w:r>
        <w:t xml:space="preserve"> = interfacial tension between wetting and non-wetting phase (mN/m); and </w:t>
      </w:r>
      <m:oMath>
        <m:r>
          <w:rPr>
            <w:rFonts w:ascii="Cambria Math" w:hAnsi="Cambria Math"/>
          </w:rPr>
          <m:t>θ</m:t>
        </m:r>
      </m:oMath>
      <w:r>
        <w:t xml:space="preserve"> = contact angle (degree).</w:t>
      </w:r>
    </w:p>
    <w:p w14:paraId="3BA26E99" w14:textId="5CEE4758" w:rsidR="00BB25B0" w:rsidRDefault="00BB25B0" w:rsidP="00BB25B0">
      <w:pPr>
        <w:pStyle w:val="Heading2"/>
      </w:pPr>
      <w:bookmarkStart w:id="28" w:name="_Toc121470233"/>
      <w:r>
        <w:t>2.5 Types of Surfactants</w:t>
      </w:r>
      <w:bookmarkEnd w:id="28"/>
      <w:r w:rsidR="006D50C4">
        <w:tab/>
      </w:r>
    </w:p>
    <w:p w14:paraId="56229DA6" w14:textId="6A7326ED" w:rsidR="006D50C4" w:rsidRDefault="00BB25B0" w:rsidP="00BC6BD4">
      <w:r>
        <w:t xml:space="preserve">For this study, we have </w:t>
      </w:r>
      <w:r w:rsidR="006D50C4">
        <w:t xml:space="preserve">classified </w:t>
      </w:r>
      <w:r>
        <w:t xml:space="preserve">surfactants </w:t>
      </w:r>
      <w:r w:rsidR="00CF5552">
        <w:t>based on</w:t>
      </w:r>
      <w:r w:rsidR="006D50C4">
        <w:t xml:space="preserve"> their </w:t>
      </w:r>
      <w:r w:rsidR="00BF77AD">
        <w:t xml:space="preserve">origin and composition into </w:t>
      </w:r>
      <w:r w:rsidR="0012596A">
        <w:t xml:space="preserve">two </w:t>
      </w:r>
      <w:r w:rsidR="00BF77AD">
        <w:t>categories</w:t>
      </w:r>
      <w:r w:rsidR="00CF5552">
        <w:t>: synthetic</w:t>
      </w:r>
      <w:r w:rsidR="006D33A3">
        <w:t xml:space="preserve"> </w:t>
      </w:r>
      <w:r w:rsidR="00BF77AD">
        <w:t>and microbial</w:t>
      </w:r>
      <w:r w:rsidR="00BA5883">
        <w:t>/</w:t>
      </w:r>
      <w:r w:rsidR="00CF5552">
        <w:t>biosurfactants</w:t>
      </w:r>
      <w:r w:rsidR="006D33A3">
        <w:t>.</w:t>
      </w:r>
      <w:r w:rsidR="00A333F4">
        <w:t xml:space="preserve"> </w:t>
      </w:r>
      <w:r w:rsidR="00A73042">
        <w:t xml:space="preserve">Surfactants </w:t>
      </w:r>
      <w:r w:rsidR="00CF5552">
        <w:t>that</w:t>
      </w:r>
      <w:r w:rsidR="00C94149">
        <w:t xml:space="preserve"> </w:t>
      </w:r>
      <w:r w:rsidR="00F6031A">
        <w:t xml:space="preserve">have been </w:t>
      </w:r>
      <w:r w:rsidR="00A73042">
        <w:t xml:space="preserve">synthesized </w:t>
      </w:r>
      <w:r w:rsidR="00BC6BD4">
        <w:t>using chemicals are called synthetic surfactants</w:t>
      </w:r>
      <w:r w:rsidR="00C94149">
        <w:t xml:space="preserve">, </w:t>
      </w:r>
      <w:r w:rsidR="00BC6BD4">
        <w:t xml:space="preserve">while surfactants </w:t>
      </w:r>
      <w:r w:rsidR="00CF5552">
        <w:t>that</w:t>
      </w:r>
      <w:r w:rsidR="00BC6BD4">
        <w:t xml:space="preserve"> have been </w:t>
      </w:r>
      <w:r w:rsidR="00F6031A">
        <w:t>synthesized from</w:t>
      </w:r>
      <w:r w:rsidR="00BC6BD4">
        <w:t xml:space="preserve"> enzymes and microorganism</w:t>
      </w:r>
      <w:r w:rsidR="0065393F">
        <w:t>s</w:t>
      </w:r>
      <w:r w:rsidR="00BC6BD4">
        <w:t xml:space="preserve"> are called </w:t>
      </w:r>
      <w:r w:rsidR="00591A55">
        <w:t>bio</w:t>
      </w:r>
      <w:r w:rsidR="00BC6BD4">
        <w:t>surfactant</w:t>
      </w:r>
      <w:r w:rsidR="00C94149">
        <w:t>s</w:t>
      </w:r>
      <w:r w:rsidR="00BC6BD4">
        <w:t>.</w:t>
      </w:r>
      <w:r w:rsidR="00A333F4">
        <w:t xml:space="preserve"> </w:t>
      </w:r>
      <w:r w:rsidR="00C47D0E">
        <w:t xml:space="preserve">Structure of </w:t>
      </w:r>
      <w:r w:rsidR="00730433">
        <w:t xml:space="preserve">these </w:t>
      </w:r>
      <w:r w:rsidR="00C47D0E">
        <w:t>s</w:t>
      </w:r>
      <w:r w:rsidR="00A03ADE" w:rsidRPr="00314C3F">
        <w:t>urfactant</w:t>
      </w:r>
      <w:r w:rsidR="00A03ADE">
        <w:t xml:space="preserve"> molecules</w:t>
      </w:r>
      <w:r w:rsidR="00A03ADE" w:rsidRPr="00314C3F">
        <w:t xml:space="preserve"> </w:t>
      </w:r>
      <w:r w:rsidR="00A03ADE">
        <w:t>contains</w:t>
      </w:r>
      <w:r w:rsidR="008F2B55">
        <w:t xml:space="preserve"> </w:t>
      </w:r>
      <w:r w:rsidR="00A03ADE">
        <w:t xml:space="preserve">a </w:t>
      </w:r>
      <w:r w:rsidR="00A03ADE" w:rsidRPr="00314C3F">
        <w:t xml:space="preserve">hydrophilic </w:t>
      </w:r>
      <w:r w:rsidR="00A03ADE">
        <w:t xml:space="preserve">head </w:t>
      </w:r>
      <w:r w:rsidR="00A03ADE" w:rsidRPr="00314C3F">
        <w:t>group</w:t>
      </w:r>
      <w:r w:rsidR="00772F0B">
        <w:t xml:space="preserve"> (water-soluble)</w:t>
      </w:r>
      <w:r w:rsidR="00A03ADE">
        <w:t xml:space="preserve"> and</w:t>
      </w:r>
      <w:r w:rsidR="00C47D0E">
        <w:t xml:space="preserve"> </w:t>
      </w:r>
      <w:r w:rsidR="00CF5552">
        <w:t xml:space="preserve">a </w:t>
      </w:r>
      <w:r w:rsidR="00A03ADE">
        <w:t>hydrophobic tail</w:t>
      </w:r>
      <w:r w:rsidR="00772F0B">
        <w:t xml:space="preserve"> (water-insoluble)</w:t>
      </w:r>
      <w:r w:rsidR="00CF5552">
        <w:t>,</w:t>
      </w:r>
      <w:r w:rsidR="0077347A">
        <w:t xml:space="preserve"> </w:t>
      </w:r>
      <w:r w:rsidR="004B7B9C">
        <w:t>as shown in</w:t>
      </w:r>
      <w:r w:rsidR="00A83AE7">
        <w:t xml:space="preserve"> </w:t>
      </w:r>
      <w:r w:rsidR="00A83AE7" w:rsidRPr="002F4C2D">
        <w:fldChar w:fldCharType="begin"/>
      </w:r>
      <w:r w:rsidR="00A83AE7" w:rsidRPr="002F4C2D">
        <w:instrText xml:space="preserve"> REF _Ref118681650 \h </w:instrText>
      </w:r>
      <w:r w:rsidR="002F4C2D" w:rsidRPr="002F4C2D">
        <w:instrText xml:space="preserve"> \* MERGEFORMAT </w:instrText>
      </w:r>
      <w:r w:rsidR="00A83AE7" w:rsidRPr="002F4C2D">
        <w:fldChar w:fldCharType="separate"/>
      </w:r>
      <w:r w:rsidR="002F3906" w:rsidRPr="00C316A8">
        <w:t xml:space="preserve">Figure </w:t>
      </w:r>
      <w:r w:rsidR="002F3906">
        <w:rPr>
          <w:noProof/>
        </w:rPr>
        <w:t>2</w:t>
      </w:r>
      <w:r w:rsidR="00A83AE7" w:rsidRPr="002F4C2D">
        <w:fldChar w:fldCharType="end"/>
      </w:r>
      <w:r w:rsidR="00A03ADE" w:rsidRPr="002F4C2D">
        <w:t>.</w:t>
      </w:r>
      <w:r w:rsidR="00A03ADE">
        <w:t xml:space="preserve"> </w:t>
      </w:r>
    </w:p>
    <w:p w14:paraId="25E122A4" w14:textId="6EA99974" w:rsidR="00660A1E" w:rsidRDefault="00BC6BD4" w:rsidP="006D50C4">
      <w:pPr>
        <w:ind w:firstLine="720"/>
      </w:pPr>
      <w:r>
        <w:t>Both of these s</w:t>
      </w:r>
      <w:r w:rsidR="00DF6896">
        <w:t xml:space="preserve">urfactants </w:t>
      </w:r>
      <w:r w:rsidR="002E34BC">
        <w:t>can be</w:t>
      </w:r>
      <w:r w:rsidR="00DF6896">
        <w:t xml:space="preserve"> </w:t>
      </w:r>
      <w:r w:rsidR="006D50C4">
        <w:t xml:space="preserve">further </w:t>
      </w:r>
      <w:r w:rsidR="00A03ADE" w:rsidRPr="00314C3F">
        <w:t xml:space="preserve">classified into </w:t>
      </w:r>
      <w:r w:rsidR="006A40C4">
        <w:t xml:space="preserve">four </w:t>
      </w:r>
      <w:r w:rsidR="00A03ADE" w:rsidRPr="00314C3F">
        <w:t>different types depending on the charge in the</w:t>
      </w:r>
      <w:r w:rsidR="00BB25B0">
        <w:t>ir</w:t>
      </w:r>
      <w:r w:rsidR="00A03ADE" w:rsidRPr="00314C3F">
        <w:t xml:space="preserve"> hydrophilic </w:t>
      </w:r>
      <w:r w:rsidR="00A03ADE">
        <w:t xml:space="preserve">head </w:t>
      </w:r>
      <w:r w:rsidR="00CF5552">
        <w:t xml:space="preserve">as </w:t>
      </w:r>
      <w:r w:rsidR="007B09A3">
        <w:t>anionic</w:t>
      </w:r>
      <w:r w:rsidR="0074156B">
        <w:t xml:space="preserve"> (negative charge)</w:t>
      </w:r>
      <w:r w:rsidR="007B09A3">
        <w:t xml:space="preserve">, </w:t>
      </w:r>
      <w:r w:rsidR="0074156B">
        <w:t>cationic (positive charge), nonionic (no charge)</w:t>
      </w:r>
      <w:r w:rsidR="00CF5552">
        <w:t>,</w:t>
      </w:r>
      <w:r w:rsidR="0074156B">
        <w:t xml:space="preserve"> and amphoteric</w:t>
      </w:r>
      <w:r w:rsidR="003822D5">
        <w:t xml:space="preserve">/zwitterionic </w:t>
      </w:r>
      <w:r w:rsidR="006A40C4">
        <w:t>surfactants</w:t>
      </w:r>
      <w:r w:rsidR="009E48AC">
        <w:t xml:space="preserve"> (positive and negative charge)</w:t>
      </w:r>
      <w:r w:rsidR="003822D5">
        <w:t xml:space="preserve">. </w:t>
      </w:r>
      <w:r w:rsidR="00670CE8">
        <w:t xml:space="preserve">Charge on </w:t>
      </w:r>
      <w:r w:rsidR="00487E00">
        <w:t xml:space="preserve">the </w:t>
      </w:r>
      <w:r w:rsidR="00487E00" w:rsidRPr="00314C3F">
        <w:t xml:space="preserve">hydrophilic </w:t>
      </w:r>
      <w:r w:rsidR="00487E00">
        <w:t xml:space="preserve">head of </w:t>
      </w:r>
      <w:r w:rsidR="00670CE8">
        <w:t>a</w:t>
      </w:r>
      <w:r w:rsidR="001043F6">
        <w:t xml:space="preserve">mphoteric surfactants </w:t>
      </w:r>
      <w:r w:rsidR="001043F6" w:rsidRPr="001043F6">
        <w:t>depends o</w:t>
      </w:r>
      <w:r w:rsidR="00670CE8">
        <w:t xml:space="preserve">n </w:t>
      </w:r>
      <w:r w:rsidR="001043F6" w:rsidRPr="001043F6">
        <w:t>pH of the solution</w:t>
      </w:r>
      <w:r w:rsidR="00670CE8">
        <w:t>.</w:t>
      </w:r>
      <w:r w:rsidR="00A333F4">
        <w:t xml:space="preserve"> </w:t>
      </w:r>
      <w:r w:rsidR="00670CE8">
        <w:t xml:space="preserve">They </w:t>
      </w:r>
      <w:r w:rsidR="001043F6" w:rsidRPr="001043F6">
        <w:lastRenderedPageBreak/>
        <w:t>exhibit cationic behavior at acidic pH, anionic behavior at alkaline pH,</w:t>
      </w:r>
      <w:r w:rsidR="001730DC">
        <w:t xml:space="preserve"> and </w:t>
      </w:r>
      <w:r w:rsidR="00A177D2">
        <w:t xml:space="preserve">nonionic </w:t>
      </w:r>
      <w:r w:rsidR="00E215CA" w:rsidRPr="001043F6">
        <w:t xml:space="preserve">behavior </w:t>
      </w:r>
      <w:r w:rsidR="00384CC7" w:rsidRPr="001043F6">
        <w:t xml:space="preserve">at </w:t>
      </w:r>
      <w:r w:rsidR="00384CC7">
        <w:t xml:space="preserve">neutral </w:t>
      </w:r>
      <w:r w:rsidR="00384CC7" w:rsidRPr="001043F6">
        <w:t>pH</w:t>
      </w:r>
      <w:r w:rsidR="00384CC7">
        <w:t xml:space="preserve"> </w:t>
      </w:r>
      <w:r w:rsidR="001043F6">
        <w:t>(</w:t>
      </w:r>
      <w:r w:rsidR="001043F6" w:rsidRPr="009959DC">
        <w:rPr>
          <w:sz w:val="23"/>
          <w:szCs w:val="23"/>
        </w:rPr>
        <w:t>Schramm 2000</w:t>
      </w:r>
      <w:r w:rsidR="00FE591D">
        <w:rPr>
          <w:sz w:val="23"/>
          <w:szCs w:val="23"/>
        </w:rPr>
        <w:t>;</w:t>
      </w:r>
      <w:r w:rsidR="00C24939">
        <w:rPr>
          <w:sz w:val="23"/>
          <w:szCs w:val="23"/>
        </w:rPr>
        <w:t xml:space="preserve"> </w:t>
      </w:r>
      <w:r w:rsidR="009959DC" w:rsidRPr="00314C3F">
        <w:t>Lake 1989</w:t>
      </w:r>
      <w:r w:rsidR="00847B12">
        <w:t xml:space="preserve">; </w:t>
      </w:r>
      <w:r w:rsidR="00C24939">
        <w:t>Honciuc 2021</w:t>
      </w:r>
      <w:r w:rsidR="001043F6">
        <w:rPr>
          <w:sz w:val="23"/>
          <w:szCs w:val="23"/>
        </w:rPr>
        <w:t>)</w:t>
      </w:r>
      <w:r w:rsidR="001043F6">
        <w:t>.</w:t>
      </w:r>
      <w:r w:rsidR="006D50C4">
        <w:t xml:space="preserve"> </w:t>
      </w:r>
    </w:p>
    <w:p w14:paraId="1D0F5F47" w14:textId="583F72A5" w:rsidR="00712C78" w:rsidRPr="00712C78" w:rsidRDefault="00591A55" w:rsidP="00712C78">
      <w:pPr>
        <w:ind w:firstLine="720"/>
        <w:rPr>
          <w:szCs w:val="20"/>
        </w:rPr>
      </w:pPr>
      <w:r>
        <w:t>Bio</w:t>
      </w:r>
      <w:r w:rsidR="00BB25B0">
        <w:t xml:space="preserve">surfactants are further classified based on </w:t>
      </w:r>
      <w:r w:rsidR="00BA5883">
        <w:t xml:space="preserve">their </w:t>
      </w:r>
      <w:r w:rsidR="007A32C3">
        <w:t xml:space="preserve">size as </w:t>
      </w:r>
      <w:r w:rsidR="00BB25B0">
        <w:t>low molecular weight</w:t>
      </w:r>
      <w:r w:rsidR="007A32C3">
        <w:t xml:space="preserve"> and high molecular weight</w:t>
      </w:r>
      <w:r>
        <w:t>.</w:t>
      </w:r>
      <w:r w:rsidR="00A333F4">
        <w:t xml:space="preserve"> </w:t>
      </w:r>
      <w:r w:rsidR="007A32C3">
        <w:t xml:space="preserve">Low molecular weight </w:t>
      </w:r>
      <w:r>
        <w:t>biosurfactants</w:t>
      </w:r>
      <w:r w:rsidR="00715A6B">
        <w:t>,</w:t>
      </w:r>
      <w:r>
        <w:t xml:space="preserve"> </w:t>
      </w:r>
      <w:r w:rsidR="00CB4051">
        <w:t>especially</w:t>
      </w:r>
      <w:r>
        <w:t xml:space="preserve"> </w:t>
      </w:r>
      <w:r w:rsidR="007A32C3">
        <w:t>glycolipids</w:t>
      </w:r>
      <w:r w:rsidR="00715A6B">
        <w:t>,</w:t>
      </w:r>
      <w:r w:rsidR="007A32C3">
        <w:t xml:space="preserve"> </w:t>
      </w:r>
      <w:r w:rsidR="00C509C9">
        <w:t xml:space="preserve">are </w:t>
      </w:r>
      <w:r w:rsidR="00391C68">
        <w:t xml:space="preserve">the </w:t>
      </w:r>
      <w:r w:rsidR="00C509C9">
        <w:t xml:space="preserve">interest of our study for EOR as they </w:t>
      </w:r>
      <w:r>
        <w:t>reduce interfacial tension</w:t>
      </w:r>
      <w:r w:rsidR="00C509C9">
        <w:t>. H</w:t>
      </w:r>
      <w:r>
        <w:t>igh molecular weight biosurfactants stabilize the oil in water emulsions (Paulino et al. 2016</w:t>
      </w:r>
      <w:r w:rsidR="00C509C9">
        <w:t xml:space="preserve">). </w:t>
      </w:r>
      <w:r w:rsidR="00BB25B0">
        <w:t xml:space="preserve">Glycolipids are </w:t>
      </w:r>
      <w:r>
        <w:t>synthesized</w:t>
      </w:r>
      <w:r w:rsidR="00BB25B0">
        <w:t xml:space="preserve"> </w:t>
      </w:r>
      <w:r w:rsidR="00BB25B0" w:rsidRPr="00314C3F">
        <w:t xml:space="preserve">from </w:t>
      </w:r>
      <w:r>
        <w:t xml:space="preserve">various sources such as </w:t>
      </w:r>
      <w:r w:rsidR="00BB25B0" w:rsidRPr="00314C3F">
        <w:t>microorganisms, hydrocarbons, industrial waste, and oil waste</w:t>
      </w:r>
      <w:r w:rsidR="00BB25B0">
        <w:t xml:space="preserve">. </w:t>
      </w:r>
      <w:r w:rsidR="00BB25B0" w:rsidRPr="00314C3F">
        <w:t>(Ines and Dhouba</w:t>
      </w:r>
      <w:r w:rsidR="00D00591">
        <w:t xml:space="preserve">, </w:t>
      </w:r>
      <w:r w:rsidR="00BB25B0" w:rsidRPr="00314C3F">
        <w:t>2015)</w:t>
      </w:r>
      <w:r w:rsidR="00BB25B0">
        <w:t xml:space="preserve">. </w:t>
      </w:r>
      <w:r w:rsidR="00BB25B0" w:rsidRPr="00314C3F">
        <w:t xml:space="preserve">Components of the cell membrane and certain bacteria are </w:t>
      </w:r>
      <w:r w:rsidR="00BB25B0">
        <w:t xml:space="preserve">also </w:t>
      </w:r>
      <w:r w:rsidR="00BB25B0" w:rsidRPr="00314C3F">
        <w:t xml:space="preserve">used to </w:t>
      </w:r>
      <w:r>
        <w:t>synthesize</w:t>
      </w:r>
      <w:r w:rsidR="00BB25B0" w:rsidRPr="00314C3F">
        <w:t xml:space="preserve"> </w:t>
      </w:r>
      <w:r w:rsidR="00BB25B0">
        <w:t>glycolipids</w:t>
      </w:r>
      <w:r w:rsidR="00BB25B0" w:rsidRPr="00314C3F">
        <w:t xml:space="preserve"> from microorganisms (</w:t>
      </w:r>
      <w:r w:rsidR="00BB25B0" w:rsidRPr="00314C3F">
        <w:rPr>
          <w:rFonts w:eastAsiaTheme="minorHAnsi"/>
        </w:rPr>
        <w:t xml:space="preserve">Velioglu </w:t>
      </w:r>
      <w:r w:rsidR="00145C5B">
        <w:rPr>
          <w:rFonts w:eastAsiaTheme="minorHAnsi"/>
        </w:rPr>
        <w:t>&amp;</w:t>
      </w:r>
      <w:r w:rsidR="00BB25B0" w:rsidRPr="00314C3F">
        <w:rPr>
          <w:rFonts w:eastAsiaTheme="minorHAnsi"/>
        </w:rPr>
        <w:t xml:space="preserve"> Urek 2015</w:t>
      </w:r>
      <w:r w:rsidR="00145C5B">
        <w:rPr>
          <w:rFonts w:eastAsiaTheme="minorHAnsi"/>
        </w:rPr>
        <w:t xml:space="preserve"> and</w:t>
      </w:r>
      <w:r w:rsidR="00BB25B0" w:rsidRPr="00314C3F">
        <w:rPr>
          <w:rFonts w:eastAsiaTheme="minorHAnsi"/>
        </w:rPr>
        <w:t xml:space="preserve"> </w:t>
      </w:r>
      <w:r w:rsidR="00BB25B0" w:rsidRPr="00314C3F">
        <w:rPr>
          <w:szCs w:val="20"/>
        </w:rPr>
        <w:t>Gunther et al. 2017).</w:t>
      </w:r>
    </w:p>
    <w:p w14:paraId="118DE922" w14:textId="77777777" w:rsidR="00521E84" w:rsidRDefault="00521E84" w:rsidP="000767C9">
      <w:pPr>
        <w:spacing w:line="240" w:lineRule="auto"/>
        <w:ind w:firstLine="720"/>
      </w:pPr>
    </w:p>
    <w:p w14:paraId="544A9D21" w14:textId="77777777" w:rsidR="00A83AE7" w:rsidRDefault="004B7B9C" w:rsidP="00712C78">
      <w:pPr>
        <w:keepNext/>
        <w:ind w:firstLine="720"/>
        <w:jc w:val="center"/>
      </w:pPr>
      <w:r>
        <w:rPr>
          <w:noProof/>
        </w:rPr>
        <w:drawing>
          <wp:inline distT="0" distB="0" distL="0" distR="0" wp14:anchorId="3D5A213F" wp14:editId="12C98580">
            <wp:extent cx="2641600" cy="1066800"/>
            <wp:effectExtent l="0" t="0" r="0" b="0"/>
            <wp:docPr id="8" name="Picture 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1600" cy="1066800"/>
                    </a:xfrm>
                    <a:prstGeom prst="rect">
                      <a:avLst/>
                    </a:prstGeom>
                  </pic:spPr>
                </pic:pic>
              </a:graphicData>
            </a:graphic>
          </wp:inline>
        </w:drawing>
      </w:r>
    </w:p>
    <w:p w14:paraId="52D3AD5D" w14:textId="00F57DE4" w:rsidR="0009083A" w:rsidRDefault="00A83AE7" w:rsidP="00712C78">
      <w:pPr>
        <w:pStyle w:val="NoSpacing"/>
        <w:spacing w:line="480" w:lineRule="auto"/>
        <w:jc w:val="center"/>
      </w:pPr>
      <w:bookmarkStart w:id="29" w:name="_Ref118681650"/>
      <w:bookmarkStart w:id="30" w:name="_Toc121470276"/>
      <w:r w:rsidRPr="00C316A8">
        <w:t xml:space="preserve">Figure </w:t>
      </w:r>
      <w:fldSimple w:instr=" SEQ Figure \* ARABIC ">
        <w:r w:rsidR="002F3906">
          <w:rPr>
            <w:noProof/>
          </w:rPr>
          <w:t>2</w:t>
        </w:r>
      </w:fldSimple>
      <w:bookmarkEnd w:id="29"/>
      <w:r w:rsidRPr="00C316A8">
        <w:t xml:space="preserve"> - General structure of surfactant molecule.</w:t>
      </w:r>
      <w:bookmarkEnd w:id="30"/>
    </w:p>
    <w:p w14:paraId="535FAC16" w14:textId="49C983D7" w:rsidR="006E3960" w:rsidRDefault="00E42575" w:rsidP="0009083A">
      <w:pPr>
        <w:pStyle w:val="Heading2"/>
        <w:numPr>
          <w:ilvl w:val="0"/>
          <w:numId w:val="0"/>
        </w:numPr>
      </w:pPr>
      <w:bookmarkStart w:id="31" w:name="_Toc121470234"/>
      <w:r>
        <w:t>2.</w:t>
      </w:r>
      <w:r w:rsidR="00A07F1A">
        <w:t>5</w:t>
      </w:r>
      <w:r>
        <w:t xml:space="preserve"> </w:t>
      </w:r>
      <w:r w:rsidR="00714DC4">
        <w:t>Wettability Alteration Mechanisms</w:t>
      </w:r>
      <w:bookmarkEnd w:id="31"/>
    </w:p>
    <w:p w14:paraId="7D80F2D6" w14:textId="54F55363" w:rsidR="003D741B" w:rsidRDefault="007B33DF" w:rsidP="00A07F1A">
      <w:r>
        <w:t xml:space="preserve">Various studies have shown that </w:t>
      </w:r>
      <w:r w:rsidR="002E7CDC">
        <w:t xml:space="preserve">the </w:t>
      </w:r>
      <w:r>
        <w:t>a</w:t>
      </w:r>
      <w:r w:rsidR="003D741B">
        <w:t xml:space="preserve">lteration of reservoir wettability </w:t>
      </w:r>
      <w:r w:rsidR="0047179A">
        <w:t xml:space="preserve">from </w:t>
      </w:r>
      <w:r w:rsidR="003D741B">
        <w:t>oil-wet to water-wet depends on three mechanisms:</w:t>
      </w:r>
    </w:p>
    <w:p w14:paraId="62B94D33" w14:textId="3B0E6A6D" w:rsidR="003D741B" w:rsidRDefault="003D741B" w:rsidP="003D741B">
      <w:pPr>
        <w:pStyle w:val="ListParagraph"/>
        <w:numPr>
          <w:ilvl w:val="0"/>
          <w:numId w:val="10"/>
        </w:numPr>
      </w:pPr>
      <w:r>
        <w:t>Ion Pair Formation</w:t>
      </w:r>
      <w:r w:rsidR="00076ECA">
        <w:t xml:space="preserve"> Mechanism</w:t>
      </w:r>
    </w:p>
    <w:p w14:paraId="7875EDC9" w14:textId="1B049458" w:rsidR="003D741B" w:rsidRDefault="003D741B" w:rsidP="00076ECA">
      <w:pPr>
        <w:pStyle w:val="ListParagraph"/>
        <w:numPr>
          <w:ilvl w:val="0"/>
          <w:numId w:val="10"/>
        </w:numPr>
      </w:pPr>
      <w:r>
        <w:t>Surfactant Adsorption</w:t>
      </w:r>
      <w:r w:rsidR="00076ECA" w:rsidRPr="00076ECA">
        <w:t xml:space="preserve"> </w:t>
      </w:r>
      <w:r w:rsidR="00076ECA">
        <w:t>Mechanism</w:t>
      </w:r>
    </w:p>
    <w:p w14:paraId="7FAE77F7" w14:textId="08D99647" w:rsidR="00DA2EC6" w:rsidRDefault="003D741B" w:rsidP="00076ECA">
      <w:pPr>
        <w:pStyle w:val="ListParagraph"/>
        <w:numPr>
          <w:ilvl w:val="0"/>
          <w:numId w:val="10"/>
        </w:numPr>
      </w:pPr>
      <w:r>
        <w:t xml:space="preserve">Micellar </w:t>
      </w:r>
      <w:r w:rsidR="00483E42">
        <w:t>S</w:t>
      </w:r>
      <w:r>
        <w:t>olubilization</w:t>
      </w:r>
      <w:r w:rsidR="00076ECA">
        <w:t xml:space="preserve"> Mechanism</w:t>
      </w:r>
    </w:p>
    <w:p w14:paraId="53714DD7" w14:textId="515CB7A0" w:rsidR="00B80181" w:rsidRPr="00DA2EC6" w:rsidRDefault="00B80181" w:rsidP="00B80181">
      <w:r>
        <w:t>In this study</w:t>
      </w:r>
      <w:r w:rsidR="00BA5883">
        <w:t>,</w:t>
      </w:r>
      <w:r>
        <w:t xml:space="preserve"> we have focused on ion pair formation and surfactant adsorption to understand the wettability alteration mechanisms</w:t>
      </w:r>
      <w:r w:rsidR="00E729BB">
        <w:t xml:space="preserve"> for synthetic and </w:t>
      </w:r>
      <w:r w:rsidR="00BA5883">
        <w:t>biosurfactants in sandstones at high TDS and temperature.</w:t>
      </w:r>
    </w:p>
    <w:p w14:paraId="75D4E440" w14:textId="6A63A353" w:rsidR="00E42575" w:rsidRDefault="00714DC4" w:rsidP="00B80181">
      <w:pPr>
        <w:pStyle w:val="Heading3"/>
        <w:numPr>
          <w:ilvl w:val="0"/>
          <w:numId w:val="0"/>
        </w:numPr>
      </w:pPr>
      <w:bookmarkStart w:id="32" w:name="_Toc121470235"/>
      <w:r>
        <w:lastRenderedPageBreak/>
        <w:t>2.</w:t>
      </w:r>
      <w:r w:rsidR="00A07F1A">
        <w:t>5</w:t>
      </w:r>
      <w:r>
        <w:t xml:space="preserve">.1 </w:t>
      </w:r>
      <w:r w:rsidR="00E42575">
        <w:t>Ion Pair Formation</w:t>
      </w:r>
      <w:r w:rsidR="00F02620">
        <w:t xml:space="preserve"> Mechanism</w:t>
      </w:r>
      <w:bookmarkEnd w:id="32"/>
    </w:p>
    <w:p w14:paraId="5A5C03EB" w14:textId="0C876B49" w:rsidR="00FA5745" w:rsidRPr="007E2600" w:rsidRDefault="00BA34E8" w:rsidP="007E2600">
      <w:r>
        <w:t xml:space="preserve">The effect of ion </w:t>
      </w:r>
      <w:r w:rsidR="00C93B5E">
        <w:t xml:space="preserve">pair </w:t>
      </w:r>
      <w:r>
        <w:t>formation was first explained by Standnes and Austad 2000 using oil-wet outcrop chalk samples</w:t>
      </w:r>
      <w:r w:rsidR="00FB4215">
        <w:t xml:space="preserve"> and </w:t>
      </w:r>
      <w:r>
        <w:t xml:space="preserve">cationic </w:t>
      </w:r>
      <w:r w:rsidR="00FB4215">
        <w:t xml:space="preserve">&amp; </w:t>
      </w:r>
      <w:r>
        <w:t>anionic surfactants.</w:t>
      </w:r>
      <w:r w:rsidR="00A333F4">
        <w:t xml:space="preserve"> </w:t>
      </w:r>
      <w:r w:rsidR="0015126D">
        <w:t>Their experimental r</w:t>
      </w:r>
      <w:r w:rsidR="00435A3C">
        <w:t xml:space="preserve">esults </w:t>
      </w:r>
      <w:r w:rsidR="00227792">
        <w:t>showed</w:t>
      </w:r>
      <w:r>
        <w:t xml:space="preserve"> that cationic surfactants ha</w:t>
      </w:r>
      <w:r w:rsidR="000C63CE">
        <w:t>ve</w:t>
      </w:r>
      <w:r>
        <w:t xml:space="preserve"> higher oil recovery</w:t>
      </w:r>
      <w:r w:rsidR="000C63CE">
        <w:t xml:space="preserve"> </w:t>
      </w:r>
      <w:r w:rsidR="00715A6B">
        <w:t>than</w:t>
      </w:r>
      <w:r>
        <w:t xml:space="preserve"> anionic surfactant</w:t>
      </w:r>
      <w:r w:rsidR="000C63CE">
        <w:t>s</w:t>
      </w:r>
      <w:r w:rsidR="00853C18">
        <w:t xml:space="preserve"> in chalk samples</w:t>
      </w:r>
      <w:r>
        <w:t>.</w:t>
      </w:r>
      <w:r w:rsidR="00A333F4">
        <w:t xml:space="preserve"> </w:t>
      </w:r>
      <w:r>
        <w:t xml:space="preserve">This was explained </w:t>
      </w:r>
      <w:r w:rsidR="000C63CE">
        <w:t xml:space="preserve">using a model </w:t>
      </w:r>
      <w:r w:rsidR="000C63CE" w:rsidRPr="0056034D">
        <w:t xml:space="preserve">shown in </w:t>
      </w:r>
      <w:r w:rsidR="007E2600">
        <w:fldChar w:fldCharType="begin"/>
      </w:r>
      <w:r w:rsidR="007E2600">
        <w:instrText xml:space="preserve"> REF _Ref118687914 \h </w:instrText>
      </w:r>
      <w:r w:rsidR="007E2600">
        <w:fldChar w:fldCharType="separate"/>
      </w:r>
      <w:r w:rsidR="002F3906" w:rsidRPr="002A33AA">
        <w:t xml:space="preserve">Figure </w:t>
      </w:r>
      <w:r w:rsidR="002F3906">
        <w:rPr>
          <w:noProof/>
        </w:rPr>
        <w:t>3</w:t>
      </w:r>
      <w:r w:rsidR="007E2600">
        <w:fldChar w:fldCharType="end"/>
      </w:r>
      <w:r w:rsidR="007E2600">
        <w:t xml:space="preserve">a, </w:t>
      </w:r>
      <w:r w:rsidR="005E7540" w:rsidRPr="0056034D">
        <w:t>which</w:t>
      </w:r>
      <w:r w:rsidR="005E7540">
        <w:t xml:space="preserve"> suggests that an ion pair formation </w:t>
      </w:r>
      <w:r w:rsidR="00715A6B">
        <w:t>occurred</w:t>
      </w:r>
      <w:r w:rsidR="00DE3532">
        <w:t xml:space="preserve"> between the </w:t>
      </w:r>
      <w:r w:rsidR="00715A6B">
        <w:t>positively</w:t>
      </w:r>
      <w:r w:rsidR="009D1F33">
        <w:t xml:space="preserve"> charged </w:t>
      </w:r>
      <w:r w:rsidR="00DE3532">
        <w:t>head of cationic surfactant and negative charged adsorbed oil</w:t>
      </w:r>
      <w:r w:rsidR="008109EC">
        <w:t xml:space="preserve"> molecules</w:t>
      </w:r>
      <w:r w:rsidR="00796534">
        <w:t>.</w:t>
      </w:r>
      <w:r w:rsidR="00A333F4">
        <w:t xml:space="preserve"> </w:t>
      </w:r>
      <w:r w:rsidR="006246F4">
        <w:t xml:space="preserve">Once the oil from surface </w:t>
      </w:r>
      <w:r w:rsidR="00F465C5">
        <w:t>was</w:t>
      </w:r>
      <w:r w:rsidR="006246F4">
        <w:t xml:space="preserve"> desorbed, chalk </w:t>
      </w:r>
      <w:r w:rsidR="00F465C5">
        <w:t xml:space="preserve">became </w:t>
      </w:r>
      <w:r w:rsidR="006246F4">
        <w:t>water wet</w:t>
      </w:r>
      <w:r w:rsidR="00BF4AC3">
        <w:t>,</w:t>
      </w:r>
      <w:r w:rsidR="006246F4">
        <w:t xml:space="preserve"> and imbibition of water </w:t>
      </w:r>
      <w:r w:rsidR="000A0288">
        <w:t>gave</w:t>
      </w:r>
      <w:r w:rsidR="006246F4">
        <w:t xml:space="preserve"> higher oil recovery.</w:t>
      </w:r>
    </w:p>
    <w:p w14:paraId="5DAD8D02" w14:textId="02339B70" w:rsidR="00714DC4" w:rsidRDefault="00714DC4" w:rsidP="0056034D">
      <w:pPr>
        <w:pStyle w:val="Heading3"/>
        <w:numPr>
          <w:ilvl w:val="0"/>
          <w:numId w:val="0"/>
        </w:numPr>
      </w:pPr>
      <w:bookmarkStart w:id="33" w:name="_Toc121470236"/>
      <w:r>
        <w:t>2.</w:t>
      </w:r>
      <w:r w:rsidR="00A07F1A">
        <w:t>5</w:t>
      </w:r>
      <w:r>
        <w:t>.2 Surfactant Adsorption</w:t>
      </w:r>
      <w:r w:rsidR="00F02620">
        <w:t xml:space="preserve"> Mechanism</w:t>
      </w:r>
      <w:bookmarkEnd w:id="33"/>
    </w:p>
    <w:p w14:paraId="39BF5859" w14:textId="37BC4D7F" w:rsidR="0056034D" w:rsidRDefault="00DB6FD7" w:rsidP="00C66C49">
      <w:r>
        <w:t>Standnes and Austad 2000 also explained surfactant adsorption mechanism</w:t>
      </w:r>
      <w:r w:rsidR="002B5612">
        <w:t xml:space="preserve"> </w:t>
      </w:r>
      <w:r w:rsidR="0056034D">
        <w:t>using oil-wet outcrop chalk samples</w:t>
      </w:r>
      <w:r w:rsidR="004A38FA">
        <w:t xml:space="preserve"> and</w:t>
      </w:r>
      <w:r w:rsidR="0056034D">
        <w:t xml:space="preserve"> cationic</w:t>
      </w:r>
      <w:r w:rsidR="004A38FA">
        <w:t xml:space="preserve"> &amp;</w:t>
      </w:r>
      <w:r w:rsidR="0056034D">
        <w:t xml:space="preserve"> anionic surfactants.</w:t>
      </w:r>
      <w:r w:rsidR="00A333F4">
        <w:t xml:space="preserve"> </w:t>
      </w:r>
      <w:r w:rsidR="00BF4AC3">
        <w:t>Their experimental results showed that</w:t>
      </w:r>
      <w:r w:rsidR="0056034D">
        <w:t xml:space="preserve"> anionic surfactant</w:t>
      </w:r>
      <w:r w:rsidR="00CA23C8">
        <w:t>s</w:t>
      </w:r>
      <w:r w:rsidR="0056034D">
        <w:t xml:space="preserve"> have lower recovery than cationic surfactants.</w:t>
      </w:r>
      <w:r w:rsidR="00A333F4">
        <w:t xml:space="preserve"> </w:t>
      </w:r>
      <w:r w:rsidR="0056034D">
        <w:t xml:space="preserve">This was explained using a model </w:t>
      </w:r>
      <w:r w:rsidR="0056034D" w:rsidRPr="0056034D">
        <w:t xml:space="preserve">shown in </w:t>
      </w:r>
      <w:r w:rsidR="0056034D" w:rsidRPr="0056034D">
        <w:fldChar w:fldCharType="begin"/>
      </w:r>
      <w:r w:rsidR="0056034D" w:rsidRPr="0056034D">
        <w:instrText xml:space="preserve"> REF _Ref118687914 \h  \* MERGEFORMAT </w:instrText>
      </w:r>
      <w:r w:rsidR="0056034D" w:rsidRPr="0056034D">
        <w:fldChar w:fldCharType="separate"/>
      </w:r>
      <w:r w:rsidR="002F3906" w:rsidRPr="002A33AA">
        <w:t xml:space="preserve">Figure </w:t>
      </w:r>
      <w:r w:rsidR="002F3906">
        <w:t>3</w:t>
      </w:r>
      <w:r w:rsidR="0056034D" w:rsidRPr="0056034D">
        <w:fldChar w:fldCharType="end"/>
      </w:r>
      <w:r w:rsidR="007E2600">
        <w:t>b</w:t>
      </w:r>
      <w:r w:rsidR="00BF4AC3">
        <w:t>,</w:t>
      </w:r>
      <w:r w:rsidR="0056034D" w:rsidRPr="0056034D">
        <w:t xml:space="preserve"> which</w:t>
      </w:r>
      <w:r w:rsidR="0056034D">
        <w:t xml:space="preserve"> suggests that anionic surfactants created a double layer due to hydrophobic interaction between the </w:t>
      </w:r>
      <w:r>
        <w:t>negative</w:t>
      </w:r>
      <w:r w:rsidR="0056034D">
        <w:t xml:space="preserve"> </w:t>
      </w:r>
      <w:r w:rsidR="009D1F33">
        <w:t xml:space="preserve">charged </w:t>
      </w:r>
      <w:r w:rsidR="0056034D">
        <w:t>head of the anionic surfactant and negative charged adsorbed oil</w:t>
      </w:r>
      <w:r w:rsidR="008109EC">
        <w:t xml:space="preserve"> molecules</w:t>
      </w:r>
      <w:r w:rsidR="0056034D">
        <w:t xml:space="preserve">. </w:t>
      </w:r>
    </w:p>
    <w:p w14:paraId="7F9306D5" w14:textId="54051698" w:rsidR="0056034D" w:rsidRDefault="007E2600" w:rsidP="00F75031">
      <w:pPr>
        <w:keepNext/>
        <w:jc w:val="center"/>
      </w:pPr>
      <w:r w:rsidRPr="007E2600">
        <w:rPr>
          <w:noProof/>
        </w:rPr>
        <w:lastRenderedPageBreak/>
        <w:drawing>
          <wp:inline distT="0" distB="0" distL="0" distR="0" wp14:anchorId="6240B922" wp14:editId="3E2A60F9">
            <wp:extent cx="5766292" cy="2849660"/>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15"/>
                    <a:srcRect t="3966" r="6975"/>
                    <a:stretch/>
                  </pic:blipFill>
                  <pic:spPr bwMode="auto">
                    <a:xfrm>
                      <a:off x="0" y="0"/>
                      <a:ext cx="5849315" cy="2890689"/>
                    </a:xfrm>
                    <a:prstGeom prst="rect">
                      <a:avLst/>
                    </a:prstGeom>
                    <a:ln>
                      <a:noFill/>
                    </a:ln>
                    <a:extLst>
                      <a:ext uri="{53640926-AAD7-44D8-BBD7-CCE9431645EC}">
                        <a14:shadowObscured xmlns:a14="http://schemas.microsoft.com/office/drawing/2010/main"/>
                      </a:ext>
                    </a:extLst>
                  </pic:spPr>
                </pic:pic>
              </a:graphicData>
            </a:graphic>
          </wp:inline>
        </w:drawing>
      </w:r>
    </w:p>
    <w:p w14:paraId="69576343" w14:textId="6EC2685B" w:rsidR="00E6744C" w:rsidRPr="002A33AA" w:rsidRDefault="0056034D" w:rsidP="00DA76BD">
      <w:pPr>
        <w:pStyle w:val="NoSpacing"/>
      </w:pPr>
      <w:bookmarkStart w:id="34" w:name="_Ref118687914"/>
      <w:bookmarkStart w:id="35" w:name="_Toc121470277"/>
      <w:r w:rsidRPr="002A33AA">
        <w:t xml:space="preserve">Figure </w:t>
      </w:r>
      <w:fldSimple w:instr=" SEQ Figure \* ARABIC ">
        <w:r w:rsidR="002F3906">
          <w:rPr>
            <w:noProof/>
          </w:rPr>
          <w:t>3</w:t>
        </w:r>
      </w:fldSimple>
      <w:bookmarkEnd w:id="34"/>
      <w:r w:rsidRPr="002A33AA">
        <w:t xml:space="preserve"> - Model showing </w:t>
      </w:r>
      <w:r w:rsidR="00DA76BD" w:rsidRPr="002A33AA">
        <w:t>wettability alteration</w:t>
      </w:r>
      <w:r w:rsidR="007E0C0A">
        <w:t>.</w:t>
      </w:r>
      <w:r w:rsidR="00DA76BD" w:rsidRPr="002A33AA">
        <w:t xml:space="preserve"> </w:t>
      </w:r>
      <w:r w:rsidR="00AB2DAE">
        <w:t>(</w:t>
      </w:r>
      <w:r w:rsidR="007E2600">
        <w:t>a) ion-pair formation mechanism</w:t>
      </w:r>
      <w:r w:rsidR="00710811">
        <w:t>,</w:t>
      </w:r>
      <w:r w:rsidR="007E2600">
        <w:t xml:space="preserve"> and </w:t>
      </w:r>
      <w:r w:rsidR="00AB2DAE">
        <w:t>(</w:t>
      </w:r>
      <w:r w:rsidR="007E2600">
        <w:t xml:space="preserve">b) surfactant adsorption mechanism </w:t>
      </w:r>
      <w:r w:rsidR="00DA76BD" w:rsidRPr="002A33AA">
        <w:t xml:space="preserve">(Standnes </w:t>
      </w:r>
      <w:r w:rsidR="007E2600">
        <w:t>&amp;</w:t>
      </w:r>
      <w:r w:rsidR="00DA76BD" w:rsidRPr="002A33AA">
        <w:t xml:space="preserve"> Austad</w:t>
      </w:r>
      <w:r w:rsidR="008A02F7">
        <w:t xml:space="preserve"> </w:t>
      </w:r>
      <w:r w:rsidR="00DA76BD" w:rsidRPr="002A33AA">
        <w:t>2000</w:t>
      </w:r>
      <w:r w:rsidR="007A1499">
        <w:t xml:space="preserve">; </w:t>
      </w:r>
      <w:r w:rsidR="007E2600">
        <w:t>Bashir et al. 2021</w:t>
      </w:r>
      <w:r w:rsidR="00DA76BD" w:rsidRPr="002A33AA">
        <w:t>)</w:t>
      </w:r>
      <w:r w:rsidR="002A33AA" w:rsidRPr="002A33AA">
        <w:t>.</w:t>
      </w:r>
      <w:bookmarkEnd w:id="35"/>
    </w:p>
    <w:p w14:paraId="1A87B541" w14:textId="77777777" w:rsidR="007D00E2" w:rsidRPr="007D00E2" w:rsidRDefault="007D00E2" w:rsidP="001203D4">
      <w:pPr>
        <w:pStyle w:val="NoSpacing"/>
        <w:rPr>
          <w:bCs/>
        </w:rPr>
      </w:pPr>
    </w:p>
    <w:p w14:paraId="298FA8AB" w14:textId="59EDCABC" w:rsidR="00A07F1A" w:rsidRPr="007D00E2" w:rsidRDefault="00A07F1A" w:rsidP="007D00E2">
      <w:pPr>
        <w:pStyle w:val="Heading2"/>
        <w:rPr>
          <w:rFonts w:eastAsiaTheme="minorHAnsi"/>
        </w:rPr>
      </w:pPr>
      <w:bookmarkStart w:id="36" w:name="_Toc121470237"/>
      <w:r w:rsidRPr="007D00E2">
        <w:rPr>
          <w:rFonts w:eastAsiaTheme="minorHAnsi"/>
        </w:rPr>
        <w:t>2.6 Critical Micelle Concentration</w:t>
      </w:r>
      <w:bookmarkEnd w:id="36"/>
    </w:p>
    <w:p w14:paraId="07465F46" w14:textId="221C5D96" w:rsidR="00A07F1A" w:rsidRPr="004B7B9C" w:rsidRDefault="00A07F1A" w:rsidP="00A07F1A">
      <w:pPr>
        <w:rPr>
          <w:b/>
          <w:bCs/>
        </w:rPr>
      </w:pPr>
      <w:r>
        <w:rPr>
          <w:rFonts w:eastAsiaTheme="minorHAnsi"/>
        </w:rPr>
        <w:t xml:space="preserve">Surfactants reduce surface tension by getting adsorbed onto the </w:t>
      </w:r>
      <w:r w:rsidR="00EA11E0">
        <w:rPr>
          <w:rFonts w:eastAsiaTheme="minorHAnsi"/>
        </w:rPr>
        <w:t xml:space="preserve">solid </w:t>
      </w:r>
      <w:r>
        <w:rPr>
          <w:rFonts w:eastAsiaTheme="minorHAnsi"/>
        </w:rPr>
        <w:t>surface.</w:t>
      </w:r>
      <w:r w:rsidR="00A333F4">
        <w:rPr>
          <w:rFonts w:eastAsiaTheme="minorHAnsi"/>
        </w:rPr>
        <w:t xml:space="preserve"> </w:t>
      </w:r>
      <w:r>
        <w:rPr>
          <w:rFonts w:eastAsiaTheme="minorHAnsi"/>
        </w:rPr>
        <w:t>Since these surfaces have limited area, these surfactants can only get adsorbed up to a limit.</w:t>
      </w:r>
      <w:r w:rsidR="00A333F4">
        <w:rPr>
          <w:rFonts w:eastAsiaTheme="minorHAnsi"/>
        </w:rPr>
        <w:t xml:space="preserve"> </w:t>
      </w:r>
      <w:r>
        <w:rPr>
          <w:rFonts w:eastAsiaTheme="minorHAnsi"/>
        </w:rPr>
        <w:t>After the limit is reached, excess surfactants start forming micelles and do not reduce surface tension.</w:t>
      </w:r>
      <w:r w:rsidR="00A333F4">
        <w:rPr>
          <w:rFonts w:eastAsiaTheme="minorHAnsi"/>
        </w:rPr>
        <w:t xml:space="preserve"> </w:t>
      </w:r>
      <w:r>
        <w:rPr>
          <w:rFonts w:eastAsiaTheme="minorHAnsi"/>
        </w:rPr>
        <w:t xml:space="preserve">The concentration of surfactants at which surfactants </w:t>
      </w:r>
      <w:r w:rsidR="00DA76BD">
        <w:rPr>
          <w:rFonts w:eastAsiaTheme="minorHAnsi"/>
        </w:rPr>
        <w:t>start</w:t>
      </w:r>
      <w:r>
        <w:rPr>
          <w:rFonts w:eastAsiaTheme="minorHAnsi"/>
        </w:rPr>
        <w:t xml:space="preserve"> forming micelles is </w:t>
      </w:r>
      <w:r w:rsidR="00DA76BD">
        <w:rPr>
          <w:rFonts w:eastAsiaTheme="minorHAnsi"/>
        </w:rPr>
        <w:t>called</w:t>
      </w:r>
      <w:r>
        <w:rPr>
          <w:rFonts w:eastAsiaTheme="minorHAnsi"/>
        </w:rPr>
        <w:t xml:space="preserve"> Critical Micelle Concentration (CMC).</w:t>
      </w:r>
      <w:r w:rsidR="00A333F4">
        <w:rPr>
          <w:rFonts w:eastAsiaTheme="minorHAnsi"/>
        </w:rPr>
        <w:t xml:space="preserve"> </w:t>
      </w:r>
      <w:r>
        <w:rPr>
          <w:rFonts w:eastAsiaTheme="minorHAnsi"/>
        </w:rPr>
        <w:t xml:space="preserve">Below the CMC, surface tension reduces with </w:t>
      </w:r>
      <w:r w:rsidR="00DA76BD">
        <w:rPr>
          <w:rFonts w:eastAsiaTheme="minorHAnsi"/>
        </w:rPr>
        <w:t xml:space="preserve">an </w:t>
      </w:r>
      <w:r>
        <w:rPr>
          <w:rFonts w:eastAsiaTheme="minorHAnsi"/>
        </w:rPr>
        <w:t>increase in surfactant concentration as more and more surfactant gets adsorbed at the surface.</w:t>
      </w:r>
      <w:r w:rsidR="00A333F4">
        <w:rPr>
          <w:rFonts w:eastAsiaTheme="minorHAnsi"/>
        </w:rPr>
        <w:t xml:space="preserve"> </w:t>
      </w:r>
      <w:r>
        <w:rPr>
          <w:rFonts w:eastAsiaTheme="minorHAnsi"/>
        </w:rPr>
        <w:t xml:space="preserve">Above the CMC, surface tension remains constant with </w:t>
      </w:r>
      <w:r w:rsidR="00DA76BD">
        <w:rPr>
          <w:rFonts w:eastAsiaTheme="minorHAnsi"/>
        </w:rPr>
        <w:t xml:space="preserve">an </w:t>
      </w:r>
      <w:r>
        <w:rPr>
          <w:rFonts w:eastAsiaTheme="minorHAnsi"/>
        </w:rPr>
        <w:t>increase in surfactant concentration</w:t>
      </w:r>
      <w:r w:rsidR="00DA76BD">
        <w:rPr>
          <w:rFonts w:eastAsiaTheme="minorHAnsi"/>
        </w:rPr>
        <w:t>,</w:t>
      </w:r>
      <w:r>
        <w:rPr>
          <w:rFonts w:eastAsiaTheme="minorHAnsi"/>
        </w:rPr>
        <w:t xml:space="preserve"> as </w:t>
      </w:r>
      <w:r w:rsidRPr="00B965D0">
        <w:rPr>
          <w:rFonts w:eastAsiaTheme="minorHAnsi"/>
        </w:rPr>
        <w:t xml:space="preserve">shown in </w:t>
      </w:r>
      <w:r w:rsidR="00B965D0" w:rsidRPr="00B965D0">
        <w:rPr>
          <w:rFonts w:eastAsiaTheme="minorHAnsi"/>
        </w:rPr>
        <w:fldChar w:fldCharType="begin"/>
      </w:r>
      <w:r w:rsidR="00B965D0" w:rsidRPr="00B965D0">
        <w:rPr>
          <w:rFonts w:eastAsiaTheme="minorHAnsi"/>
        </w:rPr>
        <w:instrText xml:space="preserve"> REF _Ref118681743 \h  \* MERGEFORMAT </w:instrText>
      </w:r>
      <w:r w:rsidR="00B965D0" w:rsidRPr="00B965D0">
        <w:rPr>
          <w:rFonts w:eastAsiaTheme="minorHAnsi"/>
        </w:rPr>
      </w:r>
      <w:r w:rsidR="00B965D0" w:rsidRPr="00B965D0">
        <w:rPr>
          <w:rFonts w:eastAsiaTheme="minorHAnsi"/>
        </w:rPr>
        <w:fldChar w:fldCharType="separate"/>
      </w:r>
      <w:r w:rsidR="002F3906" w:rsidRPr="00B965D0">
        <w:t xml:space="preserve">Figure </w:t>
      </w:r>
      <w:r w:rsidR="002F3906">
        <w:rPr>
          <w:noProof/>
        </w:rPr>
        <w:t>4</w:t>
      </w:r>
      <w:r w:rsidR="00B965D0" w:rsidRPr="00B965D0">
        <w:rPr>
          <w:rFonts w:eastAsiaTheme="minorHAnsi"/>
        </w:rPr>
        <w:fldChar w:fldCharType="end"/>
      </w:r>
      <w:r w:rsidR="00B965D0" w:rsidRPr="00B965D0">
        <w:rPr>
          <w:rFonts w:eastAsiaTheme="minorHAnsi"/>
        </w:rPr>
        <w:t>.</w:t>
      </w:r>
      <w:r w:rsidR="005734A3">
        <w:rPr>
          <w:rFonts w:eastAsiaTheme="minorHAnsi"/>
        </w:rPr>
        <w:t xml:space="preserve"> </w:t>
      </w:r>
      <w:r w:rsidR="004C2CA9">
        <w:rPr>
          <w:rFonts w:eastAsiaTheme="minorHAnsi"/>
        </w:rPr>
        <w:t>Measuring CMC for any surfactant</w:t>
      </w:r>
      <w:r w:rsidR="00D173ED">
        <w:rPr>
          <w:rFonts w:eastAsiaTheme="minorHAnsi"/>
        </w:rPr>
        <w:t xml:space="preserve"> solution</w:t>
      </w:r>
      <w:r w:rsidR="004C2CA9">
        <w:rPr>
          <w:rFonts w:eastAsiaTheme="minorHAnsi"/>
        </w:rPr>
        <w:t xml:space="preserve"> becomes critical in selecting the right concentration</w:t>
      </w:r>
      <w:r w:rsidR="00B326B1">
        <w:rPr>
          <w:rFonts w:eastAsiaTheme="minorHAnsi"/>
        </w:rPr>
        <w:t>. Any</w:t>
      </w:r>
      <w:r w:rsidR="004C2CA9">
        <w:rPr>
          <w:rFonts w:eastAsiaTheme="minorHAnsi"/>
        </w:rPr>
        <w:t xml:space="preserve"> concentration below CMC will not give </w:t>
      </w:r>
      <w:r w:rsidR="001C3910">
        <w:rPr>
          <w:rFonts w:eastAsiaTheme="minorHAnsi"/>
        </w:rPr>
        <w:t xml:space="preserve">an effective </w:t>
      </w:r>
      <w:r w:rsidR="004C2CA9">
        <w:rPr>
          <w:rFonts w:eastAsiaTheme="minorHAnsi"/>
        </w:rPr>
        <w:t xml:space="preserve">reduction </w:t>
      </w:r>
      <w:r w:rsidR="00B326B1">
        <w:rPr>
          <w:rFonts w:eastAsiaTheme="minorHAnsi"/>
        </w:rPr>
        <w:t>in</w:t>
      </w:r>
      <w:r w:rsidR="004C2CA9">
        <w:rPr>
          <w:rFonts w:eastAsiaTheme="minorHAnsi"/>
        </w:rPr>
        <w:t xml:space="preserve"> </w:t>
      </w:r>
      <w:r w:rsidR="00B326B1">
        <w:rPr>
          <w:rFonts w:eastAsiaTheme="minorHAnsi"/>
        </w:rPr>
        <w:t>IFT and</w:t>
      </w:r>
      <w:r w:rsidR="004C2CA9">
        <w:rPr>
          <w:rFonts w:eastAsiaTheme="minorHAnsi"/>
        </w:rPr>
        <w:t xml:space="preserve"> will reduce </w:t>
      </w:r>
      <w:r w:rsidR="00B326B1">
        <w:rPr>
          <w:rFonts w:eastAsiaTheme="minorHAnsi"/>
        </w:rPr>
        <w:t>its</w:t>
      </w:r>
      <w:r w:rsidR="004C2CA9">
        <w:rPr>
          <w:rFonts w:eastAsiaTheme="minorHAnsi"/>
        </w:rPr>
        <w:t xml:space="preserve"> efficacy</w:t>
      </w:r>
      <w:r w:rsidR="001C3910">
        <w:rPr>
          <w:rFonts w:eastAsiaTheme="minorHAnsi"/>
        </w:rPr>
        <w:t>.</w:t>
      </w:r>
    </w:p>
    <w:p w14:paraId="49435417" w14:textId="77777777" w:rsidR="00B965D0" w:rsidRDefault="00A07F1A" w:rsidP="00B965D0">
      <w:pPr>
        <w:keepNext/>
        <w:jc w:val="center"/>
      </w:pPr>
      <w:r>
        <w:rPr>
          <w:noProof/>
        </w:rPr>
        <w:lastRenderedPageBreak/>
        <w:drawing>
          <wp:inline distT="0" distB="0" distL="0" distR="0" wp14:anchorId="3ED2E786" wp14:editId="3C08DEC4">
            <wp:extent cx="4258733" cy="3156286"/>
            <wp:effectExtent l="0" t="0" r="0" b="635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1163" cy="3202555"/>
                    </a:xfrm>
                    <a:prstGeom prst="rect">
                      <a:avLst/>
                    </a:prstGeom>
                  </pic:spPr>
                </pic:pic>
              </a:graphicData>
            </a:graphic>
          </wp:inline>
        </w:drawing>
      </w:r>
    </w:p>
    <w:p w14:paraId="1997C8EB" w14:textId="576BD67B" w:rsidR="001203D4" w:rsidRDefault="00B965D0" w:rsidP="007B450C">
      <w:pPr>
        <w:pStyle w:val="NoSpacing"/>
        <w:jc w:val="center"/>
      </w:pPr>
      <w:bookmarkStart w:id="37" w:name="_Ref118681743"/>
      <w:bookmarkStart w:id="38" w:name="_Toc121470278"/>
      <w:r w:rsidRPr="00B965D0">
        <w:t xml:space="preserve">Figure </w:t>
      </w:r>
      <w:fldSimple w:instr=" SEQ Figure \* ARABIC ">
        <w:r w:rsidR="002F3906">
          <w:rPr>
            <w:noProof/>
          </w:rPr>
          <w:t>4</w:t>
        </w:r>
      </w:fldSimple>
      <w:bookmarkEnd w:id="37"/>
      <w:r>
        <w:t xml:space="preserve"> </w:t>
      </w:r>
      <w:r w:rsidRPr="00B965D0">
        <w:t>- Surface tension variation with increase in surfactant concertation</w:t>
      </w:r>
      <w:r w:rsidR="00CD1D9F">
        <w:t xml:space="preserve"> (Kruss 2022)</w:t>
      </w:r>
      <w:r w:rsidRPr="00B965D0">
        <w:t>.</w:t>
      </w:r>
      <w:bookmarkEnd w:id="38"/>
    </w:p>
    <w:p w14:paraId="247E0EF4" w14:textId="77777777" w:rsidR="007B450C" w:rsidRPr="001203D4" w:rsidRDefault="007B450C" w:rsidP="007B450C">
      <w:pPr>
        <w:pStyle w:val="NoSpacing"/>
      </w:pPr>
    </w:p>
    <w:p w14:paraId="47BF7BE8" w14:textId="05D0AD94" w:rsidR="00076ECA" w:rsidRPr="0019764D" w:rsidRDefault="00076ECA" w:rsidP="0019764D">
      <w:pPr>
        <w:pStyle w:val="Heading2"/>
      </w:pPr>
      <w:bookmarkStart w:id="39" w:name="_Toc121470238"/>
      <w:r w:rsidRPr="0019764D">
        <w:t>2.7 Surfactant Adsorptio</w:t>
      </w:r>
      <w:r w:rsidR="0019764D" w:rsidRPr="0019764D">
        <w:t>n</w:t>
      </w:r>
      <w:r w:rsidR="008A3FB8" w:rsidRPr="0019764D">
        <w:t xml:space="preserve"> and </w:t>
      </w:r>
      <w:r w:rsidR="006D2540" w:rsidRPr="0019764D">
        <w:t>Imbi</w:t>
      </w:r>
      <w:r w:rsidR="00DA727A" w:rsidRPr="0019764D">
        <w:t>bi</w:t>
      </w:r>
      <w:r w:rsidR="006D2540" w:rsidRPr="0019764D">
        <w:t xml:space="preserve">tion Studies </w:t>
      </w:r>
      <w:r w:rsidR="00E07373" w:rsidRPr="0019764D">
        <w:t>using Synthetic Surfactants</w:t>
      </w:r>
      <w:bookmarkEnd w:id="39"/>
    </w:p>
    <w:p w14:paraId="539E5724" w14:textId="77777777" w:rsidR="0019764D" w:rsidRDefault="0019764D" w:rsidP="0019764D">
      <w:r>
        <w:t xml:space="preserve">Surfactant adsorption decreases surface tension and increases oil recovery, but excess adsorption decreases the effect of surfactant solution as it moves inside the reservoir. This is why it becomes crucial to study surfactant adsorption for every surfactant before doing any field test. </w:t>
      </w:r>
    </w:p>
    <w:p w14:paraId="7C81DC9C" w14:textId="6FB35BF4" w:rsidR="0019764D" w:rsidRDefault="0019764D" w:rsidP="0019764D">
      <w:pPr>
        <w:ind w:firstLine="720"/>
      </w:pPr>
      <w:r>
        <w:t>Surfactant</w:t>
      </w:r>
      <w:r w:rsidRPr="00314C3F">
        <w:t xml:space="preserve"> adsorption depends on the reactivity between the charge of the surfactant solution and charges on the rock surface, which depends on various factors such as surfactant type, rock mineralogy, surfactant concentration, reservoir temperature, salinity, pressure, and pH (Azam et al. 2014; Baviere et al. 1988; Paria and Khilar 2004; Siracusa and Somasundaran 1987).</w:t>
      </w:r>
      <w:r>
        <w:t xml:space="preserve"> </w:t>
      </w:r>
      <w:r w:rsidR="006F3572">
        <w:t>Numerous s</w:t>
      </w:r>
      <w:r w:rsidRPr="00314C3F">
        <w:t>tudies have identified various reasons for surfactant adsorption</w:t>
      </w:r>
      <w:r>
        <w:t xml:space="preserve"> between surfactants and rock surface</w:t>
      </w:r>
      <w:r w:rsidRPr="00314C3F">
        <w:t xml:space="preserve">, which include ion exchange, ion association, hydrophobic bonding, dispersion forces, electrostatic </w:t>
      </w:r>
      <w:r w:rsidRPr="00092114">
        <w:t>attraction, van der Waals forces</w:t>
      </w:r>
      <w:r w:rsidR="009F7428">
        <w:t>,</w:t>
      </w:r>
      <w:r w:rsidRPr="00092114">
        <w:t xml:space="preserve"> and polarization of </w:t>
      </w:r>
      <w:r w:rsidRPr="00092114">
        <w:rPr>
          <w:rFonts w:ascii="Cambria Math" w:hAnsi="Cambria Math" w:cs="Cambria Math"/>
        </w:rPr>
        <w:t>𝜋</w:t>
      </w:r>
      <w:r w:rsidRPr="00092114">
        <w:t xml:space="preserve"> electrons</w:t>
      </w:r>
      <w:r w:rsidR="006F3572">
        <w:t xml:space="preserve"> (</w:t>
      </w:r>
      <w:r w:rsidR="006F3572" w:rsidRPr="00314C3F">
        <w:t>Paria and Khilar 2004; Zhang and Somasundaran 2006; Dang et al. 2011</w:t>
      </w:r>
      <w:r w:rsidR="006F3572">
        <w:t xml:space="preserve">; </w:t>
      </w:r>
      <w:r w:rsidR="006F3572" w:rsidRPr="00314C3F">
        <w:t>Kamal et al. 2017</w:t>
      </w:r>
      <w:r w:rsidR="006F3572">
        <w:t>)</w:t>
      </w:r>
      <w:r w:rsidRPr="00092114">
        <w:t>.</w:t>
      </w:r>
      <w:r>
        <w:t xml:space="preserve"> </w:t>
      </w:r>
      <w:r w:rsidRPr="00092114">
        <w:t xml:space="preserve">For nonionic </w:t>
      </w:r>
      <w:r w:rsidRPr="00092114">
        <w:lastRenderedPageBreak/>
        <w:t>surfactants,</w:t>
      </w:r>
      <w:r>
        <w:t xml:space="preserve"> </w:t>
      </w:r>
      <w:r w:rsidRPr="009B37A7">
        <w:rPr>
          <w:rFonts w:eastAsiaTheme="minorHAnsi"/>
        </w:rPr>
        <w:t>Nowrouzi et al. 2021 and Paternina et al. 2020</w:t>
      </w:r>
      <w:r>
        <w:rPr>
          <w:rFonts w:eastAsiaTheme="minorHAnsi"/>
        </w:rPr>
        <w:t xml:space="preserve"> </w:t>
      </w:r>
      <w:r>
        <w:t xml:space="preserve">identified </w:t>
      </w:r>
      <w:r w:rsidRPr="009B37A7">
        <w:t>hydrogen</w:t>
      </w:r>
      <w:r>
        <w:t xml:space="preserve"> bonding between the surfactant and hydroxyl group on the rock surface as the main reason for surfactant adsorption. </w:t>
      </w:r>
    </w:p>
    <w:p w14:paraId="3A7A71AA" w14:textId="1E2A4F0B" w:rsidR="00DB2FC2" w:rsidRDefault="003C0C0A" w:rsidP="0019764D">
      <w:pPr>
        <w:ind w:firstLine="720"/>
      </w:pPr>
      <w:r>
        <w:t xml:space="preserve">Anionic surfactants are preferred in sandstone reservoirs as they have </w:t>
      </w:r>
      <w:r w:rsidR="00D43F62">
        <w:t>least</w:t>
      </w:r>
      <w:r w:rsidR="00A52DE5">
        <w:t xml:space="preserve"> </w:t>
      </w:r>
      <w:r>
        <w:t xml:space="preserve">surfactant adsorption due to electrostatic repulsion between the negative charged </w:t>
      </w:r>
      <w:r w:rsidR="0034725A">
        <w:t xml:space="preserve">rock </w:t>
      </w:r>
      <w:r>
        <w:t xml:space="preserve">surface and </w:t>
      </w:r>
      <w:r w:rsidR="00C60BD4">
        <w:t>surfactant with negative charged head.</w:t>
      </w:r>
      <w:r w:rsidR="00A333F4">
        <w:t xml:space="preserve"> </w:t>
      </w:r>
      <w:r w:rsidR="0057141D">
        <w:t>Excess a</w:t>
      </w:r>
      <w:r w:rsidR="00C60BD4">
        <w:t xml:space="preserve">dsorption can still occur </w:t>
      </w:r>
      <w:r w:rsidR="0080492A">
        <w:t xml:space="preserve">in sandstones with high </w:t>
      </w:r>
      <w:r w:rsidR="00C60BD4">
        <w:t>illite or kaolinite</w:t>
      </w:r>
      <w:r w:rsidR="00FF4B7D">
        <w:t xml:space="preserve"> content</w:t>
      </w:r>
      <w:r w:rsidR="0080492A">
        <w:t>,</w:t>
      </w:r>
      <w:r w:rsidR="0080492A" w:rsidRPr="0080492A">
        <w:t xml:space="preserve"> </w:t>
      </w:r>
      <w:r w:rsidR="0080492A">
        <w:t xml:space="preserve">especially in reservoirs with high TDS and temperature. </w:t>
      </w:r>
      <w:r w:rsidR="00F14FA0">
        <w:t>S</w:t>
      </w:r>
      <w:r w:rsidR="00EA58F5">
        <w:t xml:space="preserve">tudy on </w:t>
      </w:r>
      <w:r w:rsidR="003D38C1">
        <w:t>B</w:t>
      </w:r>
      <w:r w:rsidR="00AA75F5">
        <w:t>erea</w:t>
      </w:r>
      <w:r w:rsidR="002B6366">
        <w:t xml:space="preserve"> </w:t>
      </w:r>
      <w:r w:rsidR="00613EFF">
        <w:t>sandstone</w:t>
      </w:r>
      <w:r w:rsidR="00AA75F5">
        <w:t>s</w:t>
      </w:r>
      <w:r w:rsidR="00613EFF">
        <w:t xml:space="preserve"> showed adsorption of 5 mg/gm-rock under high saline environment </w:t>
      </w:r>
      <w:r w:rsidR="000B3CAE">
        <w:t>with</w:t>
      </w:r>
      <w:r w:rsidR="00B21836">
        <w:t xml:space="preserve"> </w:t>
      </w:r>
      <w:r w:rsidR="00613EFF">
        <w:t>TDS greater than 300,000</w:t>
      </w:r>
      <w:r w:rsidR="008C7478">
        <w:t xml:space="preserve"> ppm</w:t>
      </w:r>
      <w:r w:rsidR="00613EFF">
        <w:t>.</w:t>
      </w:r>
      <w:r w:rsidR="00A333F4">
        <w:t xml:space="preserve"> </w:t>
      </w:r>
      <w:r w:rsidR="00613EFF">
        <w:t xml:space="preserve">The main reason for this adsorption was the presence of high number of cations in </w:t>
      </w:r>
      <w:r w:rsidR="00613EFF" w:rsidRPr="0010746D">
        <w:t xml:space="preserve">brine </w:t>
      </w:r>
      <w:r w:rsidR="00A31486">
        <w:t>which gets adsorbed on the rock surface</w:t>
      </w:r>
      <w:r w:rsidR="00F14FA0">
        <w:t xml:space="preserve"> </w:t>
      </w:r>
      <w:r w:rsidR="00613EFF" w:rsidRPr="0010746D">
        <w:t>(Budhathoki et al. 2016).</w:t>
      </w:r>
      <w:r w:rsidR="00A333F4">
        <w:t xml:space="preserve"> </w:t>
      </w:r>
      <w:r w:rsidR="00414D49">
        <w:t xml:space="preserve">Another study on </w:t>
      </w:r>
      <w:r w:rsidR="002E7CDC">
        <w:t>quartz-rich</w:t>
      </w:r>
      <w:r w:rsidR="001318BA">
        <w:t xml:space="preserve"> </w:t>
      </w:r>
      <w:r w:rsidR="00414D49">
        <w:t>sandstone</w:t>
      </w:r>
      <w:r w:rsidR="001318BA">
        <w:t>s</w:t>
      </w:r>
      <w:r w:rsidR="00D647B0">
        <w:t xml:space="preserve"> u</w:t>
      </w:r>
      <w:r w:rsidR="00B7720B">
        <w:t xml:space="preserve">sing anionic surfactant </w:t>
      </w:r>
      <w:r w:rsidR="00414D49">
        <w:t xml:space="preserve">showed </w:t>
      </w:r>
      <w:r w:rsidR="00B7720B">
        <w:t>that adsorption increases with increase in salinity</w:t>
      </w:r>
      <w:r w:rsidR="009537E5">
        <w:t xml:space="preserve"> </w:t>
      </w:r>
      <w:r w:rsidR="00244D02">
        <w:t>(Saxena et al. 2019)</w:t>
      </w:r>
      <w:r w:rsidR="00B7720B">
        <w:t>.</w:t>
      </w:r>
      <w:r w:rsidR="003E6FC4">
        <w:t xml:space="preserve"> Study on </w:t>
      </w:r>
      <w:r w:rsidR="002E7CDC">
        <w:t>illite-rich</w:t>
      </w:r>
      <w:r w:rsidR="003E6FC4">
        <w:t xml:space="preserve"> clay samples using anionic surfactants, showed lower adsorption in low and </w:t>
      </w:r>
      <w:r w:rsidR="002E7CDC">
        <w:t>medium-salinity</w:t>
      </w:r>
      <w:r w:rsidR="003E6FC4">
        <w:t xml:space="preserve"> brine</w:t>
      </w:r>
      <w:r w:rsidR="00A56A5F">
        <w:t xml:space="preserve"> </w:t>
      </w:r>
      <w:r w:rsidR="003E6FC4">
        <w:t>(</w:t>
      </w:r>
      <w:r w:rsidR="00C01682">
        <w:t xml:space="preserve">Ingrid </w:t>
      </w:r>
      <w:r w:rsidR="003E6FC4">
        <w:t>2014).</w:t>
      </w:r>
    </w:p>
    <w:p w14:paraId="230BD65B" w14:textId="4EDB9940" w:rsidR="00D17F68" w:rsidRDefault="0034725A" w:rsidP="00D17F68">
      <w:pPr>
        <w:ind w:firstLine="720"/>
      </w:pPr>
      <w:r>
        <w:t>Along with anionic surfactants, amphoteric surfactant</w:t>
      </w:r>
      <w:r w:rsidR="00591A55">
        <w:t>s</w:t>
      </w:r>
      <w:r>
        <w:t xml:space="preserve"> </w:t>
      </w:r>
      <w:r w:rsidR="00664ED7">
        <w:t xml:space="preserve">have </w:t>
      </w:r>
      <w:r>
        <w:t xml:space="preserve">also </w:t>
      </w:r>
      <w:r w:rsidR="00664ED7">
        <w:t xml:space="preserve">been </w:t>
      </w:r>
      <w:r w:rsidR="008B4AA0">
        <w:t>tested</w:t>
      </w:r>
      <w:r w:rsidR="0077195E">
        <w:t xml:space="preserve"> in</w:t>
      </w:r>
      <w:r>
        <w:t xml:space="preserve"> sandstone reservoirs.</w:t>
      </w:r>
      <w:r w:rsidR="00A333F4">
        <w:t xml:space="preserve"> </w:t>
      </w:r>
      <w:r w:rsidR="004E286A">
        <w:t>Adsorption</w:t>
      </w:r>
      <w:r w:rsidR="00911F98">
        <w:t xml:space="preserve"> study using two amphoteric surfactants at 95</w:t>
      </w:r>
      <w:r w:rsidR="00911F98" w:rsidRPr="00911F98">
        <w:rPr>
          <w:vertAlign w:val="superscript"/>
        </w:rPr>
        <w:t>o</w:t>
      </w:r>
      <w:r w:rsidR="00911F98">
        <w:t>C and 17</w:t>
      </w:r>
      <w:r w:rsidR="00D15C26">
        <w:t>0</w:t>
      </w:r>
      <w:r w:rsidR="009F7428">
        <w:t>,</w:t>
      </w:r>
      <w:r w:rsidR="00911F98">
        <w:t xml:space="preserve">000 TDS showed lower IFT </w:t>
      </w:r>
      <w:r w:rsidR="00D15C26">
        <w:t>and higher oil recovery than brine flooding (</w:t>
      </w:r>
      <w:r w:rsidR="00D15C26" w:rsidRPr="00D15C26">
        <w:rPr>
          <w:rFonts w:cs="Times New Roman"/>
          <w:color w:val="000000"/>
        </w:rPr>
        <w:t>Bataweel and Nasr-El-Din</w:t>
      </w:r>
      <w:r w:rsidR="00D15C26">
        <w:rPr>
          <w:rFonts w:cs="Times New Roman"/>
          <w:color w:val="000000"/>
        </w:rPr>
        <w:t>, 2012).</w:t>
      </w:r>
      <w:r w:rsidR="00A333F4">
        <w:rPr>
          <w:rFonts w:cs="Times New Roman"/>
          <w:color w:val="000000"/>
        </w:rPr>
        <w:t xml:space="preserve"> </w:t>
      </w:r>
      <w:r w:rsidR="00FF68F8">
        <w:t>S</w:t>
      </w:r>
      <w:r w:rsidR="00613EFF" w:rsidRPr="0010746D">
        <w:t>tudy on sandstone</w:t>
      </w:r>
      <w:r w:rsidR="0013219F">
        <w:t>s</w:t>
      </w:r>
      <w:r w:rsidR="00613EFF">
        <w:t xml:space="preserve"> </w:t>
      </w:r>
      <w:r w:rsidR="00164496">
        <w:t>(</w:t>
      </w:r>
      <w:r w:rsidR="0077498F">
        <w:t>89% quartz and 10% kaolinite</w:t>
      </w:r>
      <w:r w:rsidR="00164496">
        <w:t>)</w:t>
      </w:r>
      <w:r w:rsidR="0077498F">
        <w:t xml:space="preserve"> </w:t>
      </w:r>
      <w:r w:rsidR="00613EFF" w:rsidRPr="0010746D">
        <w:t xml:space="preserve">using amphoteric </w:t>
      </w:r>
      <w:r w:rsidR="00613EFF">
        <w:t>surfactant</w:t>
      </w:r>
      <w:r w:rsidR="00613EFF" w:rsidRPr="0010746D">
        <w:t xml:space="preserve">s showed 18.95% </w:t>
      </w:r>
      <w:r w:rsidR="00613EFF">
        <w:t xml:space="preserve">higher </w:t>
      </w:r>
      <w:r w:rsidR="00613EFF" w:rsidRPr="0010746D">
        <w:t xml:space="preserve">oil recovery </w:t>
      </w:r>
      <w:r w:rsidR="00613EFF">
        <w:t>than</w:t>
      </w:r>
      <w:r w:rsidR="00613EFF" w:rsidRPr="0010746D">
        <w:t xml:space="preserve"> brine</w:t>
      </w:r>
      <w:r w:rsidR="00613EFF">
        <w:t xml:space="preserve"> flooding</w:t>
      </w:r>
      <w:r w:rsidR="00414D49">
        <w:t xml:space="preserve"> </w:t>
      </w:r>
      <w:r w:rsidR="00613EFF" w:rsidRPr="0010746D">
        <w:t>(Kumar and Mandal 2019).</w:t>
      </w:r>
      <w:r w:rsidR="00A333F4">
        <w:t xml:space="preserve"> </w:t>
      </w:r>
      <w:r w:rsidR="00613EFF" w:rsidRPr="0010746D">
        <w:t xml:space="preserve">Studies </w:t>
      </w:r>
      <w:r w:rsidR="00613EFF">
        <w:t>have also shown</w:t>
      </w:r>
      <w:r w:rsidR="00613EFF" w:rsidRPr="0010746D">
        <w:t xml:space="preserve"> </w:t>
      </w:r>
      <w:r w:rsidR="00613EFF">
        <w:t xml:space="preserve">that </w:t>
      </w:r>
      <w:r w:rsidR="00613EFF" w:rsidRPr="0010746D">
        <w:t xml:space="preserve">amphoteric </w:t>
      </w:r>
      <w:r w:rsidR="00613EFF">
        <w:t>surfactant</w:t>
      </w:r>
      <w:r w:rsidR="00613EFF" w:rsidRPr="0010746D">
        <w:t>s</w:t>
      </w:r>
      <w:r w:rsidR="002E7CDC">
        <w:t>,</w:t>
      </w:r>
      <w:r w:rsidR="00613EFF" w:rsidRPr="0010746D">
        <w:t xml:space="preserve"> </w:t>
      </w:r>
      <w:r w:rsidR="00737037">
        <w:t xml:space="preserve">as compared to anionic surfactants, </w:t>
      </w:r>
      <w:r w:rsidR="00613EFF" w:rsidRPr="0010746D">
        <w:t>have higher stability and</w:t>
      </w:r>
      <w:r w:rsidR="00613EFF">
        <w:t xml:space="preserve"> </w:t>
      </w:r>
      <w:r w:rsidR="00613EFF" w:rsidRPr="0010746D">
        <w:t>solubility at high temperature, high salin</w:t>
      </w:r>
      <w:r w:rsidR="00613EFF">
        <w:t>ity</w:t>
      </w:r>
      <w:r w:rsidR="00613EFF" w:rsidRPr="0010746D">
        <w:t>, and wide range of pH conditions</w:t>
      </w:r>
      <w:r w:rsidR="008A13D2">
        <w:t xml:space="preserve"> (</w:t>
      </w:r>
      <w:r w:rsidR="008A13D2" w:rsidRPr="0010746D">
        <w:t>Cheng et al. 2019; Kamal et al. 2019; Miller et al. 2020</w:t>
      </w:r>
      <w:r w:rsidR="008A13D2">
        <w:t xml:space="preserve">; </w:t>
      </w:r>
      <w:r w:rsidR="008A13D2" w:rsidRPr="0010746D">
        <w:t xml:space="preserve">Wang </w:t>
      </w:r>
      <w:r w:rsidR="008A13D2">
        <w:t>et al.</w:t>
      </w:r>
      <w:r w:rsidR="008A13D2" w:rsidRPr="0010746D">
        <w:t xml:space="preserve"> 2015</w:t>
      </w:r>
      <w:r w:rsidR="008A13D2">
        <w:t>)</w:t>
      </w:r>
      <w:r w:rsidR="004E286A">
        <w:t>.</w:t>
      </w:r>
    </w:p>
    <w:p w14:paraId="4290C946" w14:textId="345851B0" w:rsidR="0019764D" w:rsidRDefault="0019764D" w:rsidP="0019764D">
      <w:pPr>
        <w:pStyle w:val="Heading2"/>
      </w:pPr>
      <w:bookmarkStart w:id="40" w:name="_Toc121470239"/>
      <w:r>
        <w:lastRenderedPageBreak/>
        <w:t xml:space="preserve">2.8 Surfactant Adsorption, Wettability Alteration, and Imbibition Studies using </w:t>
      </w:r>
      <w:r w:rsidR="0077195E">
        <w:t>Bios</w:t>
      </w:r>
      <w:r>
        <w:t>urfactant</w:t>
      </w:r>
      <w:r w:rsidR="0077195E">
        <w:t>s</w:t>
      </w:r>
      <w:bookmarkEnd w:id="40"/>
    </w:p>
    <w:p w14:paraId="18743280" w14:textId="1EBD5D8A" w:rsidR="007311C0" w:rsidRDefault="007D277E" w:rsidP="007D277E">
      <w:r>
        <w:t xml:space="preserve">Along with synthetic surfactants, biosurfactants can </w:t>
      </w:r>
      <w:r w:rsidR="0094357F">
        <w:t xml:space="preserve">also </w:t>
      </w:r>
      <w:r>
        <w:t>be used in conventional reservoirs</w:t>
      </w:r>
      <w:r w:rsidR="00DF3BBA">
        <w:t xml:space="preserve"> to increase oil recovery</w:t>
      </w:r>
      <w:r>
        <w:t xml:space="preserve">. </w:t>
      </w:r>
      <w:r w:rsidR="00BA7A14">
        <w:t xml:space="preserve">In carbonates, </w:t>
      </w:r>
      <w:r>
        <w:t>Saxena et al. 2017 and Madani et al.</w:t>
      </w:r>
      <w:r w:rsidR="00D848C1">
        <w:t xml:space="preserve"> </w:t>
      </w:r>
      <w:r>
        <w:t>2014 showed imbi</w:t>
      </w:r>
      <w:r w:rsidR="00CD5486">
        <w:t>bi</w:t>
      </w:r>
      <w:r>
        <w:t>tion of biosurfactant</w:t>
      </w:r>
      <w:r w:rsidR="00CD5486">
        <w:t>s</w:t>
      </w:r>
      <w:r>
        <w:t xml:space="preserve"> decreases contact angle</w:t>
      </w:r>
      <w:r w:rsidR="003B2EE8">
        <w:t xml:space="preserve"> from 17</w:t>
      </w:r>
      <w:r w:rsidR="00C812C9">
        <w:t>%</w:t>
      </w:r>
      <w:r w:rsidR="003B2EE8">
        <w:t xml:space="preserve"> to 75%</w:t>
      </w:r>
      <w:r>
        <w:t xml:space="preserve">. </w:t>
      </w:r>
      <w:r w:rsidR="00BA7A14">
        <w:t xml:space="preserve">Adsorption studies </w:t>
      </w:r>
      <w:r>
        <w:t xml:space="preserve">by Ahmadi et al. 2013 showed </w:t>
      </w:r>
      <w:r w:rsidR="00BA7A14">
        <w:t>4 mg-surfactant/gm-rock surfactant adsorption at 28</w:t>
      </w:r>
      <w:r w:rsidR="00BA7A14" w:rsidRPr="00EC1CB5">
        <w:rPr>
          <w:vertAlign w:val="superscript"/>
        </w:rPr>
        <w:t>o</w:t>
      </w:r>
      <w:r w:rsidR="00BA7A14">
        <w:t>C and 8 wt.% salinity. Another study by Haroon et al. 2017 showed 4.3 mg-surfactant/gm-rock at 50</w:t>
      </w:r>
      <w:r w:rsidR="00BA7A14" w:rsidRPr="00BF3FD3">
        <w:rPr>
          <w:vertAlign w:val="superscript"/>
        </w:rPr>
        <w:t>o</w:t>
      </w:r>
      <w:r w:rsidR="00BA7A14">
        <w:t xml:space="preserve">C. </w:t>
      </w:r>
      <w:r w:rsidR="002B6AF6">
        <w:t xml:space="preserve">Surfactant imbibition studies by Ahmadi et al. 2014 and Ravi et al. 2015 showed </w:t>
      </w:r>
      <w:r w:rsidR="00030B5E">
        <w:t>7% to 19.6%</w:t>
      </w:r>
      <w:r w:rsidR="002B6AF6">
        <w:t xml:space="preserve"> additional oil recovery as compared to brine. </w:t>
      </w:r>
      <w:r w:rsidR="007311C0">
        <w:t xml:space="preserve">Gomari et al. 2018 </w:t>
      </w:r>
      <w:r w:rsidR="002B6AF6">
        <w:t xml:space="preserve">also </w:t>
      </w:r>
      <w:r w:rsidR="007311C0">
        <w:rPr>
          <w:rFonts w:eastAsiaTheme="minorHAnsi"/>
        </w:rPr>
        <w:t xml:space="preserve">showed </w:t>
      </w:r>
      <w:r w:rsidR="00CA0541">
        <w:rPr>
          <w:rFonts w:eastAsiaTheme="minorHAnsi"/>
        </w:rPr>
        <w:t xml:space="preserve">low IFT </w:t>
      </w:r>
      <w:r w:rsidR="007311C0">
        <w:rPr>
          <w:rFonts w:eastAsiaTheme="minorHAnsi"/>
        </w:rPr>
        <w:t xml:space="preserve">using biosurfactants (rhamnolipids) because of </w:t>
      </w:r>
      <w:r w:rsidR="002B1007">
        <w:rPr>
          <w:rFonts w:eastAsiaTheme="minorHAnsi"/>
        </w:rPr>
        <w:t>increased</w:t>
      </w:r>
      <w:r w:rsidR="007311C0">
        <w:rPr>
          <w:rFonts w:eastAsiaTheme="minorHAnsi"/>
        </w:rPr>
        <w:t xml:space="preserve"> SO4</w:t>
      </w:r>
      <w:r w:rsidR="007311C0" w:rsidRPr="00E735F2">
        <w:rPr>
          <w:rFonts w:eastAsiaTheme="minorHAnsi"/>
          <w:vertAlign w:val="superscript"/>
        </w:rPr>
        <w:t>2-</w:t>
      </w:r>
      <w:r w:rsidR="007311C0">
        <w:rPr>
          <w:rFonts w:eastAsiaTheme="minorHAnsi"/>
        </w:rPr>
        <w:t xml:space="preserve"> ions</w:t>
      </w:r>
      <w:r w:rsidR="002E7CDC">
        <w:rPr>
          <w:rFonts w:eastAsiaTheme="minorHAnsi"/>
        </w:rPr>
        <w:t>,</w:t>
      </w:r>
      <w:r w:rsidR="007311C0">
        <w:rPr>
          <w:rFonts w:eastAsiaTheme="minorHAnsi"/>
        </w:rPr>
        <w:t xml:space="preserve"> as </w:t>
      </w:r>
      <w:r w:rsidR="007311C0">
        <w:t>these ions have higher affinity towards carbonates.</w:t>
      </w:r>
    </w:p>
    <w:p w14:paraId="7A4A20C2" w14:textId="5C47D404" w:rsidR="00252837" w:rsidRDefault="001E1E48" w:rsidP="00080887">
      <w:pPr>
        <w:ind w:firstLine="720"/>
      </w:pPr>
      <w:r>
        <w:t>S</w:t>
      </w:r>
      <w:r w:rsidR="00D848C1">
        <w:t xml:space="preserve">tudy by Elraies et al. 2010 showed biosurfactants reduce IFT.  </w:t>
      </w:r>
      <w:r w:rsidR="001F4585" w:rsidRPr="00425D43">
        <w:t>Nowrouzi et al. 2020</w:t>
      </w:r>
      <w:r w:rsidR="001F4585">
        <w:t xml:space="preserve"> </w:t>
      </w:r>
      <w:r w:rsidR="00EC0854">
        <w:t>showed imbibition of biosurfactant decreases contact angle</w:t>
      </w:r>
      <w:r w:rsidR="0010421B">
        <w:t xml:space="preserve"> in</w:t>
      </w:r>
      <w:r w:rsidR="00EC0854">
        <w:t xml:space="preserve"> sandstones</w:t>
      </w:r>
      <w:r w:rsidR="00062D41">
        <w:t xml:space="preserve"> </w:t>
      </w:r>
      <w:r w:rsidR="000B3AFB">
        <w:t>(53% quartz, 15% feldspars</w:t>
      </w:r>
      <w:r w:rsidR="002E7CDC">
        <w:t>,</w:t>
      </w:r>
      <w:r w:rsidR="000B3AFB">
        <w:t xml:space="preserve"> and 29% iron oxide)</w:t>
      </w:r>
      <w:r w:rsidR="0010421B">
        <w:t xml:space="preserve"> </w:t>
      </w:r>
      <w:r w:rsidR="00962B29">
        <w:t>from 28% to 88%</w:t>
      </w:r>
      <w:r w:rsidR="00EC0854">
        <w:t xml:space="preserve">. </w:t>
      </w:r>
      <w:r w:rsidR="001F4585">
        <w:t xml:space="preserve">Yekeen et al. 2020 </w:t>
      </w:r>
      <w:r w:rsidR="008A24DC">
        <w:t xml:space="preserve">also </w:t>
      </w:r>
      <w:r w:rsidR="001F4585">
        <w:t xml:space="preserve">showed </w:t>
      </w:r>
      <w:r w:rsidR="002E7CDC">
        <w:t xml:space="preserve">a </w:t>
      </w:r>
      <w:r w:rsidR="008A24DC">
        <w:t>decrease in contact angle</w:t>
      </w:r>
      <w:r w:rsidR="00FF766E">
        <w:t xml:space="preserve"> using</w:t>
      </w:r>
      <w:r w:rsidR="008A24DC">
        <w:t xml:space="preserve"> Berea sandstone</w:t>
      </w:r>
      <w:r w:rsidR="00032B93">
        <w:t xml:space="preserve">s </w:t>
      </w:r>
      <w:r w:rsidR="001F4585">
        <w:t xml:space="preserve">at </w:t>
      </w:r>
      <w:r w:rsidR="00032B93">
        <w:t>25</w:t>
      </w:r>
      <w:r w:rsidR="00032B93" w:rsidRPr="000D129E">
        <w:rPr>
          <w:vertAlign w:val="superscript"/>
        </w:rPr>
        <w:t>o</w:t>
      </w:r>
      <w:r w:rsidR="00032B93">
        <w:t xml:space="preserve">C and </w:t>
      </w:r>
      <w:r w:rsidR="001F4585">
        <w:t xml:space="preserve">5 wt.% salinity. </w:t>
      </w:r>
      <w:r w:rsidR="00252837">
        <w:t xml:space="preserve">Imbibition studies by Ravi et </w:t>
      </w:r>
      <w:r w:rsidR="00252837" w:rsidRPr="00425D43">
        <w:t>al. 2015; Nowrouzi et al. 2020</w:t>
      </w:r>
      <w:r w:rsidR="00252837">
        <w:t>;</w:t>
      </w:r>
      <w:r w:rsidR="00252837" w:rsidRPr="00425D43">
        <w:t xml:space="preserve"> Pillai et al.</w:t>
      </w:r>
      <w:r w:rsidR="00252837">
        <w:t xml:space="preserve"> 2020 showed 2% to 32% additional oil recovery using biosurfactants. Okoro et al. 2021 also showed 68.42% residual oil recovery at room temperature using sandstone samples from </w:t>
      </w:r>
      <w:r w:rsidR="002E7CDC">
        <w:t xml:space="preserve">the </w:t>
      </w:r>
      <w:r w:rsidR="00252837">
        <w:t xml:space="preserve">Gulf of Guinea. </w:t>
      </w:r>
    </w:p>
    <w:p w14:paraId="6323ECAE" w14:textId="7D69513C" w:rsidR="00D17F68" w:rsidRDefault="00AC56FE" w:rsidP="00422D7F">
      <w:pPr>
        <w:ind w:firstLine="720"/>
      </w:pPr>
      <w:r>
        <w:t xml:space="preserve">It is worth </w:t>
      </w:r>
      <w:r w:rsidR="00CD5486">
        <w:t>mentioning</w:t>
      </w:r>
      <w:r>
        <w:t xml:space="preserve"> that biosurfactants used in the current literature </w:t>
      </w:r>
      <w:r w:rsidR="00DB6AC6">
        <w:t>were</w:t>
      </w:r>
      <w:r>
        <w:t xml:space="preserve"> synthesized from many source</w:t>
      </w:r>
      <w:r w:rsidR="00A407C0">
        <w:t>s</w:t>
      </w:r>
      <w:r w:rsidR="00CD5486">
        <w:t>,</w:t>
      </w:r>
      <w:r w:rsidR="00A407C0">
        <w:t xml:space="preserve"> such as jatropha oil, coconut oil, pa</w:t>
      </w:r>
      <w:r w:rsidR="00A93E12">
        <w:t>lm</w:t>
      </w:r>
      <w:r w:rsidR="00A407C0">
        <w:t xml:space="preserve"> oil, </w:t>
      </w:r>
      <w:r w:rsidR="00CD5486">
        <w:t>soybean</w:t>
      </w:r>
      <w:r w:rsidR="00A407C0">
        <w:t>, soapnut</w:t>
      </w:r>
      <w:r w:rsidR="00CD5486">
        <w:t>,</w:t>
      </w:r>
      <w:r w:rsidR="00A407C0">
        <w:t xml:space="preserve"> and mulberry extracts. From the available studies, we can say biosurfactants significantly</w:t>
      </w:r>
      <w:r w:rsidR="00613EFF">
        <w:t xml:space="preserve"> reduce IFT</w:t>
      </w:r>
      <w:r w:rsidR="00A407C0">
        <w:t>, alter wettability and thus increase oil recovery in sandstones</w:t>
      </w:r>
      <w:r w:rsidR="00B22D20">
        <w:t xml:space="preserve"> and carbonates</w:t>
      </w:r>
      <w:r w:rsidR="00D17F68" w:rsidRPr="00D17F68">
        <w:t xml:space="preserve"> </w:t>
      </w:r>
      <w:r w:rsidR="00D17F68">
        <w:t xml:space="preserve">at </w:t>
      </w:r>
      <w:r w:rsidR="00792D55">
        <w:t>low</w:t>
      </w:r>
      <w:r w:rsidR="00D17F68">
        <w:t xml:space="preserve"> salinity and temperature.</w:t>
      </w:r>
    </w:p>
    <w:p w14:paraId="3731B784" w14:textId="39F1F3F8" w:rsidR="0029351E" w:rsidRDefault="00A407C0" w:rsidP="00C177D1">
      <w:pPr>
        <w:ind w:firstLine="720"/>
      </w:pPr>
      <w:r>
        <w:lastRenderedPageBreak/>
        <w:t xml:space="preserve">Atta et al. 2021 and Camara et al. 2019 </w:t>
      </w:r>
      <w:r w:rsidR="004E6EE7">
        <w:t>showed</w:t>
      </w:r>
      <w:r w:rsidR="00613EFF">
        <w:t xml:space="preserve"> </w:t>
      </w:r>
      <w:r>
        <w:t xml:space="preserve">biosurfactants </w:t>
      </w:r>
      <w:r w:rsidR="00273C66">
        <w:t>synthesized</w:t>
      </w:r>
      <w:r>
        <w:t xml:space="preserve"> from natural oil are </w:t>
      </w:r>
      <w:r w:rsidR="00CD5486">
        <w:t>stable</w:t>
      </w:r>
      <w:r w:rsidR="00613EFF">
        <w:t xml:space="preserve"> at high temperature and high saline conditions.</w:t>
      </w:r>
      <w:r w:rsidR="00A333F4">
        <w:t xml:space="preserve"> </w:t>
      </w:r>
      <w:r w:rsidR="00C177D1">
        <w:t xml:space="preserve">Along with </w:t>
      </w:r>
      <w:r w:rsidR="00535ED5">
        <w:t xml:space="preserve">being stable, </w:t>
      </w:r>
      <w:r w:rsidR="005D1111">
        <w:t>studies</w:t>
      </w:r>
      <w:r w:rsidR="00613EFF">
        <w:t xml:space="preserve"> by Ines and Dhouha 2015 and Gudina et al. 2015 </w:t>
      </w:r>
      <w:r w:rsidR="00C177D1">
        <w:t xml:space="preserve">showed biosurfactants have </w:t>
      </w:r>
      <w:r w:rsidR="00613EFF">
        <w:t>lower IFT</w:t>
      </w:r>
      <w:r w:rsidR="005C094C">
        <w:t xml:space="preserve"> and</w:t>
      </w:r>
      <w:r w:rsidR="00613EFF">
        <w:t xml:space="preserve"> lower Critical Micellar Concentration (CMC</w:t>
      </w:r>
      <w:r w:rsidR="005C094C">
        <w:t>)</w:t>
      </w:r>
      <w:r w:rsidR="00B176FB">
        <w:t>.</w:t>
      </w:r>
    </w:p>
    <w:p w14:paraId="07020A1F" w14:textId="0B427442" w:rsidR="00FF68F8" w:rsidRDefault="00EB14F4" w:rsidP="00A618BF">
      <w:pPr>
        <w:ind w:firstLine="720"/>
      </w:pPr>
      <w:r>
        <w:t>From the available studies</w:t>
      </w:r>
      <w:r w:rsidR="00830B05">
        <w:t>,</w:t>
      </w:r>
      <w:r w:rsidR="00D64356">
        <w:t xml:space="preserve"> </w:t>
      </w:r>
      <w:r>
        <w:t>it can be seen</w:t>
      </w:r>
      <w:r w:rsidR="00D64356">
        <w:t xml:space="preserve"> that </w:t>
      </w:r>
      <w:r>
        <w:t xml:space="preserve">the </w:t>
      </w:r>
      <w:r w:rsidR="00D64356">
        <w:t>anionic surfactants perform poorly in sandstone reservoirs with high TDS and temperature.</w:t>
      </w:r>
      <w:r w:rsidR="00A333F4">
        <w:t xml:space="preserve"> </w:t>
      </w:r>
      <w:r w:rsidR="00D64356">
        <w:t xml:space="preserve">Few studies have been done using amphoteric </w:t>
      </w:r>
      <w:r w:rsidR="00F94AB1">
        <w:t>surfactants</w:t>
      </w:r>
      <w:r w:rsidR="0076209B">
        <w:t>,</w:t>
      </w:r>
      <w:r w:rsidR="00EA39C2">
        <w:t xml:space="preserve"> and the results </w:t>
      </w:r>
      <w:r w:rsidR="0076209B">
        <w:t>look</w:t>
      </w:r>
      <w:r w:rsidR="00EA39C2">
        <w:t xml:space="preserve"> promising</w:t>
      </w:r>
      <w:r w:rsidR="0076209B">
        <w:t>,</w:t>
      </w:r>
      <w:r w:rsidR="00EA39C2">
        <w:t xml:space="preserve"> but </w:t>
      </w:r>
      <w:r w:rsidR="0076209B">
        <w:t>there are</w:t>
      </w:r>
      <w:r w:rsidR="00703903">
        <w:t xml:space="preserve"> </w:t>
      </w:r>
      <w:r w:rsidR="00F94AB1">
        <w:t xml:space="preserve">no standardized experimental </w:t>
      </w:r>
      <w:r w:rsidR="0076209B">
        <w:t>procedures</w:t>
      </w:r>
      <w:r w:rsidR="00F94AB1">
        <w:t xml:space="preserve"> to evaluate wettability, IFT alteration, imbibition, and adsorptio</w:t>
      </w:r>
      <w:r w:rsidR="00A85565">
        <w:t>n</w:t>
      </w:r>
      <w:r w:rsidR="00F94AB1">
        <w:t>.</w:t>
      </w:r>
      <w:r w:rsidR="00A333F4">
        <w:t xml:space="preserve"> </w:t>
      </w:r>
      <w:r w:rsidR="00F94AB1">
        <w:t>For biosurfactants</w:t>
      </w:r>
      <w:r w:rsidR="001E47D9">
        <w:t>,</w:t>
      </w:r>
      <w:r w:rsidR="00F94AB1">
        <w:t xml:space="preserve"> many </w:t>
      </w:r>
      <w:r w:rsidR="003951EE">
        <w:t>imbibition</w:t>
      </w:r>
      <w:r w:rsidR="00C85450">
        <w:t xml:space="preserve"> </w:t>
      </w:r>
      <w:r w:rsidR="00F94AB1">
        <w:t xml:space="preserve">studies have </w:t>
      </w:r>
      <w:r w:rsidR="00CA67E7">
        <w:t>shown</w:t>
      </w:r>
      <w:r w:rsidR="00F94AB1">
        <w:t xml:space="preserve"> </w:t>
      </w:r>
      <w:r w:rsidR="00B22D20">
        <w:t>they lower IFT, alter wettability and increase oil recovery</w:t>
      </w:r>
      <w:r w:rsidR="002B1007">
        <w:t>,</w:t>
      </w:r>
      <w:r w:rsidR="00B22D20">
        <w:t xml:space="preserve"> </w:t>
      </w:r>
      <w:r w:rsidR="00D17F68">
        <w:t xml:space="preserve">but most of these studies were </w:t>
      </w:r>
      <w:r w:rsidR="002B1007">
        <w:t>performed</w:t>
      </w:r>
      <w:r w:rsidR="00D17F68">
        <w:t xml:space="preserve"> at low salinity and temperature. </w:t>
      </w:r>
      <w:r w:rsidR="00C17AFE">
        <w:t xml:space="preserve">No </w:t>
      </w:r>
      <w:r w:rsidR="003068E2">
        <w:t>literature</w:t>
      </w:r>
      <w:r w:rsidR="000546A4">
        <w:t xml:space="preserve"> </w:t>
      </w:r>
      <w:r w:rsidR="00CD5486">
        <w:t xml:space="preserve">is </w:t>
      </w:r>
      <w:r w:rsidR="00D17F68">
        <w:t xml:space="preserve">currently </w:t>
      </w:r>
      <w:r w:rsidR="00CD5486">
        <w:t>available</w:t>
      </w:r>
      <w:r w:rsidR="003068E2">
        <w:t xml:space="preserve"> with </w:t>
      </w:r>
      <w:r w:rsidR="0050489F">
        <w:t xml:space="preserve">standardized </w:t>
      </w:r>
      <w:r w:rsidR="003068E2">
        <w:t>experimental measurements using plug samples</w:t>
      </w:r>
      <w:r w:rsidR="0062495B">
        <w:t xml:space="preserve"> at high temperature and TDS</w:t>
      </w:r>
      <w:r w:rsidR="008F5457">
        <w:t>,</w:t>
      </w:r>
      <w:r w:rsidR="0062495B">
        <w:t xml:space="preserve"> </w:t>
      </w:r>
      <w:r w:rsidR="00A618BF">
        <w:t>which shows</w:t>
      </w:r>
      <w:r w:rsidR="0062495B">
        <w:t xml:space="preserve"> the effect of salinity and temperature. </w:t>
      </w:r>
    </w:p>
    <w:p w14:paraId="5E19BB9B" w14:textId="7FFAB415" w:rsidR="00DB55B2" w:rsidRDefault="00A618BF" w:rsidP="001203D4">
      <w:pPr>
        <w:ind w:firstLine="720"/>
      </w:pPr>
      <w:r w:rsidRPr="00756AED">
        <w:t xml:space="preserve">This </w:t>
      </w:r>
      <w:r w:rsidR="0014083E">
        <w:t xml:space="preserve">study </w:t>
      </w:r>
      <w:r w:rsidRPr="00756AED">
        <w:t xml:space="preserve">will </w:t>
      </w:r>
      <w:r w:rsidR="00756AED" w:rsidRPr="00756AED">
        <w:t>test two synthetic surfactants (amphoteric) and one biosurfactant (nonionic) to understand wettability</w:t>
      </w:r>
      <w:r w:rsidR="00B61D1E">
        <w:t xml:space="preserve"> alteration</w:t>
      </w:r>
      <w:r w:rsidR="00756AED" w:rsidRPr="00756AED">
        <w:t>, IFT, surfactant adsorption, and its effect on oil recovery in Bone Spring sandstone formation</w:t>
      </w:r>
      <w:r w:rsidR="00FA7814">
        <w:t xml:space="preserve"> at high TDS and temperature.</w:t>
      </w:r>
      <w:r w:rsidR="00B20239">
        <w:t xml:space="preserve"> </w:t>
      </w:r>
      <w:r w:rsidR="00B135EB">
        <w:t xml:space="preserve">This formation was selected as it has been </w:t>
      </w:r>
      <w:r w:rsidR="00E50998">
        <w:t xml:space="preserve">previously </w:t>
      </w:r>
      <w:r w:rsidR="00B135EB">
        <w:t xml:space="preserve">identified a potential source </w:t>
      </w:r>
      <w:r w:rsidR="006437F7">
        <w:t>of</w:t>
      </w:r>
      <w:r w:rsidR="00B135EB">
        <w:t xml:space="preserve"> high oil and gas production</w:t>
      </w:r>
      <w:r w:rsidR="00812660">
        <w:t xml:space="preserve"> </w:t>
      </w:r>
      <w:r w:rsidR="00B135EB">
        <w:t>(</w:t>
      </w:r>
      <w:r w:rsidR="00812660">
        <w:t>Walsh 2006</w:t>
      </w:r>
      <w:r w:rsidR="00B135EB">
        <w:t xml:space="preserve">). </w:t>
      </w:r>
    </w:p>
    <w:p w14:paraId="399491FC" w14:textId="16A39E36" w:rsidR="00756AED" w:rsidRDefault="00756AED" w:rsidP="00DB55B2">
      <w:pPr>
        <w:spacing w:line="240" w:lineRule="auto"/>
        <w:jc w:val="left"/>
      </w:pPr>
    </w:p>
    <w:p w14:paraId="66AB8D0B" w14:textId="692B46A5" w:rsidR="002C635C" w:rsidRDefault="002C635C">
      <w:pPr>
        <w:spacing w:line="240" w:lineRule="auto"/>
        <w:jc w:val="left"/>
        <w:rPr>
          <w:rFonts w:eastAsiaTheme="majorEastAsia" w:cstheme="majorBidi"/>
          <w:b/>
          <w:color w:val="000000" w:themeColor="text1"/>
          <w:szCs w:val="32"/>
        </w:rPr>
      </w:pPr>
      <w:bookmarkStart w:id="41" w:name="_Toc118484062"/>
      <w:bookmarkStart w:id="42" w:name="_Toc118485274"/>
    </w:p>
    <w:p w14:paraId="4435FF15" w14:textId="77777777" w:rsidR="008024FF" w:rsidRDefault="008024FF">
      <w:pPr>
        <w:spacing w:line="240" w:lineRule="auto"/>
        <w:jc w:val="left"/>
        <w:rPr>
          <w:rFonts w:eastAsiaTheme="majorEastAsia" w:cstheme="majorBidi"/>
          <w:b/>
          <w:color w:val="000000" w:themeColor="text1"/>
          <w:szCs w:val="32"/>
        </w:rPr>
      </w:pPr>
      <w:r>
        <w:br w:type="page"/>
      </w:r>
    </w:p>
    <w:p w14:paraId="14829E20" w14:textId="149F741B" w:rsidR="00B05764" w:rsidRDefault="00EC60E5" w:rsidP="00B05764">
      <w:pPr>
        <w:pStyle w:val="Heading1"/>
      </w:pPr>
      <w:bookmarkStart w:id="43" w:name="_Toc121470240"/>
      <w:r>
        <w:lastRenderedPageBreak/>
        <w:t xml:space="preserve">: </w:t>
      </w:r>
      <w:r w:rsidR="0041631F">
        <w:t>Measurement</w:t>
      </w:r>
      <w:r w:rsidR="007B18F6">
        <w:t xml:space="preserve"> Procedure</w:t>
      </w:r>
      <w:r w:rsidR="0041631F">
        <w:t>s</w:t>
      </w:r>
      <w:bookmarkEnd w:id="41"/>
      <w:bookmarkEnd w:id="42"/>
      <w:bookmarkEnd w:id="43"/>
    </w:p>
    <w:p w14:paraId="1B80805A" w14:textId="2CDA82AE" w:rsidR="00524001" w:rsidRPr="00D25DC0" w:rsidRDefault="00524001" w:rsidP="00524001">
      <w:pPr>
        <w:rPr>
          <w:rFonts w:eastAsiaTheme="minorHAnsi"/>
        </w:rPr>
      </w:pPr>
      <w:bookmarkStart w:id="44" w:name="_Toc118484063"/>
      <w:bookmarkStart w:id="45" w:name="_Toc118485275"/>
      <w:r>
        <w:t xml:space="preserve">This </w:t>
      </w:r>
      <w:r w:rsidR="00393761">
        <w:t>chapter</w:t>
      </w:r>
      <w:r>
        <w:t xml:space="preserve"> describes</w:t>
      </w:r>
      <w:r w:rsidR="00D20B1D">
        <w:t xml:space="preserve"> experiments </w:t>
      </w:r>
      <w:r w:rsidR="00393761">
        <w:t>performed</w:t>
      </w:r>
      <w:r>
        <w:t xml:space="preserve"> to measure petrophysical and fluid properties on three sandstone sidewall plug samples, three </w:t>
      </w:r>
      <w:r w:rsidRPr="001133E3">
        <w:rPr>
          <w:rFonts w:eastAsiaTheme="minorHAnsi"/>
        </w:rPr>
        <w:t xml:space="preserve">commercially available </w:t>
      </w:r>
      <w:r>
        <w:rPr>
          <w:rFonts w:eastAsiaTheme="minorHAnsi"/>
        </w:rPr>
        <w:t>surfactant</w:t>
      </w:r>
      <w:r w:rsidRPr="001133E3">
        <w:rPr>
          <w:rFonts w:eastAsiaTheme="minorHAnsi"/>
        </w:rPr>
        <w:t>s</w:t>
      </w:r>
      <w:r>
        <w:rPr>
          <w:rFonts w:eastAsiaTheme="minorHAnsi"/>
        </w:rPr>
        <w:t>, crude oil</w:t>
      </w:r>
      <w:r w:rsidR="001F3370">
        <w:rPr>
          <w:rFonts w:eastAsiaTheme="minorHAnsi"/>
        </w:rPr>
        <w:t>,</w:t>
      </w:r>
      <w:r>
        <w:rPr>
          <w:rFonts w:eastAsiaTheme="minorHAnsi"/>
        </w:rPr>
        <w:t xml:space="preserve"> and produced brine from the well </w:t>
      </w:r>
      <w:r w:rsidR="00BD49B0">
        <w:rPr>
          <w:rFonts w:eastAsiaTheme="minorHAnsi"/>
        </w:rPr>
        <w:t>site</w:t>
      </w:r>
      <w:r>
        <w:rPr>
          <w:rFonts w:eastAsiaTheme="minorHAnsi"/>
        </w:rPr>
        <w:t>.</w:t>
      </w:r>
      <w:r w:rsidR="00A333F4">
        <w:rPr>
          <w:rFonts w:eastAsiaTheme="minorHAnsi"/>
        </w:rPr>
        <w:t xml:space="preserve"> </w:t>
      </w:r>
      <w:r w:rsidR="00113CE9">
        <w:rPr>
          <w:rFonts w:eastAsiaTheme="minorHAnsi"/>
        </w:rPr>
        <w:t xml:space="preserve">This </w:t>
      </w:r>
      <w:r w:rsidR="00652B8C">
        <w:rPr>
          <w:rFonts w:eastAsiaTheme="minorHAnsi"/>
        </w:rPr>
        <w:t>chapter</w:t>
      </w:r>
      <w:r w:rsidR="00113CE9">
        <w:rPr>
          <w:rFonts w:eastAsiaTheme="minorHAnsi"/>
        </w:rPr>
        <w:t xml:space="preserve"> also describes </w:t>
      </w:r>
      <w:r w:rsidR="00652B8C">
        <w:rPr>
          <w:rFonts w:eastAsiaTheme="minorHAnsi"/>
        </w:rPr>
        <w:t xml:space="preserve">the set of correlated experiments performed to understand the interactions between rock samples and surfactant solution to understand which type of surfactants perform better in </w:t>
      </w:r>
      <w:r w:rsidR="00216FD6">
        <w:rPr>
          <w:rFonts w:eastAsiaTheme="minorHAnsi"/>
        </w:rPr>
        <w:t>B</w:t>
      </w:r>
      <w:r w:rsidR="00D25DC0">
        <w:rPr>
          <w:rFonts w:eastAsiaTheme="minorHAnsi"/>
        </w:rPr>
        <w:t>one</w:t>
      </w:r>
      <w:r w:rsidR="00216FD6">
        <w:rPr>
          <w:rFonts w:eastAsiaTheme="minorHAnsi"/>
        </w:rPr>
        <w:t xml:space="preserve"> S</w:t>
      </w:r>
      <w:r w:rsidR="00D25DC0">
        <w:rPr>
          <w:rFonts w:eastAsiaTheme="minorHAnsi"/>
        </w:rPr>
        <w:t>pring sandstone</w:t>
      </w:r>
      <w:r w:rsidR="00011F31">
        <w:rPr>
          <w:rFonts w:eastAsiaTheme="minorHAnsi"/>
        </w:rPr>
        <w:t>s</w:t>
      </w:r>
      <w:r w:rsidR="00D25DC0">
        <w:rPr>
          <w:rFonts w:eastAsiaTheme="minorHAnsi"/>
        </w:rPr>
        <w:t xml:space="preserve"> with high TDS and temperature.</w:t>
      </w:r>
      <w:r w:rsidR="00A333F4">
        <w:rPr>
          <w:rFonts w:eastAsiaTheme="minorHAnsi"/>
        </w:rPr>
        <w:t xml:space="preserve"> </w:t>
      </w:r>
      <w:r w:rsidR="00D25DC0">
        <w:rPr>
          <w:rFonts w:eastAsiaTheme="minorHAnsi"/>
        </w:rPr>
        <w:t xml:space="preserve">Surfactant solutions were </w:t>
      </w:r>
      <w:r w:rsidR="00652B8C">
        <w:rPr>
          <w:rFonts w:eastAsiaTheme="minorHAnsi"/>
        </w:rPr>
        <w:t>analyze</w:t>
      </w:r>
      <w:r w:rsidR="00D25DC0">
        <w:rPr>
          <w:rFonts w:eastAsiaTheme="minorHAnsi"/>
        </w:rPr>
        <w:t>d</w:t>
      </w:r>
      <w:r w:rsidR="001F3370">
        <w:rPr>
          <w:rFonts w:eastAsiaTheme="minorHAnsi"/>
        </w:rPr>
        <w:t>,</w:t>
      </w:r>
      <w:r w:rsidR="00652B8C">
        <w:rPr>
          <w:rFonts w:eastAsiaTheme="minorHAnsi"/>
        </w:rPr>
        <w:t xml:space="preserve"> and </w:t>
      </w:r>
      <w:r w:rsidR="001F3370">
        <w:rPr>
          <w:rFonts w:eastAsiaTheme="minorHAnsi"/>
        </w:rPr>
        <w:t xml:space="preserve">the </w:t>
      </w:r>
      <w:r w:rsidR="00652B8C">
        <w:rPr>
          <w:rFonts w:eastAsiaTheme="minorHAnsi"/>
        </w:rPr>
        <w:t>efficiency of</w:t>
      </w:r>
      <w:r w:rsidR="00D25DC0">
        <w:rPr>
          <w:rFonts w:eastAsiaTheme="minorHAnsi"/>
        </w:rPr>
        <w:t xml:space="preserve"> these</w:t>
      </w:r>
      <w:r w:rsidR="00652B8C">
        <w:rPr>
          <w:rFonts w:eastAsiaTheme="minorHAnsi"/>
        </w:rPr>
        <w:t xml:space="preserve"> surfactants in altering wettability, </w:t>
      </w:r>
      <w:r w:rsidR="00D25DC0">
        <w:rPr>
          <w:rFonts w:eastAsiaTheme="minorHAnsi"/>
        </w:rPr>
        <w:t>adsorption</w:t>
      </w:r>
      <w:r w:rsidR="001F3370">
        <w:rPr>
          <w:rFonts w:eastAsiaTheme="minorHAnsi"/>
        </w:rPr>
        <w:t>,</w:t>
      </w:r>
      <w:r w:rsidR="00652B8C">
        <w:rPr>
          <w:rFonts w:eastAsiaTheme="minorHAnsi"/>
        </w:rPr>
        <w:t xml:space="preserve"> and recover</w:t>
      </w:r>
      <w:r w:rsidR="00D25DC0">
        <w:rPr>
          <w:rFonts w:eastAsiaTheme="minorHAnsi"/>
        </w:rPr>
        <w:t>ing hydrocarbon</w:t>
      </w:r>
      <w:r w:rsidR="00823D6E">
        <w:rPr>
          <w:rFonts w:eastAsiaTheme="minorHAnsi"/>
        </w:rPr>
        <w:t>s</w:t>
      </w:r>
      <w:r w:rsidR="00D25DC0">
        <w:rPr>
          <w:rFonts w:eastAsiaTheme="minorHAnsi"/>
        </w:rPr>
        <w:t xml:space="preserve"> from </w:t>
      </w:r>
      <w:r w:rsidR="00823D6E">
        <w:rPr>
          <w:rFonts w:eastAsiaTheme="minorHAnsi"/>
        </w:rPr>
        <w:t xml:space="preserve">sandstone samples </w:t>
      </w:r>
      <w:r w:rsidR="00C169B2">
        <w:rPr>
          <w:rFonts w:eastAsiaTheme="minorHAnsi"/>
        </w:rPr>
        <w:t xml:space="preserve">was studied. </w:t>
      </w:r>
    </w:p>
    <w:p w14:paraId="5B5219B7" w14:textId="2CB79FF7" w:rsidR="00B05764" w:rsidRDefault="00B05764" w:rsidP="0041631F">
      <w:pPr>
        <w:pStyle w:val="Heading2"/>
      </w:pPr>
      <w:bookmarkStart w:id="46" w:name="_Toc121470241"/>
      <w:r>
        <w:t xml:space="preserve">3.1 </w:t>
      </w:r>
      <w:r w:rsidR="0041631F">
        <w:t>Petrophysical Analysis</w:t>
      </w:r>
      <w:bookmarkEnd w:id="44"/>
      <w:bookmarkEnd w:id="45"/>
      <w:bookmarkEnd w:id="46"/>
    </w:p>
    <w:p w14:paraId="3F91764F" w14:textId="7BCD2605" w:rsidR="006438A5" w:rsidRPr="006438A5" w:rsidRDefault="001F3370" w:rsidP="006438A5">
      <w:r>
        <w:t>Petrophysical</w:t>
      </w:r>
      <w:r w:rsidR="005844E3">
        <w:t xml:space="preserve"> </w:t>
      </w:r>
      <w:r w:rsidR="008E1376">
        <w:t>properties</w:t>
      </w:r>
      <w:r w:rsidR="005844E3">
        <w:t xml:space="preserve"> </w:t>
      </w:r>
      <w:r w:rsidR="008E1376">
        <w:t>such as</w:t>
      </w:r>
      <w:r w:rsidR="00C577DC">
        <w:t xml:space="preserve"> mineralogy, porosity,</w:t>
      </w:r>
      <w:r w:rsidR="002E4B5F">
        <w:t xml:space="preserve"> and</w:t>
      </w:r>
      <w:r w:rsidR="00C577DC">
        <w:t xml:space="preserve"> </w:t>
      </w:r>
      <w:r w:rsidR="00CA365E">
        <w:t>Total Organic Content (</w:t>
      </w:r>
      <w:r w:rsidR="00BD2215">
        <w:t>TOC</w:t>
      </w:r>
      <w:r w:rsidR="00CA365E">
        <w:t>)</w:t>
      </w:r>
      <w:r w:rsidR="002E4B5F">
        <w:t xml:space="preserve"> </w:t>
      </w:r>
      <w:r w:rsidR="008E1376">
        <w:t xml:space="preserve">were measured </w:t>
      </w:r>
      <w:r w:rsidR="003811A0">
        <w:t>on three sandstone sidewall plug samples</w:t>
      </w:r>
      <w:r>
        <w:t xml:space="preserve"> for this study</w:t>
      </w:r>
      <w:r w:rsidR="008E1376">
        <w:t>.</w:t>
      </w:r>
    </w:p>
    <w:p w14:paraId="64D7D31B" w14:textId="67D3C4CE" w:rsidR="00B05764" w:rsidRDefault="00C577DC" w:rsidP="00C577DC">
      <w:pPr>
        <w:pStyle w:val="Heading3"/>
      </w:pPr>
      <w:bookmarkStart w:id="47" w:name="_Toc118484064"/>
      <w:bookmarkStart w:id="48" w:name="_Toc118485276"/>
      <w:bookmarkStart w:id="49" w:name="_Toc121470242"/>
      <w:r>
        <w:t>3.1.1 Mineralogy Measurements</w:t>
      </w:r>
      <w:bookmarkEnd w:id="47"/>
      <w:bookmarkEnd w:id="48"/>
      <w:bookmarkEnd w:id="49"/>
    </w:p>
    <w:p w14:paraId="6F906B31" w14:textId="76DC1A66" w:rsidR="00C577DC" w:rsidRDefault="00C577DC" w:rsidP="005B2BD4">
      <w:pPr>
        <w:rPr>
          <w:rFonts w:eastAsiaTheme="minorHAnsi"/>
        </w:rPr>
      </w:pPr>
      <w:r>
        <w:t xml:space="preserve">Mineralogy of the samples </w:t>
      </w:r>
      <w:r w:rsidR="001F3370">
        <w:t>was</w:t>
      </w:r>
      <w:r>
        <w:t xml:space="preserve"> measured using Fourier Transform Infrared Spectroscopy</w:t>
      </w:r>
      <w:r w:rsidR="00875061">
        <w:t xml:space="preserve"> </w:t>
      </w:r>
      <w:r w:rsidR="00875061" w:rsidRPr="00D85A60">
        <w:rPr>
          <w:rFonts w:eastAsiaTheme="minorHAnsi"/>
        </w:rPr>
        <w:t xml:space="preserve">(Sondergeld </w:t>
      </w:r>
      <w:r w:rsidR="00875061">
        <w:rPr>
          <w:rFonts w:eastAsiaTheme="minorHAnsi"/>
        </w:rPr>
        <w:t>&amp;</w:t>
      </w:r>
      <w:r w:rsidR="00875061" w:rsidRPr="00D85A60">
        <w:rPr>
          <w:rFonts w:eastAsiaTheme="minorHAnsi"/>
        </w:rPr>
        <w:t xml:space="preserve"> Rai 1993</w:t>
      </w:r>
      <w:r w:rsidR="00875061">
        <w:rPr>
          <w:rFonts w:eastAsiaTheme="minorHAnsi"/>
        </w:rPr>
        <w:t xml:space="preserve"> and </w:t>
      </w:r>
      <w:r w:rsidR="00875061" w:rsidRPr="00D85A60">
        <w:rPr>
          <w:rFonts w:eastAsiaTheme="minorHAnsi"/>
        </w:rPr>
        <w:t>Ballard 2007)</w:t>
      </w:r>
      <w:r w:rsidR="00875061">
        <w:t xml:space="preserve">. </w:t>
      </w:r>
      <w:r w:rsidRPr="00D85A60">
        <w:rPr>
          <w:rFonts w:eastAsiaTheme="minorHAnsi"/>
        </w:rPr>
        <w:t>This technique identifies sixteen different minerals</w:t>
      </w:r>
      <w:r>
        <w:rPr>
          <w:rFonts w:eastAsiaTheme="minorHAnsi"/>
        </w:rPr>
        <w:t>,</w:t>
      </w:r>
      <w:r w:rsidRPr="00D85A60">
        <w:rPr>
          <w:rFonts w:eastAsiaTheme="minorHAnsi"/>
        </w:rPr>
        <w:t xml:space="preserve"> namely, calcite, dolomite, siderite, pyrite, quartz, aragonite, </w:t>
      </w:r>
      <w:r>
        <w:rPr>
          <w:rFonts w:eastAsiaTheme="minorHAnsi"/>
        </w:rPr>
        <w:t>oligoclase</w:t>
      </w:r>
      <w:r w:rsidRPr="00D85A60">
        <w:rPr>
          <w:rFonts w:eastAsiaTheme="minorHAnsi"/>
        </w:rPr>
        <w:t>, orthoclase, kaolinite, chlorite, illite, smectite, apatite, mixed-layer clays, albite, and anhydrite by inverting the absorbance spectrum</w:t>
      </w:r>
      <w:r>
        <w:rPr>
          <w:rFonts w:eastAsiaTheme="minorHAnsi"/>
        </w:rPr>
        <w:t>.</w:t>
      </w:r>
    </w:p>
    <w:p w14:paraId="4E8F11F6" w14:textId="6CD4A8FE" w:rsidR="00E7476F" w:rsidRDefault="00303E94" w:rsidP="00E7476F">
      <w:pPr>
        <w:ind w:firstLine="720"/>
      </w:pPr>
      <w:r>
        <w:t>Samples are crushed into fine particles</w:t>
      </w:r>
      <w:r w:rsidR="00E7476F">
        <w:t xml:space="preserve"> </w:t>
      </w:r>
      <w:r>
        <w:t xml:space="preserve">and oxidized in a </w:t>
      </w:r>
      <w:r w:rsidR="001F3370">
        <w:t>low-temperature</w:t>
      </w:r>
      <w:r>
        <w:t xml:space="preserve"> plasma asher to remove organic matter</w:t>
      </w:r>
      <w:r w:rsidR="00C549F7">
        <w:t>.</w:t>
      </w:r>
      <w:r w:rsidR="00A333F4">
        <w:t xml:space="preserve"> </w:t>
      </w:r>
      <w:r w:rsidR="001F3370">
        <w:t>These organic carbon exhibits</w:t>
      </w:r>
      <w:r>
        <w:t xml:space="preserve"> strong peaks in </w:t>
      </w:r>
      <w:r w:rsidR="001F3370">
        <w:t xml:space="preserve">the </w:t>
      </w:r>
      <w:r>
        <w:t xml:space="preserve">mid-infrared </w:t>
      </w:r>
      <w:r w:rsidR="009969F9">
        <w:t>region</w:t>
      </w:r>
      <w:r w:rsidR="001F3370">
        <w:t>,</w:t>
      </w:r>
      <w:r w:rsidR="009969F9">
        <w:t xml:space="preserve"> which </w:t>
      </w:r>
      <w:r w:rsidR="001F3370">
        <w:t>overlap</w:t>
      </w:r>
      <w:r w:rsidR="009969F9">
        <w:t xml:space="preserve"> absorption peaks of other minerals.</w:t>
      </w:r>
      <w:r w:rsidR="00A333F4">
        <w:t xml:space="preserve"> </w:t>
      </w:r>
      <w:r w:rsidR="009969F9">
        <w:t>The ashed samples are then kept in oven at 100</w:t>
      </w:r>
      <w:r w:rsidR="009969F9" w:rsidRPr="009969F9">
        <w:rPr>
          <w:vertAlign w:val="superscript"/>
        </w:rPr>
        <w:t>o</w:t>
      </w:r>
      <w:r w:rsidR="009969F9">
        <w:t xml:space="preserve">C for </w:t>
      </w:r>
      <w:r w:rsidR="001F3370">
        <w:t>at least</w:t>
      </w:r>
      <w:r w:rsidR="009969F9">
        <w:t xml:space="preserve"> 4 hours before the measurement.</w:t>
      </w:r>
      <w:r w:rsidR="00A333F4">
        <w:t xml:space="preserve"> </w:t>
      </w:r>
      <w:r w:rsidR="009969F9">
        <w:t xml:space="preserve">0.3 gm of potassium bromide (KBr) is made into a 1 mm disc by placing </w:t>
      </w:r>
      <w:r w:rsidR="00826274">
        <w:t>it</w:t>
      </w:r>
      <w:r w:rsidR="009969F9">
        <w:t xml:space="preserve"> under vacuum compression.</w:t>
      </w:r>
      <w:r w:rsidR="00A333F4">
        <w:t xml:space="preserve"> </w:t>
      </w:r>
      <w:r w:rsidR="009969F9">
        <w:t>This disc is used as a background measurement.</w:t>
      </w:r>
      <w:r w:rsidR="00A333F4">
        <w:t xml:space="preserve"> </w:t>
      </w:r>
      <w:r w:rsidR="009969F9">
        <w:t>Then 0.0005 gm of sample</w:t>
      </w:r>
      <w:r w:rsidR="00C72E25">
        <w:t xml:space="preserve"> </w:t>
      </w:r>
      <w:r w:rsidR="00F42E87">
        <w:t xml:space="preserve">was </w:t>
      </w:r>
      <w:r w:rsidR="00C72E25">
        <w:t xml:space="preserve">measured using </w:t>
      </w:r>
      <w:r w:rsidR="00F42E87">
        <w:t xml:space="preserve">a </w:t>
      </w:r>
      <w:r w:rsidR="00C72E25">
        <w:t>highly sensitive weighing scale</w:t>
      </w:r>
      <w:r w:rsidR="00F42E87">
        <w:t>,</w:t>
      </w:r>
      <w:r w:rsidR="009969F9">
        <w:t xml:space="preserve"> </w:t>
      </w:r>
      <w:r w:rsidR="00C0013C">
        <w:lastRenderedPageBreak/>
        <w:t>and</w:t>
      </w:r>
      <w:r w:rsidR="009969F9">
        <w:t xml:space="preserve"> 0.3 gm of KBr </w:t>
      </w:r>
      <w:r w:rsidR="00F42E87">
        <w:t>was</w:t>
      </w:r>
      <w:r w:rsidR="00C0013C">
        <w:t xml:space="preserve"> mixed</w:t>
      </w:r>
      <w:r w:rsidR="009F0505">
        <w:t xml:space="preserve"> vigorously </w:t>
      </w:r>
      <w:r w:rsidR="00C0013C">
        <w:t>and made into a</w:t>
      </w:r>
      <w:r w:rsidR="00423BA1">
        <w:t>nother</w:t>
      </w:r>
      <w:r w:rsidR="000A0C91">
        <w:t xml:space="preserve"> </w:t>
      </w:r>
      <w:r w:rsidR="00C0013C">
        <w:t xml:space="preserve">disc under </w:t>
      </w:r>
      <w:r w:rsidR="00525FB6">
        <w:t xml:space="preserve">vacuum </w:t>
      </w:r>
      <w:r w:rsidR="00C0013C">
        <w:t>compression.</w:t>
      </w:r>
      <w:r w:rsidR="00A333F4">
        <w:t xml:space="preserve"> </w:t>
      </w:r>
      <w:r w:rsidR="00CF3999">
        <w:t xml:space="preserve">Both the background and sample </w:t>
      </w:r>
      <w:r w:rsidR="008A7D54">
        <w:t xml:space="preserve">discs </w:t>
      </w:r>
      <w:r w:rsidR="00CF3999">
        <w:t>are kept inside the Nicolet 6700 FTIR instrument for analysis.</w:t>
      </w:r>
      <w:r w:rsidR="00E7476F">
        <w:t xml:space="preserve"> A spectroscopy library containing spectra of minerals at different concentrations was used to identify and quantify mineralogy. </w:t>
      </w:r>
    </w:p>
    <w:p w14:paraId="4A89FCB3" w14:textId="357617EB" w:rsidR="00C577DC" w:rsidRDefault="004373B3" w:rsidP="00E7476F">
      <w:pPr>
        <w:pStyle w:val="Heading3"/>
        <w:numPr>
          <w:ilvl w:val="0"/>
          <w:numId w:val="0"/>
        </w:numPr>
      </w:pPr>
      <w:bookmarkStart w:id="50" w:name="_Toc118484065"/>
      <w:bookmarkStart w:id="51" w:name="_Toc118485277"/>
      <w:bookmarkStart w:id="52" w:name="_Toc121470243"/>
      <w:r>
        <w:t>3.1.2 Porosity Measurements</w:t>
      </w:r>
      <w:bookmarkEnd w:id="50"/>
      <w:bookmarkEnd w:id="51"/>
      <w:bookmarkEnd w:id="52"/>
    </w:p>
    <w:p w14:paraId="038F5FCC" w14:textId="70ECCC79" w:rsidR="002C590D" w:rsidRDefault="009A09C6" w:rsidP="005B2BD4">
      <w:pPr>
        <w:rPr>
          <w:rFonts w:eastAsiaTheme="minorHAnsi"/>
        </w:rPr>
      </w:pPr>
      <w:r w:rsidRPr="00D85A60">
        <w:rPr>
          <w:rFonts w:eastAsiaTheme="minorHAnsi"/>
        </w:rPr>
        <w:t xml:space="preserve">Total porosity </w:t>
      </w:r>
      <w:r>
        <w:rPr>
          <w:rFonts w:eastAsiaTheme="minorHAnsi"/>
        </w:rPr>
        <w:t xml:space="preserve">of </w:t>
      </w:r>
      <w:r w:rsidR="00883D76">
        <w:rPr>
          <w:rFonts w:eastAsiaTheme="minorHAnsi"/>
        </w:rPr>
        <w:t>plug</w:t>
      </w:r>
      <w:r>
        <w:rPr>
          <w:rFonts w:eastAsiaTheme="minorHAnsi"/>
        </w:rPr>
        <w:t xml:space="preserve"> samples </w:t>
      </w:r>
      <w:r w:rsidRPr="00D85A60">
        <w:rPr>
          <w:rFonts w:eastAsiaTheme="minorHAnsi"/>
        </w:rPr>
        <w:t xml:space="preserve">was </w:t>
      </w:r>
      <w:r>
        <w:rPr>
          <w:rFonts w:eastAsiaTheme="minorHAnsi"/>
        </w:rPr>
        <w:t>measured</w:t>
      </w:r>
      <w:r w:rsidRPr="00D85A60">
        <w:rPr>
          <w:rFonts w:eastAsiaTheme="minorHAnsi"/>
        </w:rPr>
        <w:t xml:space="preserve"> by adding </w:t>
      </w:r>
      <w:r>
        <w:rPr>
          <w:rFonts w:eastAsiaTheme="minorHAnsi"/>
        </w:rPr>
        <w:t>gas-filled</w:t>
      </w:r>
      <w:r w:rsidRPr="00D85A60">
        <w:rPr>
          <w:rFonts w:eastAsiaTheme="minorHAnsi"/>
        </w:rPr>
        <w:t xml:space="preserve"> porosity measured using helium porosimetr</w:t>
      </w:r>
      <w:r>
        <w:rPr>
          <w:rFonts w:eastAsiaTheme="minorHAnsi"/>
        </w:rPr>
        <w:t xml:space="preserve">y </w:t>
      </w:r>
      <w:r w:rsidRPr="00D85A60">
        <w:rPr>
          <w:rFonts w:eastAsiaTheme="minorHAnsi"/>
        </w:rPr>
        <w:t xml:space="preserve">and </w:t>
      </w:r>
      <w:r>
        <w:rPr>
          <w:rFonts w:eastAsiaTheme="minorHAnsi"/>
        </w:rPr>
        <w:t>bound-</w:t>
      </w:r>
      <w:r w:rsidRPr="00D85A60">
        <w:rPr>
          <w:rFonts w:eastAsiaTheme="minorHAnsi"/>
        </w:rPr>
        <w:t xml:space="preserve">liquid filled porosity measured using </w:t>
      </w:r>
      <w:r w:rsidR="001F3370">
        <w:rPr>
          <w:rFonts w:eastAsiaTheme="minorHAnsi"/>
        </w:rPr>
        <w:t xml:space="preserve">a </w:t>
      </w:r>
      <w:r>
        <w:rPr>
          <w:rFonts w:eastAsiaTheme="minorHAnsi"/>
        </w:rPr>
        <w:t>12</w:t>
      </w:r>
      <w:r w:rsidRPr="00D85A60">
        <w:rPr>
          <w:rFonts w:eastAsiaTheme="minorHAnsi"/>
        </w:rPr>
        <w:t xml:space="preserve">MHz </w:t>
      </w:r>
      <w:r>
        <w:rPr>
          <w:rFonts w:eastAsiaTheme="minorHAnsi"/>
        </w:rPr>
        <w:t xml:space="preserve">GeoSpec </w:t>
      </w:r>
      <w:r w:rsidRPr="00D85A60">
        <w:rPr>
          <w:rFonts w:eastAsiaTheme="minorHAnsi"/>
        </w:rPr>
        <w:t>Nuclear Magnetic Resonance</w:t>
      </w:r>
      <w:r>
        <w:rPr>
          <w:rFonts w:eastAsiaTheme="minorHAnsi"/>
        </w:rPr>
        <w:t xml:space="preserve"> </w:t>
      </w:r>
      <w:r w:rsidRPr="00D85A60">
        <w:rPr>
          <w:rFonts w:eastAsiaTheme="minorHAnsi"/>
        </w:rPr>
        <w:t>(NMR) </w:t>
      </w:r>
      <w:r>
        <w:rPr>
          <w:rFonts w:eastAsiaTheme="minorHAnsi"/>
        </w:rPr>
        <w:t>Spectrometer</w:t>
      </w:r>
      <w:r w:rsidR="00AA63F8">
        <w:rPr>
          <w:rFonts w:eastAsiaTheme="minorHAnsi"/>
        </w:rPr>
        <w:t>.</w:t>
      </w:r>
      <w:r w:rsidR="00A333F4">
        <w:rPr>
          <w:rFonts w:eastAsiaTheme="minorHAnsi"/>
        </w:rPr>
        <w:t xml:space="preserve"> </w:t>
      </w:r>
      <w:r w:rsidR="009D3974">
        <w:rPr>
          <w:rFonts w:eastAsiaTheme="minorHAnsi"/>
        </w:rPr>
        <w:t>Before starting the measurement, s</w:t>
      </w:r>
      <w:r w:rsidR="00937D38">
        <w:rPr>
          <w:rFonts w:eastAsiaTheme="minorHAnsi"/>
        </w:rPr>
        <w:t>amples were cleaned by soxhlet extraction using two solvents, first with cyclohexane for 48 hours and then with methanol for 48 hours</w:t>
      </w:r>
      <w:r w:rsidR="00AE555A">
        <w:rPr>
          <w:rFonts w:eastAsiaTheme="minorHAnsi"/>
        </w:rPr>
        <w:t>.</w:t>
      </w:r>
      <w:r w:rsidR="00A333F4">
        <w:rPr>
          <w:rFonts w:eastAsiaTheme="minorHAnsi"/>
        </w:rPr>
        <w:t xml:space="preserve"> </w:t>
      </w:r>
      <w:r w:rsidR="00AE555A">
        <w:rPr>
          <w:rFonts w:eastAsiaTheme="minorHAnsi"/>
        </w:rPr>
        <w:t>After cleaning, the samples</w:t>
      </w:r>
      <w:r w:rsidR="00937D38">
        <w:rPr>
          <w:rFonts w:eastAsiaTheme="minorHAnsi"/>
        </w:rPr>
        <w:t xml:space="preserve"> were dried in oven at </w:t>
      </w:r>
      <w:r w:rsidR="00937D38" w:rsidRPr="009B4C27">
        <w:rPr>
          <w:rFonts w:eastAsiaTheme="minorHAnsi"/>
        </w:rPr>
        <w:t xml:space="preserve">100 </w:t>
      </w:r>
      <w:r w:rsidR="00937D38" w:rsidRPr="009B4C27">
        <w:rPr>
          <w:rFonts w:eastAsiaTheme="minorHAnsi"/>
          <w:vertAlign w:val="superscript"/>
        </w:rPr>
        <w:t>o</w:t>
      </w:r>
      <w:r w:rsidR="00937D38">
        <w:rPr>
          <w:rFonts w:eastAsiaTheme="minorHAnsi"/>
        </w:rPr>
        <w:t>C</w:t>
      </w:r>
      <w:r w:rsidR="00937D38" w:rsidRPr="009B4C27">
        <w:rPr>
          <w:rFonts w:eastAsiaTheme="minorHAnsi"/>
        </w:rPr>
        <w:t xml:space="preserve"> for </w:t>
      </w:r>
      <w:r w:rsidR="00937D38">
        <w:rPr>
          <w:rFonts w:eastAsiaTheme="minorHAnsi"/>
        </w:rPr>
        <w:t>5 to 7 days</w:t>
      </w:r>
      <w:r w:rsidR="00937D38" w:rsidRPr="009B4C27">
        <w:rPr>
          <w:rFonts w:eastAsiaTheme="minorHAnsi"/>
        </w:rPr>
        <w:t xml:space="preserve"> until their weights stabilized</w:t>
      </w:r>
      <w:r w:rsidR="009D3974">
        <w:rPr>
          <w:rFonts w:eastAsiaTheme="minorHAnsi"/>
        </w:rPr>
        <w:t>.</w:t>
      </w:r>
    </w:p>
    <w:p w14:paraId="646FBA0B" w14:textId="24C27748" w:rsidR="00E70508" w:rsidRDefault="00053E7A" w:rsidP="000A0C91">
      <w:pPr>
        <w:pStyle w:val="Heading3"/>
        <w:rPr>
          <w:rFonts w:eastAsiaTheme="minorHAnsi"/>
        </w:rPr>
      </w:pPr>
      <w:bookmarkStart w:id="53" w:name="_Toc118484066"/>
      <w:bookmarkStart w:id="54" w:name="_Toc118485278"/>
      <w:bookmarkStart w:id="55" w:name="_Toc121470244"/>
      <w:r>
        <w:rPr>
          <w:rFonts w:eastAsiaTheme="minorHAnsi"/>
        </w:rPr>
        <w:t xml:space="preserve">3.1.3 </w:t>
      </w:r>
      <w:r w:rsidR="0055200A">
        <w:rPr>
          <w:rFonts w:eastAsiaTheme="minorHAnsi"/>
        </w:rPr>
        <w:t>Total Organic Content</w:t>
      </w:r>
      <w:r>
        <w:rPr>
          <w:rFonts w:eastAsiaTheme="minorHAnsi"/>
        </w:rPr>
        <w:t xml:space="preserve"> Measurements</w:t>
      </w:r>
      <w:bookmarkEnd w:id="53"/>
      <w:bookmarkEnd w:id="54"/>
      <w:bookmarkEnd w:id="55"/>
    </w:p>
    <w:p w14:paraId="7121DD0D" w14:textId="09C6EA7E" w:rsidR="00053E7A" w:rsidRPr="00053E7A" w:rsidRDefault="005771D6" w:rsidP="005B2BD4">
      <w:pPr>
        <w:rPr>
          <w:rFonts w:eastAsiaTheme="minorHAnsi"/>
        </w:rPr>
      </w:pPr>
      <w:r w:rsidRPr="00D85A60">
        <w:rPr>
          <w:rFonts w:eastAsiaTheme="minorHAnsi"/>
        </w:rPr>
        <w:t xml:space="preserve">TOC was measured using </w:t>
      </w:r>
      <w:r w:rsidR="00F06BCC">
        <w:rPr>
          <w:rFonts w:eastAsiaTheme="minorHAnsi"/>
        </w:rPr>
        <w:t xml:space="preserve">the </w:t>
      </w:r>
      <w:r w:rsidRPr="00D85A60">
        <w:rPr>
          <w:rFonts w:eastAsiaTheme="minorHAnsi"/>
        </w:rPr>
        <w:t>dry pyrolysis technique</w:t>
      </w:r>
      <w:r>
        <w:rPr>
          <w:rFonts w:eastAsiaTheme="minorHAnsi"/>
        </w:rPr>
        <w:t xml:space="preserve"> </w:t>
      </w:r>
      <w:r w:rsidRPr="00D85A60">
        <w:rPr>
          <w:rFonts w:eastAsiaTheme="minorHAnsi"/>
        </w:rPr>
        <w:t>(Law 1999)</w:t>
      </w:r>
      <w:r>
        <w:rPr>
          <w:rFonts w:eastAsiaTheme="minorHAnsi"/>
        </w:rPr>
        <w:t>.</w:t>
      </w:r>
      <w:r w:rsidR="00A333F4">
        <w:rPr>
          <w:rFonts w:eastAsiaTheme="minorHAnsi"/>
        </w:rPr>
        <w:t xml:space="preserve"> </w:t>
      </w:r>
      <w:r w:rsidR="0096685C">
        <w:rPr>
          <w:rFonts w:eastAsiaTheme="minorHAnsi"/>
        </w:rPr>
        <w:t>S</w:t>
      </w:r>
      <w:r w:rsidRPr="00D85A60">
        <w:rPr>
          <w:rFonts w:eastAsiaTheme="minorHAnsi"/>
        </w:rPr>
        <w:t xml:space="preserve">amples were crushed </w:t>
      </w:r>
      <w:r w:rsidR="00F06BCC">
        <w:rPr>
          <w:rFonts w:eastAsiaTheme="minorHAnsi"/>
        </w:rPr>
        <w:t>into</w:t>
      </w:r>
      <w:r w:rsidRPr="00D85A60">
        <w:rPr>
          <w:rFonts w:eastAsiaTheme="minorHAnsi"/>
        </w:rPr>
        <w:t xml:space="preserve"> fine particles (35 mesh)</w:t>
      </w:r>
      <w:r w:rsidR="0076006B">
        <w:rPr>
          <w:rFonts w:eastAsiaTheme="minorHAnsi"/>
        </w:rPr>
        <w:t xml:space="preserve">. </w:t>
      </w:r>
      <w:r w:rsidR="00A8259D">
        <w:rPr>
          <w:rFonts w:eastAsiaTheme="minorHAnsi"/>
        </w:rPr>
        <w:t>One</w:t>
      </w:r>
      <w:r w:rsidR="0076006B">
        <w:rPr>
          <w:rFonts w:eastAsiaTheme="minorHAnsi"/>
        </w:rPr>
        <w:t xml:space="preserve"> gm of sample was </w:t>
      </w:r>
      <w:r w:rsidR="00A8259D">
        <w:rPr>
          <w:rFonts w:eastAsiaTheme="minorHAnsi"/>
        </w:rPr>
        <w:t xml:space="preserve">first </w:t>
      </w:r>
      <w:r w:rsidRPr="00D85A60">
        <w:rPr>
          <w:rFonts w:eastAsiaTheme="minorHAnsi"/>
        </w:rPr>
        <w:t>acidized</w:t>
      </w:r>
      <w:r w:rsidR="0096685C">
        <w:rPr>
          <w:rFonts w:eastAsiaTheme="minorHAnsi"/>
        </w:rPr>
        <w:t xml:space="preserve"> with 35% hydrochloric acid to remove carbonates</w:t>
      </w:r>
      <w:r w:rsidR="0076006B">
        <w:rPr>
          <w:rFonts w:eastAsiaTheme="minorHAnsi"/>
        </w:rPr>
        <w:t>.</w:t>
      </w:r>
      <w:r w:rsidR="00A333F4">
        <w:rPr>
          <w:rFonts w:eastAsiaTheme="minorHAnsi"/>
        </w:rPr>
        <w:t xml:space="preserve"> </w:t>
      </w:r>
      <w:r w:rsidR="0076006B">
        <w:rPr>
          <w:rFonts w:eastAsiaTheme="minorHAnsi"/>
        </w:rPr>
        <w:t xml:space="preserve">Then the sample was </w:t>
      </w:r>
      <w:r w:rsidR="0096685C">
        <w:rPr>
          <w:rFonts w:eastAsiaTheme="minorHAnsi"/>
        </w:rPr>
        <w:t>rinsed with deionized water to remove acid residues</w:t>
      </w:r>
      <w:r w:rsidR="0076006B">
        <w:rPr>
          <w:rFonts w:eastAsiaTheme="minorHAnsi"/>
        </w:rPr>
        <w:t xml:space="preserve"> and</w:t>
      </w:r>
      <w:r w:rsidR="0096685C">
        <w:rPr>
          <w:rFonts w:eastAsiaTheme="minorHAnsi"/>
        </w:rPr>
        <w:t xml:space="preserve"> </w:t>
      </w:r>
      <w:r w:rsidRPr="00D85A60">
        <w:rPr>
          <w:rFonts w:eastAsiaTheme="minorHAnsi"/>
        </w:rPr>
        <w:t>dried</w:t>
      </w:r>
      <w:r w:rsidR="0096685C">
        <w:rPr>
          <w:rFonts w:eastAsiaTheme="minorHAnsi"/>
        </w:rPr>
        <w:t xml:space="preserve"> in oven at </w:t>
      </w:r>
      <w:r w:rsidR="0096685C" w:rsidRPr="009B4C27">
        <w:rPr>
          <w:rFonts w:eastAsiaTheme="minorHAnsi"/>
        </w:rPr>
        <w:t xml:space="preserve">100 </w:t>
      </w:r>
      <w:r w:rsidR="0096685C" w:rsidRPr="009B4C27">
        <w:rPr>
          <w:rFonts w:eastAsiaTheme="minorHAnsi"/>
          <w:vertAlign w:val="superscript"/>
        </w:rPr>
        <w:t>o</w:t>
      </w:r>
      <w:r w:rsidR="0096685C">
        <w:rPr>
          <w:rFonts w:eastAsiaTheme="minorHAnsi"/>
        </w:rPr>
        <w:t>C for 15 minutes</w:t>
      </w:r>
      <w:r w:rsidR="0076006B">
        <w:rPr>
          <w:rFonts w:eastAsiaTheme="minorHAnsi"/>
        </w:rPr>
        <w:t>.</w:t>
      </w:r>
      <w:r w:rsidR="00A333F4">
        <w:rPr>
          <w:rFonts w:eastAsiaTheme="minorHAnsi"/>
        </w:rPr>
        <w:t xml:space="preserve"> </w:t>
      </w:r>
      <w:r w:rsidR="0076006B">
        <w:rPr>
          <w:rFonts w:eastAsiaTheme="minorHAnsi"/>
        </w:rPr>
        <w:t>Next</w:t>
      </w:r>
      <w:r w:rsidR="00F06BCC">
        <w:rPr>
          <w:rFonts w:eastAsiaTheme="minorHAnsi"/>
        </w:rPr>
        <w:t>,</w:t>
      </w:r>
      <w:r w:rsidR="0076006B">
        <w:rPr>
          <w:rFonts w:eastAsiaTheme="minorHAnsi"/>
        </w:rPr>
        <w:t xml:space="preserve"> the sample was</w:t>
      </w:r>
      <w:r w:rsidRPr="00D85A60">
        <w:rPr>
          <w:rFonts w:eastAsiaTheme="minorHAnsi"/>
        </w:rPr>
        <w:t xml:space="preserve"> </w:t>
      </w:r>
      <w:r>
        <w:rPr>
          <w:rFonts w:eastAsiaTheme="minorHAnsi"/>
        </w:rPr>
        <w:t>combusted</w:t>
      </w:r>
      <w:r w:rsidRPr="00D85A60">
        <w:rPr>
          <w:rFonts w:eastAsiaTheme="minorHAnsi"/>
        </w:rPr>
        <w:t xml:space="preserve"> inside the apparatus to measure TOC by wt</w:t>
      </w:r>
      <w:r>
        <w:rPr>
          <w:rFonts w:eastAsiaTheme="minorHAnsi"/>
        </w:rPr>
        <w:t>.</w:t>
      </w:r>
      <w:r w:rsidRPr="00D85A60">
        <w:rPr>
          <w:rFonts w:eastAsiaTheme="minorHAnsi"/>
        </w:rPr>
        <w:t xml:space="preserve">% </w:t>
      </w:r>
      <w:r>
        <w:rPr>
          <w:rFonts w:eastAsiaTheme="minorHAnsi"/>
        </w:rPr>
        <w:t xml:space="preserve">using </w:t>
      </w:r>
      <w:r w:rsidR="00793F3F">
        <w:rPr>
          <w:rFonts w:eastAsiaTheme="minorHAnsi"/>
        </w:rPr>
        <w:t xml:space="preserve">a </w:t>
      </w:r>
      <w:r w:rsidR="00073733">
        <w:rPr>
          <w:rFonts w:eastAsiaTheme="minorHAnsi"/>
        </w:rPr>
        <w:t xml:space="preserve">LECO 230 </w:t>
      </w:r>
      <w:r>
        <w:rPr>
          <w:rFonts w:eastAsiaTheme="minorHAnsi"/>
        </w:rPr>
        <w:t>Carbon Analyzer</w:t>
      </w:r>
      <w:r w:rsidR="00FD451E">
        <w:rPr>
          <w:rFonts w:eastAsiaTheme="minorHAnsi"/>
        </w:rPr>
        <w:t xml:space="preserve">. </w:t>
      </w:r>
      <w:r w:rsidR="00073733">
        <w:rPr>
          <w:rFonts w:eastAsiaTheme="minorHAnsi"/>
        </w:rPr>
        <w:t xml:space="preserve">LECO </w:t>
      </w:r>
      <w:r w:rsidR="0096685C">
        <w:rPr>
          <w:rFonts w:eastAsiaTheme="minorHAnsi"/>
        </w:rPr>
        <w:t>measures TOC by combustion</w:t>
      </w:r>
      <w:r w:rsidR="0076006B">
        <w:rPr>
          <w:rFonts w:eastAsiaTheme="minorHAnsi"/>
        </w:rPr>
        <w:t xml:space="preserve"> of organic matter </w:t>
      </w:r>
      <w:r w:rsidR="00C17251">
        <w:rPr>
          <w:rFonts w:eastAsiaTheme="minorHAnsi"/>
        </w:rPr>
        <w:t>present inside the sample</w:t>
      </w:r>
      <w:r w:rsidR="00F06BCC">
        <w:rPr>
          <w:rFonts w:eastAsiaTheme="minorHAnsi"/>
        </w:rPr>
        <w:t>,</w:t>
      </w:r>
      <w:r w:rsidR="00C17251">
        <w:rPr>
          <w:rFonts w:eastAsiaTheme="minorHAnsi"/>
        </w:rPr>
        <w:t xml:space="preserve"> </w:t>
      </w:r>
      <w:r w:rsidR="0076006B">
        <w:rPr>
          <w:rFonts w:eastAsiaTheme="minorHAnsi"/>
        </w:rPr>
        <w:t>which generates</w:t>
      </w:r>
      <w:r w:rsidR="0096685C">
        <w:rPr>
          <w:rFonts w:eastAsiaTheme="minorHAnsi"/>
        </w:rPr>
        <w:t xml:space="preserve"> carbon dioxide</w:t>
      </w:r>
      <w:r w:rsidR="00AB2FB1">
        <w:rPr>
          <w:rFonts w:eastAsiaTheme="minorHAnsi"/>
        </w:rPr>
        <w:t>,</w:t>
      </w:r>
      <w:r w:rsidR="0096685C">
        <w:rPr>
          <w:rFonts w:eastAsiaTheme="minorHAnsi"/>
        </w:rPr>
        <w:t xml:space="preserve"> </w:t>
      </w:r>
      <w:r w:rsidR="00C17251">
        <w:rPr>
          <w:rFonts w:eastAsiaTheme="minorHAnsi"/>
        </w:rPr>
        <w:t xml:space="preserve">which is converted to TOC by </w:t>
      </w:r>
      <w:r w:rsidR="00C17251" w:rsidRPr="00D85A60">
        <w:rPr>
          <w:rFonts w:eastAsiaTheme="minorHAnsi"/>
        </w:rPr>
        <w:t>wt</w:t>
      </w:r>
      <w:r w:rsidR="00C17251">
        <w:rPr>
          <w:rFonts w:eastAsiaTheme="minorHAnsi"/>
        </w:rPr>
        <w:t>.</w:t>
      </w:r>
      <w:r w:rsidR="00C17251" w:rsidRPr="00D85A60">
        <w:rPr>
          <w:rFonts w:eastAsiaTheme="minorHAnsi"/>
        </w:rPr>
        <w:t>%</w:t>
      </w:r>
      <w:r w:rsidR="00C17251">
        <w:rPr>
          <w:rFonts w:eastAsiaTheme="minorHAnsi"/>
        </w:rPr>
        <w:t>.</w:t>
      </w:r>
    </w:p>
    <w:p w14:paraId="212192C7" w14:textId="729CBEA6" w:rsidR="00130EA6" w:rsidRDefault="00C84813" w:rsidP="00C84813">
      <w:pPr>
        <w:pStyle w:val="Heading2"/>
        <w:rPr>
          <w:rFonts w:eastAsiaTheme="minorHAnsi"/>
        </w:rPr>
      </w:pPr>
      <w:bookmarkStart w:id="56" w:name="_Toc118484068"/>
      <w:bookmarkStart w:id="57" w:name="_Toc118485280"/>
      <w:bookmarkStart w:id="58" w:name="_Toc121470245"/>
      <w:r>
        <w:rPr>
          <w:rFonts w:eastAsiaTheme="minorHAnsi"/>
        </w:rPr>
        <w:t>3.2 Fluid Characterization</w:t>
      </w:r>
      <w:bookmarkEnd w:id="56"/>
      <w:bookmarkEnd w:id="57"/>
      <w:bookmarkEnd w:id="58"/>
    </w:p>
    <w:p w14:paraId="4430E2F4" w14:textId="35640CF0" w:rsidR="00371E7F" w:rsidRDefault="000A38F1" w:rsidP="00D2343F">
      <w:pPr>
        <w:rPr>
          <w:rFonts w:eastAsiaTheme="minorHAnsi"/>
        </w:rPr>
      </w:pPr>
      <w:r>
        <w:rPr>
          <w:rFonts w:eastAsiaTheme="minorHAnsi"/>
        </w:rPr>
        <w:t>Fluid</w:t>
      </w:r>
      <w:r w:rsidR="008E1376">
        <w:rPr>
          <w:rFonts w:eastAsiaTheme="minorHAnsi"/>
        </w:rPr>
        <w:t xml:space="preserve"> </w:t>
      </w:r>
      <w:r w:rsidR="008E1376" w:rsidRPr="005676EA">
        <w:rPr>
          <w:rFonts w:eastAsiaTheme="minorHAnsi"/>
        </w:rPr>
        <w:t>properties measured in this study were</w:t>
      </w:r>
      <w:r w:rsidR="008924A2" w:rsidRPr="005676EA">
        <w:rPr>
          <w:rFonts w:eastAsiaTheme="minorHAnsi"/>
        </w:rPr>
        <w:t xml:space="preserve"> </w:t>
      </w:r>
      <w:r w:rsidR="008E1376" w:rsidRPr="005676EA">
        <w:rPr>
          <w:rFonts w:eastAsiaTheme="minorHAnsi"/>
        </w:rPr>
        <w:t>density</w:t>
      </w:r>
      <w:r w:rsidR="00010F6D" w:rsidRPr="005676EA">
        <w:rPr>
          <w:rFonts w:eastAsiaTheme="minorHAnsi"/>
        </w:rPr>
        <w:t xml:space="preserve">, </w:t>
      </w:r>
      <w:r w:rsidR="008924A2" w:rsidRPr="005676EA">
        <w:rPr>
          <w:rFonts w:eastAsiaTheme="minorHAnsi"/>
        </w:rPr>
        <w:t>Interfacial Tension (</w:t>
      </w:r>
      <w:r w:rsidR="00CA365E" w:rsidRPr="005676EA">
        <w:rPr>
          <w:rFonts w:eastAsiaTheme="minorHAnsi"/>
        </w:rPr>
        <w:t>IFT</w:t>
      </w:r>
      <w:r w:rsidR="008924A2" w:rsidRPr="005676EA">
        <w:rPr>
          <w:rFonts w:eastAsiaTheme="minorHAnsi"/>
        </w:rPr>
        <w:t>)</w:t>
      </w:r>
      <w:r w:rsidR="00CA365E" w:rsidRPr="005676EA">
        <w:rPr>
          <w:rFonts w:eastAsiaTheme="minorHAnsi"/>
        </w:rPr>
        <w:t xml:space="preserve">, </w:t>
      </w:r>
      <w:r w:rsidRPr="005676EA">
        <w:rPr>
          <w:rFonts w:eastAsiaTheme="minorHAnsi"/>
        </w:rPr>
        <w:t xml:space="preserve">and </w:t>
      </w:r>
      <w:r w:rsidR="008924A2" w:rsidRPr="005676EA">
        <w:rPr>
          <w:rFonts w:eastAsiaTheme="minorHAnsi"/>
        </w:rPr>
        <w:t>C</w:t>
      </w:r>
      <w:r w:rsidR="00CA365E" w:rsidRPr="005676EA">
        <w:rPr>
          <w:rFonts w:eastAsiaTheme="minorHAnsi"/>
        </w:rPr>
        <w:t xml:space="preserve">ritical </w:t>
      </w:r>
      <w:r w:rsidR="008924A2" w:rsidRPr="005676EA">
        <w:rPr>
          <w:rFonts w:eastAsiaTheme="minorHAnsi"/>
        </w:rPr>
        <w:t>M</w:t>
      </w:r>
      <w:r w:rsidR="00CA365E" w:rsidRPr="005676EA">
        <w:rPr>
          <w:rFonts w:eastAsiaTheme="minorHAnsi"/>
        </w:rPr>
        <w:t xml:space="preserve">icelle </w:t>
      </w:r>
      <w:r w:rsidR="008924A2" w:rsidRPr="005676EA">
        <w:rPr>
          <w:rFonts w:eastAsiaTheme="minorHAnsi"/>
        </w:rPr>
        <w:t>C</w:t>
      </w:r>
      <w:r w:rsidR="00CA365E" w:rsidRPr="005676EA">
        <w:rPr>
          <w:rFonts w:eastAsiaTheme="minorHAnsi"/>
        </w:rPr>
        <w:t>oncentration</w:t>
      </w:r>
      <w:r w:rsidR="008924A2" w:rsidRPr="005676EA">
        <w:rPr>
          <w:rFonts w:eastAsiaTheme="minorHAnsi"/>
        </w:rPr>
        <w:t xml:space="preserve"> (CMC)</w:t>
      </w:r>
      <w:r w:rsidR="003F5C5B" w:rsidRPr="005676EA">
        <w:rPr>
          <w:rFonts w:eastAsiaTheme="minorHAnsi"/>
        </w:rPr>
        <w:t>.</w:t>
      </w:r>
      <w:r w:rsidR="00A333F4">
        <w:rPr>
          <w:rFonts w:eastAsiaTheme="minorHAnsi"/>
        </w:rPr>
        <w:t xml:space="preserve"> </w:t>
      </w:r>
      <w:r w:rsidR="005676EA" w:rsidRPr="005676EA">
        <w:rPr>
          <w:rFonts w:eastAsiaTheme="minorHAnsi"/>
        </w:rPr>
        <w:t>Three commercially available surfactants</w:t>
      </w:r>
      <w:r w:rsidR="005676EA">
        <w:rPr>
          <w:rFonts w:eastAsiaTheme="minorHAnsi"/>
        </w:rPr>
        <w:t>, crude oil</w:t>
      </w:r>
      <w:r w:rsidR="00F06BCC">
        <w:rPr>
          <w:rFonts w:eastAsiaTheme="minorHAnsi"/>
        </w:rPr>
        <w:t>,</w:t>
      </w:r>
      <w:r w:rsidR="005676EA">
        <w:rPr>
          <w:rFonts w:eastAsiaTheme="minorHAnsi"/>
        </w:rPr>
        <w:t xml:space="preserve"> and produced brine from the well site were tested.</w:t>
      </w:r>
      <w:r w:rsidR="00A333F4">
        <w:rPr>
          <w:rFonts w:eastAsiaTheme="minorHAnsi"/>
        </w:rPr>
        <w:t xml:space="preserve"> </w:t>
      </w:r>
      <w:r w:rsidR="0057789F">
        <w:rPr>
          <w:rFonts w:eastAsiaTheme="minorHAnsi"/>
        </w:rPr>
        <w:t>Surfactant solutions were prepared by mixing surfactant</w:t>
      </w:r>
      <w:r w:rsidR="00B3381A">
        <w:rPr>
          <w:rFonts w:eastAsiaTheme="minorHAnsi"/>
        </w:rPr>
        <w:t>s</w:t>
      </w:r>
      <w:r w:rsidR="0057789F">
        <w:rPr>
          <w:rFonts w:eastAsiaTheme="minorHAnsi"/>
        </w:rPr>
        <w:t xml:space="preserve"> with </w:t>
      </w:r>
      <w:r w:rsidR="0057789F">
        <w:rPr>
          <w:rFonts w:eastAsiaTheme="minorHAnsi"/>
        </w:rPr>
        <w:lastRenderedPageBreak/>
        <w:t>produced brine</w:t>
      </w:r>
      <w:r w:rsidR="00FD7FB6" w:rsidRPr="00FD7FB6">
        <w:rPr>
          <w:rFonts w:eastAsiaTheme="minorHAnsi"/>
        </w:rPr>
        <w:t xml:space="preserve"> </w:t>
      </w:r>
      <w:r w:rsidR="00FD7FB6">
        <w:rPr>
          <w:rFonts w:eastAsiaTheme="minorHAnsi"/>
        </w:rPr>
        <w:t xml:space="preserve">at </w:t>
      </w:r>
      <w:r w:rsidR="00FD7FB6" w:rsidRPr="005676EA">
        <w:rPr>
          <w:rFonts w:eastAsiaTheme="minorHAnsi"/>
        </w:rPr>
        <w:t xml:space="preserve">2 </w:t>
      </w:r>
      <w:r w:rsidR="00FD7FB6">
        <w:rPr>
          <w:rFonts w:eastAsiaTheme="minorHAnsi"/>
        </w:rPr>
        <w:t>g</w:t>
      </w:r>
      <w:r w:rsidR="00FD7FB6" w:rsidRPr="005676EA">
        <w:rPr>
          <w:rFonts w:eastAsiaTheme="minorHAnsi"/>
        </w:rPr>
        <w:t xml:space="preserve">allons per </w:t>
      </w:r>
      <w:r w:rsidR="00FD7FB6">
        <w:rPr>
          <w:rFonts w:eastAsiaTheme="minorHAnsi"/>
        </w:rPr>
        <w:t>t</w:t>
      </w:r>
      <w:r w:rsidR="00FD7FB6" w:rsidRPr="005676EA">
        <w:rPr>
          <w:rFonts w:eastAsiaTheme="minorHAnsi"/>
        </w:rPr>
        <w:t>housand</w:t>
      </w:r>
      <w:r w:rsidR="00FD7FB6">
        <w:rPr>
          <w:rFonts w:eastAsiaTheme="minorHAnsi"/>
        </w:rPr>
        <w:t xml:space="preserve"> gallons </w:t>
      </w:r>
      <w:r w:rsidR="00FD7FB6" w:rsidRPr="005676EA">
        <w:rPr>
          <w:rFonts w:eastAsiaTheme="minorHAnsi"/>
        </w:rPr>
        <w:t>(gpt) concertation</w:t>
      </w:r>
      <w:r w:rsidR="0057789F">
        <w:rPr>
          <w:rFonts w:eastAsiaTheme="minorHAnsi"/>
        </w:rPr>
        <w:t>.</w:t>
      </w:r>
      <w:r w:rsidR="00A333F4">
        <w:rPr>
          <w:rFonts w:eastAsiaTheme="minorHAnsi"/>
        </w:rPr>
        <w:t xml:space="preserve"> </w:t>
      </w:r>
      <w:r w:rsidR="00F17EE4">
        <w:rPr>
          <w:rFonts w:eastAsiaTheme="minorHAnsi"/>
        </w:rPr>
        <w:t xml:space="preserve">First, surfactant stability tests were also performed to check whether the surfactant solutions are stable at </w:t>
      </w:r>
      <w:r w:rsidR="00B94E39">
        <w:rPr>
          <w:rFonts w:eastAsiaTheme="minorHAnsi"/>
        </w:rPr>
        <w:t>145</w:t>
      </w:r>
      <w:r w:rsidR="00B94E39" w:rsidRPr="00B94E39">
        <w:rPr>
          <w:rFonts w:eastAsiaTheme="minorHAnsi"/>
          <w:vertAlign w:val="superscript"/>
        </w:rPr>
        <w:t>o</w:t>
      </w:r>
      <w:r w:rsidR="00B94E39">
        <w:rPr>
          <w:rFonts w:eastAsiaTheme="minorHAnsi"/>
        </w:rPr>
        <w:t>F (</w:t>
      </w:r>
      <w:r w:rsidR="00F17EE4">
        <w:rPr>
          <w:rFonts w:eastAsiaTheme="minorHAnsi"/>
        </w:rPr>
        <w:t>reservoir</w:t>
      </w:r>
      <w:r w:rsidR="00B94E39">
        <w:rPr>
          <w:rFonts w:eastAsiaTheme="minorHAnsi"/>
        </w:rPr>
        <w:t xml:space="preserve"> temperature)</w:t>
      </w:r>
      <w:r w:rsidR="004C0401">
        <w:rPr>
          <w:rFonts w:eastAsiaTheme="minorHAnsi"/>
        </w:rPr>
        <w:t xml:space="preserve"> and room</w:t>
      </w:r>
      <w:r w:rsidR="00F17EE4">
        <w:rPr>
          <w:rFonts w:eastAsiaTheme="minorHAnsi"/>
        </w:rPr>
        <w:t xml:space="preserve"> temperature. Next, </w:t>
      </w:r>
      <w:r w:rsidR="00010F6D">
        <w:rPr>
          <w:rFonts w:eastAsiaTheme="minorHAnsi"/>
        </w:rPr>
        <w:t>TDS</w:t>
      </w:r>
      <w:r w:rsidR="00D71B12">
        <w:rPr>
          <w:rFonts w:eastAsiaTheme="minorHAnsi"/>
        </w:rPr>
        <w:t xml:space="preserve"> and </w:t>
      </w:r>
      <w:r w:rsidR="00882D5B">
        <w:rPr>
          <w:rFonts w:eastAsiaTheme="minorHAnsi"/>
        </w:rPr>
        <w:t>pH</w:t>
      </w:r>
      <w:r w:rsidR="00D71B12">
        <w:rPr>
          <w:rFonts w:eastAsiaTheme="minorHAnsi"/>
        </w:rPr>
        <w:t xml:space="preserve"> </w:t>
      </w:r>
      <w:r w:rsidR="003611C6">
        <w:rPr>
          <w:rFonts w:eastAsiaTheme="minorHAnsi"/>
        </w:rPr>
        <w:t xml:space="preserve">of </w:t>
      </w:r>
      <w:r w:rsidR="005D27E4">
        <w:rPr>
          <w:rFonts w:eastAsiaTheme="minorHAnsi"/>
        </w:rPr>
        <w:t xml:space="preserve">produced brine and </w:t>
      </w:r>
      <w:r w:rsidR="003611C6">
        <w:rPr>
          <w:rFonts w:eastAsiaTheme="minorHAnsi"/>
        </w:rPr>
        <w:t>surfactant solutions</w:t>
      </w:r>
      <w:r w:rsidR="005D27E4">
        <w:rPr>
          <w:rFonts w:eastAsiaTheme="minorHAnsi"/>
        </w:rPr>
        <w:t xml:space="preserve"> </w:t>
      </w:r>
      <w:r w:rsidR="00D71B12">
        <w:rPr>
          <w:rFonts w:eastAsiaTheme="minorHAnsi"/>
        </w:rPr>
        <w:t>were measured using portable meters</w:t>
      </w:r>
      <w:r w:rsidR="00F06BCC">
        <w:rPr>
          <w:rFonts w:eastAsiaTheme="minorHAnsi"/>
        </w:rPr>
        <w:t>,</w:t>
      </w:r>
      <w:r w:rsidR="00D71B12">
        <w:rPr>
          <w:rFonts w:eastAsiaTheme="minorHAnsi"/>
        </w:rPr>
        <w:t xml:space="preserve"> while</w:t>
      </w:r>
      <w:r w:rsidR="00882D5B">
        <w:rPr>
          <w:rFonts w:eastAsiaTheme="minorHAnsi"/>
        </w:rPr>
        <w:t xml:space="preserve"> </w:t>
      </w:r>
      <w:r w:rsidR="00614DE8">
        <w:rPr>
          <w:rFonts w:eastAsiaTheme="minorHAnsi"/>
        </w:rPr>
        <w:t xml:space="preserve">individual </w:t>
      </w:r>
      <w:r w:rsidR="0006310D">
        <w:rPr>
          <w:rFonts w:eastAsiaTheme="minorHAnsi"/>
        </w:rPr>
        <w:t>ion</w:t>
      </w:r>
      <w:r w:rsidR="004C5519">
        <w:rPr>
          <w:rFonts w:eastAsiaTheme="minorHAnsi"/>
        </w:rPr>
        <w:t xml:space="preserve"> species in solution </w:t>
      </w:r>
      <w:r w:rsidR="0006310D">
        <w:rPr>
          <w:rFonts w:eastAsiaTheme="minorHAnsi"/>
        </w:rPr>
        <w:t xml:space="preserve">were measured </w:t>
      </w:r>
      <w:r w:rsidR="00F60657">
        <w:rPr>
          <w:rFonts w:eastAsiaTheme="minorHAnsi"/>
        </w:rPr>
        <w:t>using</w:t>
      </w:r>
      <w:r w:rsidR="0006310D">
        <w:rPr>
          <w:rFonts w:eastAsiaTheme="minorHAnsi"/>
        </w:rPr>
        <w:t xml:space="preserve"> Inductively Coupled Plasma</w:t>
      </w:r>
      <w:r w:rsidR="00B94E39">
        <w:rPr>
          <w:rFonts w:eastAsiaTheme="minorHAnsi"/>
        </w:rPr>
        <w:t xml:space="preserve"> Spectroscopy</w:t>
      </w:r>
      <w:r w:rsidR="0006310D">
        <w:rPr>
          <w:rFonts w:eastAsiaTheme="minorHAnsi"/>
        </w:rPr>
        <w:t xml:space="preserve"> (ICP) </w:t>
      </w:r>
      <w:r w:rsidR="004C5519">
        <w:rPr>
          <w:rFonts w:eastAsiaTheme="minorHAnsi"/>
        </w:rPr>
        <w:t xml:space="preserve">before and after imbibition experiments </w:t>
      </w:r>
      <w:r w:rsidR="0006310D">
        <w:rPr>
          <w:rFonts w:eastAsiaTheme="minorHAnsi"/>
        </w:rPr>
        <w:t>by</w:t>
      </w:r>
      <w:r w:rsidR="00A472D2">
        <w:rPr>
          <w:rFonts w:eastAsiaTheme="minorHAnsi"/>
        </w:rPr>
        <w:t xml:space="preserve"> a commercial la</w:t>
      </w:r>
      <w:r w:rsidR="0009701C">
        <w:rPr>
          <w:rFonts w:eastAsiaTheme="minorHAnsi"/>
        </w:rPr>
        <w:t>b (S</w:t>
      </w:r>
      <w:r w:rsidR="0006310D">
        <w:rPr>
          <w:rFonts w:eastAsiaTheme="minorHAnsi"/>
        </w:rPr>
        <w:t>oil, Water</w:t>
      </w:r>
      <w:r w:rsidR="00F42E87">
        <w:rPr>
          <w:rFonts w:eastAsiaTheme="minorHAnsi"/>
        </w:rPr>
        <w:t>,</w:t>
      </w:r>
      <w:r w:rsidR="0006310D">
        <w:rPr>
          <w:rFonts w:eastAsiaTheme="minorHAnsi"/>
        </w:rPr>
        <w:t xml:space="preserve"> and Forage Analytical Lab</w:t>
      </w:r>
      <w:r w:rsidR="0009701C">
        <w:rPr>
          <w:rFonts w:eastAsiaTheme="minorHAnsi"/>
        </w:rPr>
        <w:t xml:space="preserve"> </w:t>
      </w:r>
      <w:r w:rsidR="0006310D">
        <w:rPr>
          <w:rFonts w:eastAsiaTheme="minorHAnsi"/>
        </w:rPr>
        <w:t>at the Oklahoma State University</w:t>
      </w:r>
      <w:r w:rsidR="0009701C">
        <w:rPr>
          <w:rFonts w:eastAsiaTheme="minorHAnsi"/>
        </w:rPr>
        <w:t>)</w:t>
      </w:r>
      <w:r w:rsidR="0006310D">
        <w:rPr>
          <w:rFonts w:eastAsiaTheme="minorHAnsi"/>
        </w:rPr>
        <w:t>.</w:t>
      </w:r>
      <w:r w:rsidR="00A333F4">
        <w:rPr>
          <w:rFonts w:eastAsiaTheme="minorHAnsi"/>
        </w:rPr>
        <w:t xml:space="preserve"> </w:t>
      </w:r>
    </w:p>
    <w:p w14:paraId="7D8EB599" w14:textId="570E47C9" w:rsidR="00EC29DE" w:rsidRDefault="00010F6D" w:rsidP="00501295">
      <w:pPr>
        <w:pStyle w:val="Heading3"/>
        <w:numPr>
          <w:ilvl w:val="0"/>
          <w:numId w:val="0"/>
        </w:numPr>
        <w:rPr>
          <w:rFonts w:eastAsiaTheme="minorHAnsi"/>
          <w:highlight w:val="yellow"/>
        </w:rPr>
      </w:pPr>
      <w:bookmarkStart w:id="59" w:name="_Toc118484069"/>
      <w:bookmarkStart w:id="60" w:name="_Toc118485281"/>
      <w:bookmarkStart w:id="61" w:name="_Toc121470246"/>
      <w:r>
        <w:rPr>
          <w:rFonts w:eastAsiaTheme="minorHAnsi"/>
        </w:rPr>
        <w:t>3.</w:t>
      </w:r>
      <w:r w:rsidRPr="00CB09B1">
        <w:rPr>
          <w:rFonts w:eastAsiaTheme="minorHAnsi"/>
        </w:rPr>
        <w:t>2.1 Density Measurements</w:t>
      </w:r>
      <w:bookmarkEnd w:id="59"/>
      <w:bookmarkEnd w:id="60"/>
      <w:bookmarkEnd w:id="61"/>
      <w:r w:rsidRPr="00CB09B1">
        <w:rPr>
          <w:rFonts w:eastAsiaTheme="minorHAnsi"/>
        </w:rPr>
        <w:t xml:space="preserve"> </w:t>
      </w:r>
    </w:p>
    <w:p w14:paraId="0A1B2340" w14:textId="2664B6B5" w:rsidR="00670422" w:rsidRDefault="009F0932" w:rsidP="005139AC">
      <w:pPr>
        <w:rPr>
          <w:rFonts w:eastAsiaTheme="minorHAnsi"/>
        </w:rPr>
      </w:pPr>
      <w:r>
        <w:rPr>
          <w:rFonts w:eastAsiaTheme="minorHAnsi"/>
        </w:rPr>
        <w:t xml:space="preserve">Produced </w:t>
      </w:r>
      <w:r w:rsidR="00993808" w:rsidRPr="00993808">
        <w:rPr>
          <w:rFonts w:eastAsiaTheme="minorHAnsi"/>
        </w:rPr>
        <w:t>brine</w:t>
      </w:r>
      <w:r w:rsidR="00846A3E">
        <w:rPr>
          <w:rFonts w:eastAsiaTheme="minorHAnsi"/>
        </w:rPr>
        <w:t>, crude oil</w:t>
      </w:r>
      <w:r w:rsidR="00912865">
        <w:rPr>
          <w:rFonts w:eastAsiaTheme="minorHAnsi"/>
        </w:rPr>
        <w:t>,</w:t>
      </w:r>
      <w:r w:rsidR="00846A3E">
        <w:rPr>
          <w:rFonts w:eastAsiaTheme="minorHAnsi"/>
        </w:rPr>
        <w:t xml:space="preserve"> and </w:t>
      </w:r>
      <w:r w:rsidR="00670422">
        <w:rPr>
          <w:rFonts w:eastAsiaTheme="minorHAnsi"/>
        </w:rPr>
        <w:t xml:space="preserve">surfactant solutions density were measured using </w:t>
      </w:r>
      <w:r w:rsidR="00912865">
        <w:rPr>
          <w:rFonts w:eastAsiaTheme="minorHAnsi"/>
        </w:rPr>
        <w:t xml:space="preserve">a </w:t>
      </w:r>
      <w:r w:rsidR="00EF7375">
        <w:rPr>
          <w:rFonts w:eastAsiaTheme="minorHAnsi"/>
        </w:rPr>
        <w:t xml:space="preserve">Mettler Toledo </w:t>
      </w:r>
      <w:r w:rsidR="004E346A">
        <w:rPr>
          <w:rFonts w:eastAsiaTheme="minorHAnsi"/>
        </w:rPr>
        <w:t xml:space="preserve">Densito </w:t>
      </w:r>
      <w:r w:rsidR="00FF6377">
        <w:rPr>
          <w:rFonts w:eastAsiaTheme="minorHAnsi"/>
        </w:rPr>
        <w:t xml:space="preserve">Handheld </w:t>
      </w:r>
      <w:r w:rsidR="004E346A">
        <w:rPr>
          <w:rFonts w:eastAsiaTheme="minorHAnsi"/>
        </w:rPr>
        <w:t>density meter</w:t>
      </w:r>
      <w:r w:rsidR="00670422">
        <w:rPr>
          <w:rFonts w:eastAsiaTheme="minorHAnsi"/>
        </w:rPr>
        <w:t xml:space="preserve"> </w:t>
      </w:r>
      <w:r w:rsidR="00EF7375">
        <w:rPr>
          <w:rFonts w:eastAsiaTheme="minorHAnsi"/>
        </w:rPr>
        <w:t>at room temperature, reservoir temperature</w:t>
      </w:r>
      <w:r w:rsidR="00912865">
        <w:rPr>
          <w:rFonts w:eastAsiaTheme="minorHAnsi"/>
        </w:rPr>
        <w:t>,</w:t>
      </w:r>
      <w:r w:rsidR="00EF7375">
        <w:rPr>
          <w:rFonts w:eastAsiaTheme="minorHAnsi"/>
        </w:rPr>
        <w:t xml:space="preserve"> and atmospheric pressure.</w:t>
      </w:r>
      <w:r w:rsidR="00287360">
        <w:rPr>
          <w:rFonts w:eastAsiaTheme="minorHAnsi"/>
        </w:rPr>
        <w:t xml:space="preserve">  </w:t>
      </w:r>
    </w:p>
    <w:p w14:paraId="000E216F" w14:textId="7C4B287C" w:rsidR="005139AC" w:rsidRDefault="005139AC" w:rsidP="005139AC">
      <w:pPr>
        <w:pStyle w:val="Heading3"/>
      </w:pPr>
      <w:bookmarkStart w:id="62" w:name="_Toc118484072"/>
      <w:bookmarkStart w:id="63" w:name="_Toc118485284"/>
      <w:bookmarkStart w:id="64" w:name="_Toc121470247"/>
      <w:r>
        <w:t>3.2.2 Surfactant Stability Tests</w:t>
      </w:r>
      <w:bookmarkEnd w:id="62"/>
      <w:bookmarkEnd w:id="63"/>
      <w:bookmarkEnd w:id="64"/>
    </w:p>
    <w:p w14:paraId="27A9E197" w14:textId="54A46FBE" w:rsidR="005139AC" w:rsidRDefault="005139AC" w:rsidP="005139AC">
      <w:pPr>
        <w:rPr>
          <w:rFonts w:eastAsiaTheme="minorHAnsi"/>
        </w:rPr>
      </w:pPr>
      <w:r>
        <w:rPr>
          <w:rFonts w:eastAsiaTheme="minorHAnsi"/>
        </w:rPr>
        <w:t xml:space="preserve">Surfactant stability tests were performed on surfactants used in this study </w:t>
      </w:r>
      <w:r w:rsidRPr="00AA3639">
        <w:rPr>
          <w:rFonts w:eastAsiaTheme="minorHAnsi"/>
        </w:rPr>
        <w:t xml:space="preserve">to check whether the </w:t>
      </w:r>
      <w:r>
        <w:rPr>
          <w:rFonts w:eastAsiaTheme="minorHAnsi"/>
        </w:rPr>
        <w:t>surfactant solutions</w:t>
      </w:r>
      <w:r w:rsidRPr="00AA3639">
        <w:rPr>
          <w:rFonts w:eastAsiaTheme="minorHAnsi"/>
        </w:rPr>
        <w:t xml:space="preserve"> are stable at </w:t>
      </w:r>
      <w:r>
        <w:rPr>
          <w:rFonts w:eastAsiaTheme="minorHAnsi"/>
        </w:rPr>
        <w:t>2 gpt concentration</w:t>
      </w:r>
      <w:r w:rsidRPr="00AA3639">
        <w:rPr>
          <w:rFonts w:eastAsiaTheme="minorHAnsi"/>
        </w:rPr>
        <w:t xml:space="preserve"> and </w:t>
      </w:r>
      <w:r>
        <w:rPr>
          <w:rFonts w:eastAsiaTheme="minorHAnsi"/>
        </w:rPr>
        <w:t>reservoir temperature.</w:t>
      </w:r>
      <w:r w:rsidR="00A333F4">
        <w:rPr>
          <w:rFonts w:eastAsiaTheme="minorHAnsi"/>
        </w:rPr>
        <w:t xml:space="preserve"> </w:t>
      </w:r>
      <w:r>
        <w:rPr>
          <w:rFonts w:eastAsiaTheme="minorHAnsi"/>
        </w:rPr>
        <w:t>Surfactant solutions were kept in airtight containers under ambient conditions for three days and then inspected for stability.</w:t>
      </w:r>
      <w:r w:rsidR="00A333F4">
        <w:rPr>
          <w:rFonts w:eastAsiaTheme="minorHAnsi"/>
        </w:rPr>
        <w:t xml:space="preserve"> </w:t>
      </w:r>
      <w:r>
        <w:rPr>
          <w:rFonts w:eastAsiaTheme="minorHAnsi"/>
        </w:rPr>
        <w:t xml:space="preserve">New surfactant solutions were prepared, and the process was repeated at </w:t>
      </w:r>
      <w:r w:rsidRPr="00A24A5A">
        <w:rPr>
          <w:rFonts w:eastAsiaTheme="minorHAnsi"/>
        </w:rPr>
        <w:t>145</w:t>
      </w:r>
      <w:r w:rsidRPr="00A24A5A">
        <w:rPr>
          <w:rFonts w:eastAsiaTheme="minorHAnsi"/>
          <w:vertAlign w:val="superscript"/>
        </w:rPr>
        <w:t xml:space="preserve"> o</w:t>
      </w:r>
      <w:r w:rsidRPr="00A24A5A">
        <w:rPr>
          <w:rFonts w:eastAsiaTheme="minorHAnsi"/>
        </w:rPr>
        <w:t>F</w:t>
      </w:r>
      <w:r>
        <w:rPr>
          <w:rFonts w:eastAsiaTheme="minorHAnsi"/>
        </w:rPr>
        <w:t xml:space="preserve"> (reservoir temperature).</w:t>
      </w:r>
      <w:r w:rsidR="00A333F4">
        <w:rPr>
          <w:rFonts w:eastAsiaTheme="minorHAnsi"/>
        </w:rPr>
        <w:t xml:space="preserve"> </w:t>
      </w:r>
      <w:r>
        <w:rPr>
          <w:rFonts w:eastAsiaTheme="minorHAnsi"/>
        </w:rPr>
        <w:t xml:space="preserve">Stable surfactant solutions should remain transparent, while unstable surfactant solutions should turn translucent </w:t>
      </w:r>
      <w:r w:rsidRPr="00BC2A87">
        <w:rPr>
          <w:rFonts w:eastAsiaTheme="minorHAnsi"/>
        </w:rPr>
        <w:t xml:space="preserve">(Zeng et al. 2018). </w:t>
      </w:r>
    </w:p>
    <w:p w14:paraId="66336032" w14:textId="77777777" w:rsidR="005139AC" w:rsidRPr="000408B8" w:rsidRDefault="005139AC" w:rsidP="005139AC">
      <w:pPr>
        <w:pStyle w:val="Heading3"/>
      </w:pPr>
      <w:bookmarkStart w:id="65" w:name="_Toc118484071"/>
      <w:bookmarkStart w:id="66" w:name="_Toc118485283"/>
      <w:bookmarkStart w:id="67" w:name="_Toc121470248"/>
      <w:r w:rsidRPr="000408B8">
        <w:t>3.2.3 Critical Micelle Concentration Measurements</w:t>
      </w:r>
      <w:bookmarkEnd w:id="65"/>
      <w:bookmarkEnd w:id="66"/>
      <w:bookmarkEnd w:id="67"/>
    </w:p>
    <w:p w14:paraId="3E1C2D8F" w14:textId="1EB97002" w:rsidR="00375CDE" w:rsidRDefault="001814B6" w:rsidP="00C35A98">
      <w:pPr>
        <w:rPr>
          <w:rFonts w:eastAsiaTheme="minorHAnsi"/>
        </w:rPr>
      </w:pPr>
      <w:r>
        <w:rPr>
          <w:rFonts w:eastAsiaTheme="minorHAnsi"/>
        </w:rPr>
        <w:t xml:space="preserve">Critical Micelle Concentration (CMC) </w:t>
      </w:r>
      <w:r w:rsidR="00912865">
        <w:rPr>
          <w:rFonts w:eastAsiaTheme="minorHAnsi"/>
        </w:rPr>
        <w:t>was</w:t>
      </w:r>
      <w:r>
        <w:rPr>
          <w:rFonts w:eastAsiaTheme="minorHAnsi"/>
        </w:rPr>
        <w:t xml:space="preserve"> measured using</w:t>
      </w:r>
      <w:r w:rsidR="00161E4A">
        <w:rPr>
          <w:rFonts w:eastAsiaTheme="minorHAnsi"/>
        </w:rPr>
        <w:t xml:space="preserve"> DataPhysics DCAT 25 Wilhelmy-Plate Tensiometer</w:t>
      </w:r>
      <w:r w:rsidR="00B84E60">
        <w:rPr>
          <w:rFonts w:eastAsiaTheme="minorHAnsi"/>
        </w:rPr>
        <w:t xml:space="preserve"> under ambient conditions using </w:t>
      </w:r>
      <w:r w:rsidR="006A4BB6">
        <w:rPr>
          <w:rFonts w:eastAsiaTheme="minorHAnsi"/>
        </w:rPr>
        <w:t xml:space="preserve">three </w:t>
      </w:r>
      <w:r w:rsidR="00B84E60">
        <w:t>surfactant solutions at 2 gpt concentration</w:t>
      </w:r>
      <w:r w:rsidR="00161E4A">
        <w:rPr>
          <w:rFonts w:eastAsiaTheme="minorHAnsi"/>
        </w:rPr>
        <w:t>.</w:t>
      </w:r>
      <w:r w:rsidR="00A333F4">
        <w:rPr>
          <w:rFonts w:eastAsiaTheme="minorHAnsi"/>
        </w:rPr>
        <w:t xml:space="preserve"> </w:t>
      </w:r>
      <w:r w:rsidR="00F74CC7">
        <w:rPr>
          <w:rFonts w:eastAsiaTheme="minorHAnsi"/>
        </w:rPr>
        <w:t xml:space="preserve">Wilhelmy plate method measures surface tension using a force </w:t>
      </w:r>
      <w:r w:rsidR="008D596A">
        <w:rPr>
          <w:rFonts w:eastAsiaTheme="minorHAnsi"/>
        </w:rPr>
        <w:t xml:space="preserve">tensiometer based on </w:t>
      </w:r>
      <w:r w:rsidR="00912865">
        <w:rPr>
          <w:rFonts w:eastAsiaTheme="minorHAnsi"/>
        </w:rPr>
        <w:t xml:space="preserve">the </w:t>
      </w:r>
      <w:r w:rsidR="008D596A">
        <w:rPr>
          <w:rFonts w:eastAsiaTheme="minorHAnsi"/>
        </w:rPr>
        <w:t xml:space="preserve">Wilhelmy </w:t>
      </w:r>
      <w:r w:rsidR="008D596A" w:rsidRPr="00912865">
        <w:rPr>
          <w:rFonts w:eastAsiaTheme="minorHAnsi"/>
        </w:rPr>
        <w:t xml:space="preserve">equation (Eq. </w:t>
      </w:r>
      <w:r w:rsidR="00912865" w:rsidRPr="00912865">
        <w:rPr>
          <w:rFonts w:eastAsiaTheme="minorHAnsi"/>
        </w:rPr>
        <w:t>4</w:t>
      </w:r>
      <w:r w:rsidR="008D596A" w:rsidRPr="00912865">
        <w:rPr>
          <w:rFonts w:eastAsiaTheme="minorHAnsi"/>
        </w:rPr>
        <w:t>).</w:t>
      </w:r>
      <w:r w:rsidR="008D596A">
        <w:rPr>
          <w:rFonts w:eastAsiaTheme="minorHAnsi"/>
        </w:rPr>
        <w:t xml:space="preserve"> </w:t>
      </w:r>
    </w:p>
    <w:p w14:paraId="6C7A77C0" w14:textId="77777777" w:rsidR="00375CDE" w:rsidRDefault="00375CDE" w:rsidP="00605274">
      <w:pPr>
        <w:spacing w:line="240" w:lineRule="auto"/>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6210"/>
        <w:gridCol w:w="1705"/>
      </w:tblGrid>
      <w:tr w:rsidR="00375CDE" w14:paraId="1E3C7B2E" w14:textId="77777777" w:rsidTr="00912865">
        <w:trPr>
          <w:trHeight w:val="710"/>
        </w:trPr>
        <w:tc>
          <w:tcPr>
            <w:tcW w:w="1435" w:type="dxa"/>
          </w:tcPr>
          <w:p w14:paraId="56277A17" w14:textId="77777777" w:rsidR="00375CDE" w:rsidRDefault="00375CDE" w:rsidP="00C35A98">
            <w:pPr>
              <w:rPr>
                <w:rFonts w:eastAsiaTheme="minorHAnsi"/>
              </w:rPr>
            </w:pPr>
          </w:p>
        </w:tc>
        <w:tc>
          <w:tcPr>
            <w:tcW w:w="6210" w:type="dxa"/>
          </w:tcPr>
          <w:p w14:paraId="4383B785" w14:textId="30468F98" w:rsidR="00375CDE" w:rsidRPr="00375CDE" w:rsidRDefault="00375CDE" w:rsidP="00375CDE">
            <w:pPr>
              <w:jc w:val="center"/>
              <w:rPr>
                <w:rFonts w:eastAsiaTheme="minorEastAsia"/>
              </w:rPr>
            </w:pPr>
            <m:oMathPara>
              <m:oMath>
                <m:r>
                  <w:rPr>
                    <w:rFonts w:ascii="Cambria Math" w:eastAsiaTheme="minorHAnsi" w:hAnsi="Cambria Math"/>
                  </w:rPr>
                  <m:t xml:space="preserve">σ = </m:t>
                </m:r>
                <m:f>
                  <m:fPr>
                    <m:ctrlPr>
                      <w:rPr>
                        <w:rFonts w:ascii="Cambria Math" w:eastAsiaTheme="minorHAnsi" w:hAnsi="Cambria Math"/>
                        <w:i/>
                      </w:rPr>
                    </m:ctrlPr>
                  </m:fPr>
                  <m:num>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tens</m:t>
                        </m:r>
                      </m:sub>
                    </m:sSub>
                  </m:num>
                  <m:den>
                    <m:r>
                      <w:rPr>
                        <w:rFonts w:ascii="Cambria Math" w:eastAsiaTheme="minorHAnsi" w:hAnsi="Cambria Math"/>
                      </w:rPr>
                      <m:t>L</m:t>
                    </m:r>
                  </m:den>
                </m:f>
                <m:r>
                  <w:rPr>
                    <w:rFonts w:ascii="Cambria Math" w:eastAsiaTheme="minorHAnsi" w:hAnsi="Cambria Math"/>
                  </w:rPr>
                  <m:t xml:space="preserve"> = </m:t>
                </m:r>
                <m:f>
                  <m:fPr>
                    <m:ctrlPr>
                      <w:rPr>
                        <w:rFonts w:ascii="Cambria Math" w:eastAsiaTheme="minorHAnsi" w:hAnsi="Cambria Math"/>
                        <w:i/>
                      </w:rPr>
                    </m:ctrlPr>
                  </m:fPr>
                  <m:num>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m:t>
                        </m:r>
                      </m:sub>
                    </m:sSub>
                  </m:num>
                  <m:den>
                    <m:r>
                      <w:rPr>
                        <w:rFonts w:ascii="Cambria Math" w:eastAsiaTheme="minorHAnsi" w:hAnsi="Cambria Math"/>
                      </w:rPr>
                      <m:t>L*Cosθ</m:t>
                    </m:r>
                  </m:den>
                </m:f>
                <m:r>
                  <w:rPr>
                    <w:rFonts w:ascii="Cambria Math" w:eastAsiaTheme="minorHAnsi" w:hAnsi="Cambria Math"/>
                  </w:rPr>
                  <m:t xml:space="preserve"> = </m:t>
                </m:r>
                <m:f>
                  <m:fPr>
                    <m:ctrlPr>
                      <w:rPr>
                        <w:rFonts w:ascii="Cambria Math" w:eastAsiaTheme="minorHAnsi" w:hAnsi="Cambria Math"/>
                        <w:i/>
                      </w:rPr>
                    </m:ctrlPr>
                  </m:fPr>
                  <m:num>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G</m:t>
                        </m:r>
                      </m:sub>
                    </m:sSub>
                  </m:num>
                  <m:den>
                    <m:r>
                      <w:rPr>
                        <w:rFonts w:ascii="Cambria Math" w:eastAsiaTheme="minorHAnsi" w:hAnsi="Cambria Math"/>
                      </w:rPr>
                      <m:t>L*Cosθ</m:t>
                    </m:r>
                  </m:den>
                </m:f>
              </m:oMath>
            </m:oMathPara>
          </w:p>
        </w:tc>
        <w:tc>
          <w:tcPr>
            <w:tcW w:w="1705" w:type="dxa"/>
            <w:vAlign w:val="center"/>
          </w:tcPr>
          <w:p w14:paraId="2F244A20" w14:textId="293C375C" w:rsidR="00375CDE" w:rsidRDefault="00375CDE" w:rsidP="00912865">
            <w:pPr>
              <w:jc w:val="right"/>
              <w:rPr>
                <w:rFonts w:eastAsiaTheme="minorHAnsi"/>
              </w:rPr>
            </w:pPr>
            <w:r>
              <w:rPr>
                <w:rFonts w:eastAsiaTheme="minorHAnsi"/>
              </w:rPr>
              <w:t>(</w:t>
            </w:r>
            <w:r w:rsidR="00912865">
              <w:rPr>
                <w:rFonts w:eastAsiaTheme="minorHAnsi"/>
              </w:rPr>
              <w:t>4</w:t>
            </w:r>
            <w:r>
              <w:rPr>
                <w:rFonts w:eastAsiaTheme="minorHAnsi"/>
              </w:rPr>
              <w:t>)</w:t>
            </w:r>
          </w:p>
        </w:tc>
      </w:tr>
    </w:tbl>
    <w:p w14:paraId="01B51E0A" w14:textId="77777777" w:rsidR="00375CDE" w:rsidRDefault="00375CDE" w:rsidP="00605274">
      <w:pPr>
        <w:spacing w:line="240" w:lineRule="auto"/>
        <w:rPr>
          <w:rFonts w:eastAsiaTheme="minorEastAsia"/>
        </w:rPr>
      </w:pPr>
    </w:p>
    <w:p w14:paraId="57741224" w14:textId="4C22E22A" w:rsidR="00C35A98" w:rsidRDefault="00C35A98" w:rsidP="00C35A98">
      <w:pPr>
        <w:rPr>
          <w:rFonts w:eastAsiaTheme="minorHAnsi"/>
        </w:rPr>
      </w:pPr>
      <w:r>
        <w:rPr>
          <w:rFonts w:eastAsiaTheme="minorEastAsia"/>
        </w:rPr>
        <w:t xml:space="preserve">where  </w:t>
      </w:r>
      <m:oMath>
        <m:r>
          <w:rPr>
            <w:rFonts w:ascii="Cambria Math" w:eastAsiaTheme="minorHAnsi" w:hAnsi="Cambria Math"/>
          </w:rPr>
          <m:t>σ</m:t>
        </m:r>
      </m:oMath>
      <w:r>
        <w:rPr>
          <w:rFonts w:eastAsiaTheme="minorEastAsia"/>
        </w:rPr>
        <w:t xml:space="preserve"> = </w:t>
      </w:r>
      <w:r w:rsidR="00D94D18">
        <w:rPr>
          <w:rFonts w:eastAsiaTheme="minorEastAsia"/>
        </w:rPr>
        <w:t>s</w:t>
      </w:r>
      <w:r>
        <w:rPr>
          <w:rFonts w:eastAsiaTheme="minorEastAsia"/>
        </w:rPr>
        <w:t xml:space="preserve">urface </w:t>
      </w:r>
      <w:r w:rsidR="00D94D18">
        <w:rPr>
          <w:rFonts w:eastAsiaTheme="minorEastAsia"/>
        </w:rPr>
        <w:t>t</w:t>
      </w:r>
      <w:r>
        <w:rPr>
          <w:rFonts w:eastAsiaTheme="minorEastAsia"/>
        </w:rPr>
        <w:t>ension;</w:t>
      </w:r>
      <w:r w:rsidR="005E28C0">
        <w:rPr>
          <w:rFonts w:eastAsiaTheme="minorEastAsia"/>
        </w:rPr>
        <w:t xml:space="preserve"> </w:t>
      </w:r>
      <m:oMath>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tens</m:t>
            </m:r>
          </m:sub>
        </m:sSub>
      </m:oMath>
      <w:r>
        <w:rPr>
          <w:rFonts w:eastAsiaTheme="minorEastAsia"/>
        </w:rPr>
        <w:t xml:space="preserve"> =</w:t>
      </w:r>
      <w:r w:rsidR="00D94D18">
        <w:rPr>
          <w:rFonts w:eastAsiaTheme="minorEastAsia"/>
        </w:rPr>
        <w:t xml:space="preserve"> tension force to the liquid surface;</w:t>
      </w:r>
      <w:r w:rsidR="005E28C0">
        <w:rPr>
          <w:rFonts w:eastAsiaTheme="minorEastAsia"/>
        </w:rPr>
        <w:t xml:space="preserve"> </w:t>
      </w:r>
      <m:oMath>
        <m:r>
          <w:rPr>
            <w:rFonts w:ascii="Cambria Math" w:eastAsiaTheme="minorHAnsi" w:hAnsi="Cambria Math"/>
          </w:rPr>
          <m:t>L</m:t>
        </m:r>
        <m:r>
          <w:rPr>
            <w:rFonts w:ascii="Cambria Math" w:eastAsiaTheme="minorEastAsia" w:hAnsi="Cambria Math"/>
          </w:rPr>
          <m:t xml:space="preserve"> </m:t>
        </m:r>
      </m:oMath>
      <w:r w:rsidR="00D94D18">
        <w:rPr>
          <w:rFonts w:eastAsiaTheme="minorEastAsia"/>
        </w:rPr>
        <w:t xml:space="preserve">= wetted length of </w:t>
      </w:r>
      <w:r w:rsidR="00972970">
        <w:rPr>
          <w:rFonts w:eastAsiaTheme="minorEastAsia"/>
        </w:rPr>
        <w:t>W</w:t>
      </w:r>
      <w:r w:rsidR="00D94D18">
        <w:rPr>
          <w:rFonts w:eastAsiaTheme="minorEastAsia"/>
        </w:rPr>
        <w:t xml:space="preserve">ilhelmy plate; </w:t>
      </w:r>
      <m:oMath>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m:t>
            </m:r>
          </m:sub>
        </m:sSub>
      </m:oMath>
      <w:r w:rsidR="00D94D18">
        <w:rPr>
          <w:rFonts w:eastAsiaTheme="minorEastAsia"/>
        </w:rPr>
        <w:t xml:space="preserve">= tension force acting perpendicularly to the liquid surface; </w:t>
      </w:r>
      <m:oMath>
        <m:sSub>
          <m:sSubPr>
            <m:ctrlPr>
              <w:rPr>
                <w:rFonts w:ascii="Cambria Math" w:eastAsiaTheme="minorHAnsi" w:hAnsi="Cambria Math"/>
                <w:i/>
              </w:rPr>
            </m:ctrlPr>
          </m:sSubPr>
          <m:e>
            <m:r>
              <w:rPr>
                <w:rFonts w:ascii="Cambria Math" w:eastAsiaTheme="minorHAnsi" w:hAnsi="Cambria Math"/>
              </w:rPr>
              <m:t>F</m:t>
            </m:r>
          </m:e>
          <m:sub>
            <m:r>
              <w:rPr>
                <w:rFonts w:ascii="Cambria Math" w:eastAsiaTheme="minorHAnsi" w:hAnsi="Cambria Math"/>
              </w:rPr>
              <m:t>G</m:t>
            </m:r>
          </m:sub>
        </m:sSub>
      </m:oMath>
      <w:r w:rsidR="00D94D18">
        <w:rPr>
          <w:rFonts w:eastAsiaTheme="minorEastAsia"/>
        </w:rPr>
        <w:t xml:space="preserve"> = gravitational force of the formed lamella; </w:t>
      </w:r>
      <m:oMath>
        <m:r>
          <w:rPr>
            <w:rFonts w:ascii="Cambria Math" w:eastAsiaTheme="minorHAnsi" w:hAnsi="Cambria Math"/>
          </w:rPr>
          <m:t>θ</m:t>
        </m:r>
      </m:oMath>
      <w:r w:rsidR="00D94D18">
        <w:rPr>
          <w:rFonts w:eastAsiaTheme="minorEastAsia"/>
        </w:rPr>
        <w:t xml:space="preserve"> = contact angle between the liquid phase and plate </w:t>
      </w:r>
    </w:p>
    <w:p w14:paraId="6BE53F04" w14:textId="0FF3E87F" w:rsidR="00D616A2" w:rsidRDefault="006A4BB6" w:rsidP="00D20A08">
      <w:pPr>
        <w:ind w:firstLine="360"/>
        <w:rPr>
          <w:rFonts w:eastAsiaTheme="minorHAnsi"/>
        </w:rPr>
      </w:pPr>
      <w:r>
        <w:rPr>
          <w:rFonts w:eastAsiaTheme="minorHAnsi"/>
        </w:rPr>
        <w:t>For these measurements</w:t>
      </w:r>
      <w:r w:rsidR="00912865">
        <w:rPr>
          <w:rFonts w:eastAsiaTheme="minorHAnsi"/>
        </w:rPr>
        <w:t>,</w:t>
      </w:r>
      <w:r>
        <w:rPr>
          <w:rFonts w:eastAsiaTheme="minorHAnsi"/>
        </w:rPr>
        <w:t xml:space="preserve"> fresh surfactant solutions were prepared by mixing surfactants with </w:t>
      </w:r>
      <w:r w:rsidR="00211B2D">
        <w:rPr>
          <w:rFonts w:eastAsiaTheme="minorHAnsi"/>
        </w:rPr>
        <w:t xml:space="preserve">produced brine at 2 gpt </w:t>
      </w:r>
      <w:r w:rsidR="00211B2D" w:rsidRPr="005F5575">
        <w:rPr>
          <w:rFonts w:eastAsiaTheme="minorHAnsi"/>
        </w:rPr>
        <w:t>concentration.</w:t>
      </w:r>
      <w:r w:rsidR="00A333F4" w:rsidRPr="005F5575">
        <w:rPr>
          <w:rFonts w:eastAsiaTheme="minorHAnsi"/>
        </w:rPr>
        <w:t xml:space="preserve"> </w:t>
      </w:r>
      <w:r w:rsidR="00211B2D" w:rsidRPr="005F5575">
        <w:rPr>
          <w:rFonts w:eastAsiaTheme="minorHAnsi"/>
        </w:rPr>
        <w:t>The experimental steps are described next:</w:t>
      </w:r>
      <w:bookmarkStart w:id="68" w:name="_Toc118484070"/>
      <w:bookmarkStart w:id="69" w:name="_Toc118485282"/>
    </w:p>
    <w:p w14:paraId="4904CBD1" w14:textId="59443A9B" w:rsidR="004E0D00" w:rsidRDefault="005F5575" w:rsidP="004E0D00">
      <w:pPr>
        <w:pStyle w:val="ListParagraph"/>
        <w:numPr>
          <w:ilvl w:val="0"/>
          <w:numId w:val="13"/>
        </w:numPr>
        <w:rPr>
          <w:rFonts w:eastAsiaTheme="minorHAnsi"/>
        </w:rPr>
      </w:pPr>
      <w:r>
        <w:rPr>
          <w:rFonts w:eastAsiaTheme="minorHAnsi"/>
        </w:rPr>
        <w:t xml:space="preserve">Sample vessel is prepared by rinsing </w:t>
      </w:r>
      <w:r w:rsidR="00C27634">
        <w:rPr>
          <w:rFonts w:eastAsiaTheme="minorHAnsi"/>
        </w:rPr>
        <w:t>it</w:t>
      </w:r>
      <w:r>
        <w:rPr>
          <w:rFonts w:eastAsiaTheme="minorHAnsi"/>
        </w:rPr>
        <w:t xml:space="preserve"> 2 to 3 times with </w:t>
      </w:r>
      <w:r w:rsidR="00912865">
        <w:rPr>
          <w:rFonts w:eastAsiaTheme="minorHAnsi"/>
        </w:rPr>
        <w:t>HPLC-grade</w:t>
      </w:r>
      <w:r>
        <w:rPr>
          <w:rFonts w:eastAsiaTheme="minorHAnsi"/>
        </w:rPr>
        <w:t xml:space="preserve"> water</w:t>
      </w:r>
      <w:r w:rsidR="00CC7751">
        <w:rPr>
          <w:rFonts w:eastAsiaTheme="minorHAnsi"/>
        </w:rPr>
        <w:t xml:space="preserve"> and then drying it in oven for 15 minutes</w:t>
      </w:r>
      <w:r w:rsidR="004E0D00">
        <w:rPr>
          <w:rFonts w:eastAsiaTheme="minorHAnsi"/>
        </w:rPr>
        <w:t xml:space="preserve">. Wilhelmy plate is prepared by </w:t>
      </w:r>
      <w:r w:rsidR="00C70CEC">
        <w:rPr>
          <w:rFonts w:eastAsiaTheme="minorHAnsi"/>
        </w:rPr>
        <w:t>cleaning</w:t>
      </w:r>
      <w:r w:rsidR="004E0D00">
        <w:rPr>
          <w:rFonts w:eastAsiaTheme="minorHAnsi"/>
        </w:rPr>
        <w:t xml:space="preserve"> </w:t>
      </w:r>
      <w:r w:rsidR="002A3B26">
        <w:rPr>
          <w:rFonts w:eastAsiaTheme="minorHAnsi"/>
        </w:rPr>
        <w:t>it</w:t>
      </w:r>
      <w:r w:rsidR="004E0D00">
        <w:rPr>
          <w:rFonts w:eastAsiaTheme="minorHAnsi"/>
        </w:rPr>
        <w:t xml:space="preserve"> under </w:t>
      </w:r>
      <w:r w:rsidR="00912865">
        <w:rPr>
          <w:rFonts w:eastAsiaTheme="minorHAnsi"/>
        </w:rPr>
        <w:t>a bunsen</w:t>
      </w:r>
      <w:r w:rsidR="004E0D00">
        <w:rPr>
          <w:rFonts w:eastAsiaTheme="minorHAnsi"/>
        </w:rPr>
        <w:t xml:space="preserve"> burner for 7 to 10 seconds.</w:t>
      </w:r>
    </w:p>
    <w:p w14:paraId="68717913" w14:textId="79106041" w:rsidR="00AA3B8C" w:rsidRDefault="00AA3B8C" w:rsidP="004E0D00">
      <w:pPr>
        <w:pStyle w:val="ListParagraph"/>
        <w:numPr>
          <w:ilvl w:val="0"/>
          <w:numId w:val="13"/>
        </w:numPr>
        <w:rPr>
          <w:rFonts w:eastAsiaTheme="minorHAnsi"/>
        </w:rPr>
      </w:pPr>
      <w:r>
        <w:rPr>
          <w:rFonts w:eastAsiaTheme="minorHAnsi"/>
        </w:rPr>
        <w:t>Syringe</w:t>
      </w:r>
      <w:r w:rsidR="00912865">
        <w:rPr>
          <w:rFonts w:eastAsiaTheme="minorHAnsi"/>
        </w:rPr>
        <w:t>,</w:t>
      </w:r>
      <w:r>
        <w:rPr>
          <w:rFonts w:eastAsiaTheme="minorHAnsi"/>
        </w:rPr>
        <w:t xml:space="preserve"> which hold</w:t>
      </w:r>
      <w:r w:rsidR="00CD1C1A">
        <w:rPr>
          <w:rFonts w:eastAsiaTheme="minorHAnsi"/>
        </w:rPr>
        <w:t>s</w:t>
      </w:r>
      <w:r>
        <w:rPr>
          <w:rFonts w:eastAsiaTheme="minorHAnsi"/>
        </w:rPr>
        <w:t xml:space="preserve"> </w:t>
      </w:r>
      <w:r w:rsidR="00912865">
        <w:rPr>
          <w:rFonts w:eastAsiaTheme="minorHAnsi"/>
        </w:rPr>
        <w:t xml:space="preserve">the </w:t>
      </w:r>
      <w:r>
        <w:rPr>
          <w:rFonts w:eastAsiaTheme="minorHAnsi"/>
        </w:rPr>
        <w:t>surfactant</w:t>
      </w:r>
      <w:r w:rsidR="00420932">
        <w:rPr>
          <w:rFonts w:eastAsiaTheme="minorHAnsi"/>
        </w:rPr>
        <w:t xml:space="preserve"> </w:t>
      </w:r>
      <w:r w:rsidR="001B0FF7">
        <w:rPr>
          <w:rFonts w:eastAsiaTheme="minorHAnsi"/>
        </w:rPr>
        <w:t>solution</w:t>
      </w:r>
      <w:r w:rsidR="00912865">
        <w:rPr>
          <w:rFonts w:eastAsiaTheme="minorHAnsi"/>
        </w:rPr>
        <w:t>,</w:t>
      </w:r>
      <w:r w:rsidR="001B0FF7">
        <w:rPr>
          <w:rFonts w:eastAsiaTheme="minorHAnsi"/>
        </w:rPr>
        <w:t xml:space="preserve"> </w:t>
      </w:r>
      <w:r w:rsidR="00420932">
        <w:rPr>
          <w:rFonts w:eastAsiaTheme="minorHAnsi"/>
        </w:rPr>
        <w:t xml:space="preserve">and </w:t>
      </w:r>
      <w:r w:rsidR="00AF1675">
        <w:rPr>
          <w:rFonts w:eastAsiaTheme="minorHAnsi"/>
        </w:rPr>
        <w:t xml:space="preserve">the </w:t>
      </w:r>
      <w:r w:rsidR="00420932">
        <w:rPr>
          <w:rFonts w:eastAsiaTheme="minorHAnsi"/>
        </w:rPr>
        <w:t>tube</w:t>
      </w:r>
      <w:r w:rsidR="00912865">
        <w:rPr>
          <w:rFonts w:eastAsiaTheme="minorHAnsi"/>
        </w:rPr>
        <w:t>,</w:t>
      </w:r>
      <w:r w:rsidR="00420932">
        <w:rPr>
          <w:rFonts w:eastAsiaTheme="minorHAnsi"/>
        </w:rPr>
        <w:t xml:space="preserve"> which brings surfactant from </w:t>
      </w:r>
      <w:r w:rsidR="002A3B26">
        <w:rPr>
          <w:rFonts w:eastAsiaTheme="minorHAnsi"/>
        </w:rPr>
        <w:t>it</w:t>
      </w:r>
      <w:r w:rsidR="004C61E5">
        <w:rPr>
          <w:rFonts w:eastAsiaTheme="minorHAnsi"/>
        </w:rPr>
        <w:t>s</w:t>
      </w:r>
      <w:r w:rsidR="002A3B26">
        <w:rPr>
          <w:rFonts w:eastAsiaTheme="minorHAnsi"/>
        </w:rPr>
        <w:t xml:space="preserve"> </w:t>
      </w:r>
      <w:r w:rsidR="00420932">
        <w:rPr>
          <w:rFonts w:eastAsiaTheme="minorHAnsi"/>
        </w:rPr>
        <w:t>reservoir to syringe and then from syringe to the sample vessel</w:t>
      </w:r>
      <w:r w:rsidR="00912865">
        <w:rPr>
          <w:rFonts w:eastAsiaTheme="minorHAnsi"/>
        </w:rPr>
        <w:t>,</w:t>
      </w:r>
      <w:r w:rsidR="00420932">
        <w:rPr>
          <w:rFonts w:eastAsiaTheme="minorHAnsi"/>
        </w:rPr>
        <w:t xml:space="preserve"> </w:t>
      </w:r>
      <w:r w:rsidR="00CD1C1A">
        <w:rPr>
          <w:rFonts w:eastAsiaTheme="minorHAnsi"/>
        </w:rPr>
        <w:t>are</w:t>
      </w:r>
      <w:r w:rsidR="00420932">
        <w:rPr>
          <w:rFonts w:eastAsiaTheme="minorHAnsi"/>
        </w:rPr>
        <w:t xml:space="preserve"> rinsed with multiple purge and refill cycles using </w:t>
      </w:r>
      <w:r w:rsidR="00912865">
        <w:rPr>
          <w:rFonts w:eastAsiaTheme="minorHAnsi"/>
        </w:rPr>
        <w:t>HPLC-grade</w:t>
      </w:r>
      <w:r w:rsidR="00420932">
        <w:rPr>
          <w:rFonts w:eastAsiaTheme="minorHAnsi"/>
        </w:rPr>
        <w:t xml:space="preserve"> water.</w:t>
      </w:r>
    </w:p>
    <w:p w14:paraId="5678A02D" w14:textId="16B3FE2A" w:rsidR="000A6D0C" w:rsidRPr="00B07546" w:rsidRDefault="000A6D0C" w:rsidP="00B07546">
      <w:pPr>
        <w:pStyle w:val="ListParagraph"/>
        <w:numPr>
          <w:ilvl w:val="0"/>
          <w:numId w:val="13"/>
        </w:numPr>
        <w:rPr>
          <w:rFonts w:eastAsiaTheme="minorHAnsi"/>
        </w:rPr>
      </w:pPr>
      <w:r>
        <w:rPr>
          <w:rFonts w:eastAsiaTheme="minorHAnsi"/>
        </w:rPr>
        <w:t xml:space="preserve">Syringe is refilled with surfactant solution and purged for </w:t>
      </w:r>
      <w:r w:rsidR="00912865">
        <w:rPr>
          <w:rFonts w:eastAsiaTheme="minorHAnsi"/>
        </w:rPr>
        <w:t xml:space="preserve">a </w:t>
      </w:r>
      <w:r>
        <w:rPr>
          <w:rFonts w:eastAsiaTheme="minorHAnsi"/>
        </w:rPr>
        <w:t xml:space="preserve">few seconds to remove water and air from the </w:t>
      </w:r>
      <w:r w:rsidR="003A341F">
        <w:rPr>
          <w:rFonts w:eastAsiaTheme="minorHAnsi"/>
        </w:rPr>
        <w:t xml:space="preserve">syringe and </w:t>
      </w:r>
      <w:r>
        <w:rPr>
          <w:rFonts w:eastAsiaTheme="minorHAnsi"/>
        </w:rPr>
        <w:t>tube</w:t>
      </w:r>
      <w:r w:rsidR="00912865">
        <w:rPr>
          <w:rFonts w:eastAsiaTheme="minorHAnsi"/>
        </w:rPr>
        <w:t>,</w:t>
      </w:r>
      <w:r>
        <w:rPr>
          <w:rFonts w:eastAsiaTheme="minorHAnsi"/>
        </w:rPr>
        <w:t xml:space="preserve"> which brings surfactant to the sample vessel.</w:t>
      </w:r>
    </w:p>
    <w:p w14:paraId="4DDEE7E2" w14:textId="0F67F36C" w:rsidR="004E0D00" w:rsidRDefault="00CC7751" w:rsidP="004E0D00">
      <w:pPr>
        <w:pStyle w:val="ListParagraph"/>
        <w:numPr>
          <w:ilvl w:val="0"/>
          <w:numId w:val="13"/>
        </w:numPr>
        <w:rPr>
          <w:rFonts w:eastAsiaTheme="minorHAnsi"/>
        </w:rPr>
      </w:pPr>
      <w:r>
        <w:rPr>
          <w:rFonts w:eastAsiaTheme="minorHAnsi"/>
        </w:rPr>
        <w:t>DCAT 25 is calibrated with no sample vessel</w:t>
      </w:r>
      <w:r w:rsidR="001F00FB">
        <w:rPr>
          <w:rFonts w:eastAsiaTheme="minorHAnsi"/>
        </w:rPr>
        <w:t xml:space="preserve"> and probe.</w:t>
      </w:r>
    </w:p>
    <w:p w14:paraId="0297BCE6" w14:textId="29023D0D" w:rsidR="00CC7751" w:rsidRDefault="00D64C6E" w:rsidP="004E0D00">
      <w:pPr>
        <w:pStyle w:val="ListParagraph"/>
        <w:numPr>
          <w:ilvl w:val="0"/>
          <w:numId w:val="13"/>
        </w:numPr>
        <w:rPr>
          <w:rFonts w:eastAsiaTheme="minorHAnsi"/>
        </w:rPr>
      </w:pPr>
      <w:r>
        <w:rPr>
          <w:rFonts w:eastAsiaTheme="minorHAnsi"/>
        </w:rPr>
        <w:t>After successful calibration, s</w:t>
      </w:r>
      <w:r w:rsidR="00CC7751">
        <w:rPr>
          <w:rFonts w:eastAsiaTheme="minorHAnsi"/>
        </w:rPr>
        <w:t xml:space="preserve">ample vessel with 50 gm of </w:t>
      </w:r>
      <w:r w:rsidR="00912865">
        <w:rPr>
          <w:rFonts w:eastAsiaTheme="minorHAnsi"/>
        </w:rPr>
        <w:t>HPLC-grade</w:t>
      </w:r>
      <w:r w:rsidR="00CC7751">
        <w:rPr>
          <w:rFonts w:eastAsiaTheme="minorHAnsi"/>
        </w:rPr>
        <w:t xml:space="preserve"> water and </w:t>
      </w:r>
      <w:r w:rsidR="00912865">
        <w:rPr>
          <w:rFonts w:eastAsiaTheme="minorHAnsi"/>
        </w:rPr>
        <w:t xml:space="preserve">a </w:t>
      </w:r>
      <w:r w:rsidR="00CC7751">
        <w:rPr>
          <w:rFonts w:eastAsiaTheme="minorHAnsi"/>
        </w:rPr>
        <w:t xml:space="preserve">thin stirrer are kept carefully </w:t>
      </w:r>
      <w:r w:rsidR="00912865">
        <w:rPr>
          <w:rFonts w:eastAsiaTheme="minorHAnsi"/>
        </w:rPr>
        <w:t>in</w:t>
      </w:r>
      <w:r w:rsidR="00CC7751">
        <w:rPr>
          <w:rFonts w:eastAsiaTheme="minorHAnsi"/>
        </w:rPr>
        <w:t xml:space="preserve"> the DCAT25. </w:t>
      </w:r>
    </w:p>
    <w:p w14:paraId="6C272CA6" w14:textId="7BF4C53E" w:rsidR="00CC7751" w:rsidRDefault="00CC7751" w:rsidP="004E0D00">
      <w:pPr>
        <w:pStyle w:val="ListParagraph"/>
        <w:numPr>
          <w:ilvl w:val="0"/>
          <w:numId w:val="13"/>
        </w:numPr>
        <w:rPr>
          <w:rFonts w:eastAsiaTheme="minorHAnsi"/>
        </w:rPr>
      </w:pPr>
      <w:r>
        <w:rPr>
          <w:rFonts w:eastAsiaTheme="minorHAnsi"/>
        </w:rPr>
        <w:t>Probe holder is locked</w:t>
      </w:r>
      <w:r w:rsidR="00912865">
        <w:rPr>
          <w:rFonts w:eastAsiaTheme="minorHAnsi"/>
        </w:rPr>
        <w:t>,</w:t>
      </w:r>
      <w:r>
        <w:rPr>
          <w:rFonts w:eastAsiaTheme="minorHAnsi"/>
        </w:rPr>
        <w:t xml:space="preserve"> </w:t>
      </w:r>
      <w:r w:rsidR="00C27634">
        <w:rPr>
          <w:rFonts w:eastAsiaTheme="minorHAnsi"/>
        </w:rPr>
        <w:t xml:space="preserve">and Wilhelmy plate </w:t>
      </w:r>
      <w:r w:rsidR="001F00FB">
        <w:rPr>
          <w:rFonts w:eastAsiaTheme="minorHAnsi"/>
        </w:rPr>
        <w:t xml:space="preserve">is </w:t>
      </w:r>
      <w:r w:rsidR="00C27634">
        <w:rPr>
          <w:rFonts w:eastAsiaTheme="minorHAnsi"/>
        </w:rPr>
        <w:t xml:space="preserve">placed into the holder. Stage with sample vessel is moved upwards until distance between </w:t>
      </w:r>
      <w:r w:rsidR="00912865">
        <w:rPr>
          <w:rFonts w:eastAsiaTheme="minorHAnsi"/>
        </w:rPr>
        <w:t xml:space="preserve">the </w:t>
      </w:r>
      <w:r w:rsidR="00C27634">
        <w:rPr>
          <w:rFonts w:eastAsiaTheme="minorHAnsi"/>
        </w:rPr>
        <w:t>top of liquid interface and bottom of</w:t>
      </w:r>
      <w:r w:rsidR="00320E6D">
        <w:rPr>
          <w:rFonts w:eastAsiaTheme="minorHAnsi"/>
        </w:rPr>
        <w:t xml:space="preserve"> the</w:t>
      </w:r>
      <w:r w:rsidR="00C27634">
        <w:rPr>
          <w:rFonts w:eastAsiaTheme="minorHAnsi"/>
        </w:rPr>
        <w:t xml:space="preserve"> Wilhelmy plate is about ~5 mm.</w:t>
      </w:r>
    </w:p>
    <w:p w14:paraId="43D72ECC" w14:textId="7DC6DFB4" w:rsidR="00C27634" w:rsidRDefault="00AA3B8C" w:rsidP="004E0D00">
      <w:pPr>
        <w:pStyle w:val="ListParagraph"/>
        <w:numPr>
          <w:ilvl w:val="0"/>
          <w:numId w:val="13"/>
        </w:numPr>
        <w:rPr>
          <w:rFonts w:eastAsiaTheme="minorHAnsi"/>
        </w:rPr>
      </w:pPr>
      <w:r>
        <w:rPr>
          <w:rFonts w:eastAsiaTheme="minorHAnsi"/>
        </w:rPr>
        <w:t>Probe is unlocked to start the measurement</w:t>
      </w:r>
      <w:r w:rsidR="00385023">
        <w:rPr>
          <w:rFonts w:eastAsiaTheme="minorHAnsi"/>
        </w:rPr>
        <w:t xml:space="preserve"> using </w:t>
      </w:r>
      <w:r w:rsidR="00970CAB">
        <w:rPr>
          <w:rFonts w:eastAsiaTheme="minorHAnsi"/>
        </w:rPr>
        <w:t>CMC software.</w:t>
      </w:r>
    </w:p>
    <w:p w14:paraId="509B8B20" w14:textId="50A0BFA5" w:rsidR="008F7825" w:rsidRPr="00626F62" w:rsidRDefault="00970CAB" w:rsidP="00626F62">
      <w:pPr>
        <w:pStyle w:val="ListParagraph"/>
        <w:numPr>
          <w:ilvl w:val="0"/>
          <w:numId w:val="13"/>
        </w:numPr>
        <w:rPr>
          <w:rFonts w:eastAsiaTheme="minorHAnsi"/>
        </w:rPr>
      </w:pPr>
      <w:r>
        <w:rPr>
          <w:rFonts w:eastAsiaTheme="minorHAnsi"/>
        </w:rPr>
        <w:lastRenderedPageBreak/>
        <w:t xml:space="preserve">With </w:t>
      </w:r>
      <w:r w:rsidR="00912865">
        <w:rPr>
          <w:rFonts w:eastAsiaTheme="minorHAnsi"/>
        </w:rPr>
        <w:t xml:space="preserve">the </w:t>
      </w:r>
      <w:r>
        <w:rPr>
          <w:rFonts w:eastAsiaTheme="minorHAnsi"/>
        </w:rPr>
        <w:t xml:space="preserve">density of surfactant solution, </w:t>
      </w:r>
      <w:r w:rsidR="00E03374">
        <w:rPr>
          <w:rFonts w:eastAsiaTheme="minorHAnsi"/>
        </w:rPr>
        <w:t xml:space="preserve">concentration range, </w:t>
      </w:r>
      <w:r w:rsidR="00A27115">
        <w:rPr>
          <w:rFonts w:eastAsiaTheme="minorHAnsi"/>
        </w:rPr>
        <w:t xml:space="preserve">number of data points, </w:t>
      </w:r>
      <w:r>
        <w:rPr>
          <w:rFonts w:eastAsiaTheme="minorHAnsi"/>
        </w:rPr>
        <w:t>dosing rate</w:t>
      </w:r>
      <w:r w:rsidR="00912865">
        <w:rPr>
          <w:rFonts w:eastAsiaTheme="minorHAnsi"/>
        </w:rPr>
        <w:t>,</w:t>
      </w:r>
      <w:r>
        <w:rPr>
          <w:rFonts w:eastAsiaTheme="minorHAnsi"/>
        </w:rPr>
        <w:t xml:space="preserve"> and duration of stirring after each dosing as the input</w:t>
      </w:r>
      <w:r w:rsidR="00CD5795">
        <w:rPr>
          <w:rFonts w:eastAsiaTheme="minorHAnsi"/>
        </w:rPr>
        <w:t>s</w:t>
      </w:r>
      <w:r>
        <w:rPr>
          <w:rFonts w:eastAsiaTheme="minorHAnsi"/>
        </w:rPr>
        <w:t xml:space="preserve"> measurement of CMC is started. Dosing rate is the rate at </w:t>
      </w:r>
      <w:r w:rsidR="008F7825">
        <w:rPr>
          <w:rFonts w:eastAsiaTheme="minorHAnsi"/>
        </w:rPr>
        <w:t>which</w:t>
      </w:r>
      <w:r>
        <w:rPr>
          <w:rFonts w:eastAsiaTheme="minorHAnsi"/>
        </w:rPr>
        <w:t xml:space="preserve"> syringe </w:t>
      </w:r>
      <w:r w:rsidR="00626F62">
        <w:rPr>
          <w:rFonts w:eastAsiaTheme="minorHAnsi"/>
        </w:rPr>
        <w:t xml:space="preserve">dispenses </w:t>
      </w:r>
      <w:r w:rsidR="006F1A61">
        <w:rPr>
          <w:rFonts w:eastAsiaTheme="minorHAnsi"/>
        </w:rPr>
        <w:t xml:space="preserve">a </w:t>
      </w:r>
      <w:r w:rsidR="00626F62">
        <w:rPr>
          <w:rFonts w:eastAsiaTheme="minorHAnsi"/>
        </w:rPr>
        <w:t xml:space="preserve">given amount of surfactant into the </w:t>
      </w:r>
      <w:r w:rsidRPr="00626F62">
        <w:rPr>
          <w:rFonts w:eastAsiaTheme="minorHAnsi"/>
        </w:rPr>
        <w:t xml:space="preserve">sample vessel. </w:t>
      </w:r>
    </w:p>
    <w:p w14:paraId="63162B3F" w14:textId="783B347F" w:rsidR="00CC7751" w:rsidRPr="00B4054D" w:rsidRDefault="008F7825" w:rsidP="00CC7751">
      <w:pPr>
        <w:pStyle w:val="ListParagraph"/>
        <w:numPr>
          <w:ilvl w:val="0"/>
          <w:numId w:val="13"/>
        </w:numPr>
        <w:rPr>
          <w:rFonts w:eastAsiaTheme="minorHAnsi"/>
        </w:rPr>
      </w:pPr>
      <w:r>
        <w:rPr>
          <w:rFonts w:eastAsiaTheme="minorHAnsi"/>
        </w:rPr>
        <w:t xml:space="preserve">Wilhelmy </w:t>
      </w:r>
      <w:r w:rsidR="00CD5795">
        <w:rPr>
          <w:rFonts w:eastAsiaTheme="minorHAnsi"/>
        </w:rPr>
        <w:t>plate</w:t>
      </w:r>
      <w:r>
        <w:rPr>
          <w:rFonts w:eastAsiaTheme="minorHAnsi"/>
        </w:rPr>
        <w:t xml:space="preserve"> measures surface tension of HPLC </w:t>
      </w:r>
      <w:r w:rsidR="00CD5795">
        <w:rPr>
          <w:rFonts w:eastAsiaTheme="minorHAnsi"/>
        </w:rPr>
        <w:t>grade</w:t>
      </w:r>
      <w:r>
        <w:rPr>
          <w:rFonts w:eastAsiaTheme="minorHAnsi"/>
        </w:rPr>
        <w:t xml:space="preserve"> water as ~72 mN/m.</w:t>
      </w:r>
      <w:r w:rsidR="00CD5795">
        <w:rPr>
          <w:rFonts w:eastAsiaTheme="minorHAnsi"/>
        </w:rPr>
        <w:t xml:space="preserve"> After that</w:t>
      </w:r>
      <w:r w:rsidR="006F1A61">
        <w:rPr>
          <w:rFonts w:eastAsiaTheme="minorHAnsi"/>
        </w:rPr>
        <w:t>,</w:t>
      </w:r>
      <w:r w:rsidR="00CD5795">
        <w:rPr>
          <w:rFonts w:eastAsiaTheme="minorHAnsi"/>
        </w:rPr>
        <w:t xml:space="preserve"> the syringe starts adding surfactant solution into the vessel</w:t>
      </w:r>
      <w:r w:rsidR="006F1A61">
        <w:rPr>
          <w:rFonts w:eastAsiaTheme="minorHAnsi"/>
        </w:rPr>
        <w:t>,</w:t>
      </w:r>
      <w:r w:rsidR="00CD5795">
        <w:rPr>
          <w:rFonts w:eastAsiaTheme="minorHAnsi"/>
        </w:rPr>
        <w:t xml:space="preserve"> and surface tension measurement</w:t>
      </w:r>
      <w:r w:rsidR="00A27115">
        <w:rPr>
          <w:rFonts w:eastAsiaTheme="minorHAnsi"/>
        </w:rPr>
        <w:t>s</w:t>
      </w:r>
      <w:r w:rsidR="00CD5795">
        <w:rPr>
          <w:rFonts w:eastAsiaTheme="minorHAnsi"/>
        </w:rPr>
        <w:t xml:space="preserve"> are repeated</w:t>
      </w:r>
      <w:r w:rsidR="00A27115">
        <w:rPr>
          <w:rFonts w:eastAsiaTheme="minorHAnsi"/>
        </w:rPr>
        <w:t xml:space="preserve">. </w:t>
      </w:r>
      <w:r w:rsidRPr="00A27115">
        <w:rPr>
          <w:rFonts w:eastAsiaTheme="minorHAnsi"/>
        </w:rPr>
        <w:t>To measure CMC close to its actual value</w:t>
      </w:r>
      <w:r w:rsidR="006F1A61">
        <w:rPr>
          <w:rFonts w:eastAsiaTheme="minorHAnsi"/>
        </w:rPr>
        <w:t>,</w:t>
      </w:r>
      <w:r w:rsidRPr="00A27115">
        <w:rPr>
          <w:rFonts w:eastAsiaTheme="minorHAnsi"/>
        </w:rPr>
        <w:t xml:space="preserve"> it is ensured that the first </w:t>
      </w:r>
      <w:r w:rsidR="00A27115">
        <w:rPr>
          <w:rFonts w:eastAsiaTheme="minorHAnsi"/>
        </w:rPr>
        <w:t>surface tension reading after addition of surfactant is ~65 mN/m</w:t>
      </w:r>
      <w:r w:rsidR="006F1A61">
        <w:rPr>
          <w:rFonts w:eastAsiaTheme="minorHAnsi"/>
        </w:rPr>
        <w:t>. Also,</w:t>
      </w:r>
      <w:r w:rsidR="00A27115">
        <w:rPr>
          <w:rFonts w:eastAsiaTheme="minorHAnsi"/>
        </w:rPr>
        <w:t xml:space="preserve"> there are </w:t>
      </w:r>
      <w:r w:rsidR="006F1A61">
        <w:rPr>
          <w:rFonts w:eastAsiaTheme="minorHAnsi"/>
        </w:rPr>
        <w:t>at least</w:t>
      </w:r>
      <w:r w:rsidR="00A27115">
        <w:rPr>
          <w:rFonts w:eastAsiaTheme="minorHAnsi"/>
        </w:rPr>
        <w:t xml:space="preserve"> 10 </w:t>
      </w:r>
      <w:r w:rsidR="006F1A61">
        <w:rPr>
          <w:rFonts w:eastAsiaTheme="minorHAnsi"/>
        </w:rPr>
        <w:t>data points</w:t>
      </w:r>
      <w:r w:rsidR="00626F62">
        <w:rPr>
          <w:rFonts w:eastAsiaTheme="minorHAnsi"/>
        </w:rPr>
        <w:t xml:space="preserve"> before the expected CMC value.</w:t>
      </w:r>
    </w:p>
    <w:p w14:paraId="30D3778A" w14:textId="629E3F0A" w:rsidR="00010F6D" w:rsidRPr="00D616A2" w:rsidRDefault="00010F6D" w:rsidP="00D616A2">
      <w:pPr>
        <w:pStyle w:val="Heading3"/>
        <w:rPr>
          <w:rFonts w:eastAsiaTheme="minorHAnsi"/>
        </w:rPr>
      </w:pPr>
      <w:bookmarkStart w:id="70" w:name="_Toc121470249"/>
      <w:r>
        <w:t>3.2.</w:t>
      </w:r>
      <w:r w:rsidR="005139AC">
        <w:t>4</w:t>
      </w:r>
      <w:r>
        <w:t xml:space="preserve"> </w:t>
      </w:r>
      <w:r w:rsidR="00CD166A">
        <w:t>Interfacial Tension Measurements</w:t>
      </w:r>
      <w:bookmarkEnd w:id="68"/>
      <w:bookmarkEnd w:id="69"/>
      <w:bookmarkEnd w:id="70"/>
    </w:p>
    <w:p w14:paraId="09CBB929" w14:textId="1CB66CED" w:rsidR="00821488" w:rsidRDefault="001814B6" w:rsidP="006836CB">
      <w:pPr>
        <w:rPr>
          <w:rFonts w:eastAsiaTheme="minorHAnsi"/>
        </w:rPr>
      </w:pPr>
      <w:r w:rsidRPr="005676EA">
        <w:rPr>
          <w:rFonts w:eastAsiaTheme="minorHAnsi"/>
        </w:rPr>
        <w:t xml:space="preserve">Interfacial Tension </w:t>
      </w:r>
      <w:r>
        <w:rPr>
          <w:rFonts w:eastAsiaTheme="minorHAnsi"/>
        </w:rPr>
        <w:t>(</w:t>
      </w:r>
      <w:r w:rsidR="00D2343F">
        <w:rPr>
          <w:rFonts w:eastAsiaTheme="minorHAnsi"/>
        </w:rPr>
        <w:t>IFT</w:t>
      </w:r>
      <w:r>
        <w:rPr>
          <w:rFonts w:eastAsiaTheme="minorHAnsi"/>
        </w:rPr>
        <w:t>)</w:t>
      </w:r>
      <w:r w:rsidR="00D2343F">
        <w:rPr>
          <w:rFonts w:eastAsiaTheme="minorHAnsi"/>
        </w:rPr>
        <w:t xml:space="preserve"> measurements were performed using Drop Shape Analyzer (DSA100E, </w:t>
      </w:r>
      <w:r w:rsidR="00D2343F" w:rsidRPr="007E6CF7">
        <w:rPr>
          <w:rFonts w:eastAsiaTheme="minorHAnsi"/>
        </w:rPr>
        <w:t>KRUSS</w:t>
      </w:r>
      <w:r w:rsidR="00D2343F">
        <w:rPr>
          <w:rFonts w:eastAsiaTheme="minorHAnsi"/>
        </w:rPr>
        <w:t xml:space="preserve">) </w:t>
      </w:r>
      <w:r w:rsidR="00670422">
        <w:rPr>
          <w:rFonts w:eastAsiaTheme="minorHAnsi"/>
        </w:rPr>
        <w:t>at</w:t>
      </w:r>
      <w:r w:rsidR="00D2343F">
        <w:rPr>
          <w:rFonts w:eastAsiaTheme="minorHAnsi"/>
        </w:rPr>
        <w:t xml:space="preserve"> ambient conditions between crude oil and </w:t>
      </w:r>
      <w:r w:rsidR="004816EB">
        <w:rPr>
          <w:rFonts w:eastAsiaTheme="minorHAnsi"/>
        </w:rPr>
        <w:t xml:space="preserve">three </w:t>
      </w:r>
      <w:r w:rsidR="00D2343F">
        <w:rPr>
          <w:rFonts w:eastAsiaTheme="minorHAnsi"/>
        </w:rPr>
        <w:t>surfactant solutions at 2 gpt concentration along with produced brine.</w:t>
      </w:r>
      <w:r w:rsidR="00A333F4">
        <w:rPr>
          <w:rFonts w:eastAsiaTheme="minorHAnsi"/>
        </w:rPr>
        <w:t xml:space="preserve"> </w:t>
      </w:r>
      <w:r w:rsidR="00D2343F">
        <w:rPr>
          <w:rFonts w:eastAsiaTheme="minorHAnsi"/>
        </w:rPr>
        <w:t xml:space="preserve">Pendant drop method was used to measure IFT. </w:t>
      </w:r>
      <w:r w:rsidR="00821488">
        <w:rPr>
          <w:rFonts w:eastAsiaTheme="minorHAnsi"/>
        </w:rPr>
        <w:t>The experimental steps are described next:</w:t>
      </w:r>
    </w:p>
    <w:p w14:paraId="0BDE21CA" w14:textId="1C48B453" w:rsidR="00821488" w:rsidRDefault="00D2343F" w:rsidP="00821488">
      <w:pPr>
        <w:pStyle w:val="ListParagraph"/>
        <w:numPr>
          <w:ilvl w:val="0"/>
          <w:numId w:val="6"/>
        </w:numPr>
        <w:rPr>
          <w:rFonts w:eastAsiaTheme="minorHAnsi"/>
        </w:rPr>
      </w:pPr>
      <w:r w:rsidRPr="00821488">
        <w:rPr>
          <w:rFonts w:eastAsiaTheme="minorHAnsi"/>
        </w:rPr>
        <w:t>Surfactant</w:t>
      </w:r>
      <w:r w:rsidR="00921A46" w:rsidRPr="00821488">
        <w:rPr>
          <w:rFonts w:eastAsiaTheme="minorHAnsi"/>
        </w:rPr>
        <w:t xml:space="preserve"> solutions </w:t>
      </w:r>
      <w:r w:rsidRPr="00821488">
        <w:rPr>
          <w:rFonts w:eastAsiaTheme="minorHAnsi"/>
        </w:rPr>
        <w:t xml:space="preserve">and </w:t>
      </w:r>
      <w:r w:rsidR="008624B4" w:rsidRPr="00821488">
        <w:rPr>
          <w:rFonts w:eastAsiaTheme="minorHAnsi"/>
        </w:rPr>
        <w:t xml:space="preserve">produced </w:t>
      </w:r>
      <w:r w:rsidRPr="00821488">
        <w:rPr>
          <w:rFonts w:eastAsiaTheme="minorHAnsi"/>
        </w:rPr>
        <w:t>brine were kept in a quartz cuvette</w:t>
      </w:r>
      <w:r w:rsidR="00821488">
        <w:rPr>
          <w:rFonts w:eastAsiaTheme="minorHAnsi"/>
        </w:rPr>
        <w:t>.</w:t>
      </w:r>
      <w:r w:rsidR="00A333F4">
        <w:rPr>
          <w:rFonts w:eastAsiaTheme="minorHAnsi"/>
        </w:rPr>
        <w:t xml:space="preserve"> </w:t>
      </w:r>
      <w:r w:rsidR="009F79D9">
        <w:rPr>
          <w:rFonts w:eastAsiaTheme="minorHAnsi"/>
        </w:rPr>
        <w:t xml:space="preserve">Cuvette was carefully cleaned and dried to prevent any </w:t>
      </w:r>
      <w:r w:rsidR="006F1A61">
        <w:rPr>
          <w:rFonts w:eastAsiaTheme="minorHAnsi"/>
        </w:rPr>
        <w:t>cross-contamination</w:t>
      </w:r>
      <w:r w:rsidR="009F79D9">
        <w:rPr>
          <w:rFonts w:eastAsiaTheme="minorHAnsi"/>
        </w:rPr>
        <w:t xml:space="preserve">. </w:t>
      </w:r>
    </w:p>
    <w:p w14:paraId="2B798015" w14:textId="1A10AAD5" w:rsidR="00821488" w:rsidRDefault="00821488" w:rsidP="00821488">
      <w:pPr>
        <w:pStyle w:val="ListParagraph"/>
        <w:numPr>
          <w:ilvl w:val="0"/>
          <w:numId w:val="6"/>
        </w:numPr>
        <w:rPr>
          <w:rFonts w:eastAsiaTheme="minorHAnsi"/>
        </w:rPr>
      </w:pPr>
      <w:r>
        <w:rPr>
          <w:rFonts w:eastAsiaTheme="minorHAnsi"/>
        </w:rPr>
        <w:t>C</w:t>
      </w:r>
      <w:r w:rsidR="00D2343F" w:rsidRPr="00821488">
        <w:rPr>
          <w:rFonts w:eastAsiaTheme="minorHAnsi"/>
        </w:rPr>
        <w:t xml:space="preserve">rude oil was </w:t>
      </w:r>
      <w:r w:rsidR="006F1A61">
        <w:rPr>
          <w:rFonts w:eastAsiaTheme="minorHAnsi"/>
        </w:rPr>
        <w:t xml:space="preserve">slowly dispensed into aqueous solutions </w:t>
      </w:r>
      <w:r w:rsidR="00D2343F" w:rsidRPr="00821488">
        <w:rPr>
          <w:rFonts w:eastAsiaTheme="minorHAnsi"/>
        </w:rPr>
        <w:t xml:space="preserve">through a J-shaped needle facing upwards. </w:t>
      </w:r>
    </w:p>
    <w:p w14:paraId="20AA242E" w14:textId="0D288D09" w:rsidR="009F79D9" w:rsidRDefault="00D2343F" w:rsidP="009F79D9">
      <w:pPr>
        <w:pStyle w:val="ListParagraph"/>
        <w:numPr>
          <w:ilvl w:val="0"/>
          <w:numId w:val="6"/>
        </w:numPr>
        <w:rPr>
          <w:rFonts w:eastAsiaTheme="minorHAnsi"/>
        </w:rPr>
      </w:pPr>
      <w:r w:rsidRPr="00821488">
        <w:rPr>
          <w:rFonts w:eastAsiaTheme="minorHAnsi"/>
        </w:rPr>
        <w:t xml:space="preserve">Using a high-resolution camera with </w:t>
      </w:r>
      <w:r w:rsidR="006F1A61">
        <w:rPr>
          <w:rFonts w:eastAsiaTheme="minorHAnsi"/>
        </w:rPr>
        <w:t xml:space="preserve">the </w:t>
      </w:r>
      <w:r w:rsidRPr="00821488">
        <w:rPr>
          <w:rFonts w:eastAsiaTheme="minorHAnsi"/>
        </w:rPr>
        <w:t xml:space="preserve">density of both fluids as inputs, IFT was calculated by digital processing software using the Laplace equation. </w:t>
      </w:r>
    </w:p>
    <w:p w14:paraId="5C6BD8E6" w14:textId="6067CB82" w:rsidR="00E6325E" w:rsidRPr="009F79D9" w:rsidRDefault="00D2343F" w:rsidP="009F79D9">
      <w:pPr>
        <w:rPr>
          <w:rFonts w:eastAsiaTheme="minorHAnsi"/>
        </w:rPr>
      </w:pPr>
      <w:r w:rsidRPr="009F79D9">
        <w:rPr>
          <w:rFonts w:eastAsiaTheme="minorHAnsi"/>
        </w:rPr>
        <w:t>Measurements were repeated 3 to 5 times for surfactant</w:t>
      </w:r>
      <w:r w:rsidR="003A77B2" w:rsidRPr="009F79D9">
        <w:rPr>
          <w:rFonts w:eastAsiaTheme="minorHAnsi"/>
        </w:rPr>
        <w:t xml:space="preserve"> </w:t>
      </w:r>
      <w:r w:rsidR="00921A46" w:rsidRPr="009F79D9">
        <w:rPr>
          <w:rFonts w:eastAsiaTheme="minorHAnsi"/>
        </w:rPr>
        <w:t>solutions</w:t>
      </w:r>
      <w:r w:rsidRPr="009F79D9">
        <w:rPr>
          <w:rFonts w:eastAsiaTheme="minorHAnsi"/>
        </w:rPr>
        <w:t xml:space="preserve"> and </w:t>
      </w:r>
      <w:r w:rsidR="00A61A58" w:rsidRPr="009F79D9">
        <w:rPr>
          <w:rFonts w:eastAsiaTheme="minorHAnsi"/>
        </w:rPr>
        <w:t xml:space="preserve">produced </w:t>
      </w:r>
      <w:r w:rsidRPr="009F79D9">
        <w:rPr>
          <w:rFonts w:eastAsiaTheme="minorHAnsi"/>
        </w:rPr>
        <w:t xml:space="preserve">brine to get an average. </w:t>
      </w:r>
    </w:p>
    <w:p w14:paraId="3809E418" w14:textId="7ED04971" w:rsidR="00A21811" w:rsidRDefault="00A21811" w:rsidP="0056177D">
      <w:pPr>
        <w:pStyle w:val="Heading2"/>
      </w:pPr>
      <w:bookmarkStart w:id="71" w:name="_Toc118484073"/>
      <w:bookmarkStart w:id="72" w:name="_Toc118485285"/>
      <w:bookmarkStart w:id="73" w:name="_Toc121470250"/>
      <w:r>
        <w:lastRenderedPageBreak/>
        <w:t>3.3 Contact Angle Measurements</w:t>
      </w:r>
      <w:bookmarkEnd w:id="71"/>
      <w:bookmarkEnd w:id="72"/>
      <w:bookmarkEnd w:id="73"/>
      <w:r>
        <w:t xml:space="preserve"> </w:t>
      </w:r>
    </w:p>
    <w:p w14:paraId="0CD7CCA7" w14:textId="59944B42" w:rsidR="009F559F" w:rsidRDefault="006B7346" w:rsidP="009A52FC">
      <w:r w:rsidRPr="006B7346">
        <w:t xml:space="preserve">Contact angle measurements were performed </w:t>
      </w:r>
      <w:r w:rsidR="00F90DAD">
        <w:t>between</w:t>
      </w:r>
      <w:r w:rsidRPr="006B7346">
        <w:t xml:space="preserve"> </w:t>
      </w:r>
      <w:r w:rsidR="00F90DAD">
        <w:t xml:space="preserve">oil and rock samples with produced brine and </w:t>
      </w:r>
      <w:r w:rsidR="004816EB">
        <w:t xml:space="preserve">three </w:t>
      </w:r>
      <w:r w:rsidR="00F90DAD">
        <w:t>surfactant solutions</w:t>
      </w:r>
      <w:r w:rsidR="00325078">
        <w:t xml:space="preserve"> at 2 gpt concentration</w:t>
      </w:r>
      <w:r w:rsidR="00214425">
        <w:t xml:space="preserve"> under ambient conditions</w:t>
      </w:r>
      <w:r w:rsidR="00F90DAD">
        <w:t>.</w:t>
      </w:r>
      <w:r w:rsidR="00A333F4">
        <w:t xml:space="preserve"> </w:t>
      </w:r>
      <w:r w:rsidRPr="006B7346">
        <w:t>Drop Shape Analyzer (DSA100E, KRUSS)</w:t>
      </w:r>
      <w:r w:rsidR="00F90DAD">
        <w:t xml:space="preserve"> was used to determine wettability</w:t>
      </w:r>
      <w:r w:rsidR="00BC0495">
        <w:t>.</w:t>
      </w:r>
      <w:r w:rsidR="00A333F4">
        <w:t xml:space="preserve"> </w:t>
      </w:r>
      <w:r w:rsidR="009F559F" w:rsidRPr="006B7346">
        <w:t xml:space="preserve">The equipment uses </w:t>
      </w:r>
      <w:r w:rsidR="00E950B2">
        <w:t>S</w:t>
      </w:r>
      <w:r w:rsidR="009F559F" w:rsidRPr="006B7346">
        <w:t xml:space="preserve">essile drop method to measure contact angle. </w:t>
      </w:r>
    </w:p>
    <w:p w14:paraId="2CDC215B" w14:textId="640FC7D8" w:rsidR="009A52FC" w:rsidRPr="009A52FC" w:rsidRDefault="00BC0495" w:rsidP="009F559F">
      <w:pPr>
        <w:ind w:firstLine="720"/>
        <w:rPr>
          <w:rFonts w:eastAsiaTheme="minorHAnsi"/>
        </w:rPr>
      </w:pPr>
      <w:r>
        <w:t xml:space="preserve">Wettability </w:t>
      </w:r>
      <w:r w:rsidR="002D6505">
        <w:t>changes</w:t>
      </w:r>
      <w:r>
        <w:t xml:space="preserve"> </w:t>
      </w:r>
      <w:r w:rsidR="00697A0C">
        <w:t xml:space="preserve">by surfactant solutions </w:t>
      </w:r>
      <w:r w:rsidR="00573006">
        <w:t xml:space="preserve">generally </w:t>
      </w:r>
      <w:r w:rsidR="00214425">
        <w:t>indicate the surfactant's effectiveness</w:t>
      </w:r>
      <w:r w:rsidR="00102990">
        <w:t xml:space="preserve"> at that particular concentration</w:t>
      </w:r>
      <w:r w:rsidR="007662FB">
        <w:t>,</w:t>
      </w:r>
      <w:r w:rsidR="001400AB">
        <w:t xml:space="preserve"> which helps in selecting the </w:t>
      </w:r>
      <w:r w:rsidR="00214425">
        <w:t>suitable</w:t>
      </w:r>
      <w:r w:rsidR="001400AB">
        <w:t xml:space="preserve"> surfactant and concentration.</w:t>
      </w:r>
      <w:r w:rsidR="00A333F4">
        <w:t xml:space="preserve"> </w:t>
      </w:r>
      <w:r w:rsidR="009A52FC" w:rsidRPr="006B7346">
        <w:t>Contact angles ranging from 0</w:t>
      </w:r>
      <w:r w:rsidR="009A52FC" w:rsidRPr="009A52FC">
        <w:rPr>
          <w:vertAlign w:val="superscript"/>
        </w:rPr>
        <w:t>o</w:t>
      </w:r>
      <w:r w:rsidR="009A52FC" w:rsidRPr="006B7346">
        <w:t xml:space="preserve"> to 75</w:t>
      </w:r>
      <w:r w:rsidR="009A52FC" w:rsidRPr="009A52FC">
        <w:rPr>
          <w:vertAlign w:val="superscript"/>
        </w:rPr>
        <w:t>o</w:t>
      </w:r>
      <w:r w:rsidR="009A52FC" w:rsidRPr="006B7346">
        <w:t xml:space="preserve"> are water wet, 75</w:t>
      </w:r>
      <w:r w:rsidR="009A52FC" w:rsidRPr="009A52FC">
        <w:rPr>
          <w:vertAlign w:val="superscript"/>
        </w:rPr>
        <w:t>o</w:t>
      </w:r>
      <w:r w:rsidR="009A52FC" w:rsidRPr="006B7346">
        <w:t xml:space="preserve"> to 105</w:t>
      </w:r>
      <w:r w:rsidR="009A52FC" w:rsidRPr="009A52FC">
        <w:rPr>
          <w:vertAlign w:val="superscript"/>
        </w:rPr>
        <w:t>o</w:t>
      </w:r>
      <w:r w:rsidR="009A52FC" w:rsidRPr="006B7346">
        <w:t xml:space="preserve"> are intermediate wet, and 105</w:t>
      </w:r>
      <w:r w:rsidR="009A52FC" w:rsidRPr="009A52FC">
        <w:rPr>
          <w:vertAlign w:val="superscript"/>
        </w:rPr>
        <w:t>o</w:t>
      </w:r>
      <w:r w:rsidR="009A52FC" w:rsidRPr="006B7346">
        <w:t xml:space="preserve"> to 180</w:t>
      </w:r>
      <w:r w:rsidR="009A52FC" w:rsidRPr="009A52FC">
        <w:rPr>
          <w:vertAlign w:val="superscript"/>
        </w:rPr>
        <w:t>o</w:t>
      </w:r>
      <w:r w:rsidR="009A52FC" w:rsidRPr="006B7346">
        <w:t xml:space="preserve"> are oil wet (Anderson 1986).</w:t>
      </w:r>
    </w:p>
    <w:p w14:paraId="0B8977E1" w14:textId="558FF6D8" w:rsidR="000C499B" w:rsidRDefault="000C499B" w:rsidP="009F559F">
      <w:pPr>
        <w:rPr>
          <w:rFonts w:eastAsiaTheme="minorHAnsi"/>
        </w:rPr>
      </w:pPr>
      <w:r>
        <w:rPr>
          <w:rFonts w:eastAsiaTheme="minorHAnsi"/>
        </w:rPr>
        <w:t>The experimental steps are described next:</w:t>
      </w:r>
    </w:p>
    <w:p w14:paraId="5CFE6798" w14:textId="77777777" w:rsidR="000C499B" w:rsidRDefault="006B7346" w:rsidP="000C499B">
      <w:pPr>
        <w:pStyle w:val="ListParagraph"/>
        <w:numPr>
          <w:ilvl w:val="0"/>
          <w:numId w:val="7"/>
        </w:numPr>
      </w:pPr>
      <w:r w:rsidRPr="006B7346">
        <w:t xml:space="preserve">For these measurements, disc was cut from </w:t>
      </w:r>
      <w:r>
        <w:t>a plug,</w:t>
      </w:r>
      <w:r w:rsidRPr="006B7346">
        <w:t xml:space="preserve"> which was further cut into four fragments. </w:t>
      </w:r>
    </w:p>
    <w:p w14:paraId="72DB1FA7" w14:textId="4C72942B" w:rsidR="000C499B" w:rsidRPr="000C499B" w:rsidRDefault="006B7346" w:rsidP="000C499B">
      <w:pPr>
        <w:pStyle w:val="ListParagraph"/>
        <w:numPr>
          <w:ilvl w:val="0"/>
          <w:numId w:val="7"/>
        </w:numPr>
      </w:pPr>
      <w:r w:rsidRPr="006B7346">
        <w:t xml:space="preserve">All four fragments were cleaned by soxhlet extraction </w:t>
      </w:r>
      <w:r w:rsidR="000C499B" w:rsidRPr="001322CE">
        <w:rPr>
          <w:rFonts w:eastAsiaTheme="minorHAnsi"/>
        </w:rPr>
        <w:t>using two solvents, first with cyclohexane for 48 hours and then with methanol for 48 hours</w:t>
      </w:r>
      <w:r w:rsidR="000C499B">
        <w:rPr>
          <w:rFonts w:eastAsiaTheme="minorHAnsi"/>
        </w:rPr>
        <w:t xml:space="preserve"> to remove most of the hydrocarbons and water </w:t>
      </w:r>
      <w:r w:rsidR="000C499B" w:rsidRPr="00DF4EF3">
        <w:rPr>
          <w:rFonts w:eastAsiaTheme="minorHAnsi"/>
        </w:rPr>
        <w:t>(Zygler et al. 2012)</w:t>
      </w:r>
      <w:r w:rsidR="000C499B">
        <w:rPr>
          <w:rFonts w:eastAsiaTheme="minorHAnsi"/>
        </w:rPr>
        <w:t xml:space="preserve">. </w:t>
      </w:r>
    </w:p>
    <w:p w14:paraId="1B1A7606" w14:textId="4808F2BD" w:rsidR="000C499B" w:rsidRDefault="000C499B" w:rsidP="000C499B">
      <w:pPr>
        <w:pStyle w:val="ListParagraph"/>
        <w:numPr>
          <w:ilvl w:val="0"/>
          <w:numId w:val="7"/>
        </w:numPr>
        <w:rPr>
          <w:rFonts w:eastAsiaTheme="minorHAnsi"/>
        </w:rPr>
      </w:pPr>
      <w:r w:rsidRPr="001322CE">
        <w:rPr>
          <w:rFonts w:eastAsiaTheme="minorHAnsi"/>
        </w:rPr>
        <w:t xml:space="preserve">After cleaning, </w:t>
      </w:r>
      <w:r w:rsidR="00FC13BD">
        <w:rPr>
          <w:rFonts w:eastAsiaTheme="minorHAnsi"/>
        </w:rPr>
        <w:t>samples were</w:t>
      </w:r>
      <w:r w:rsidRPr="001322CE">
        <w:rPr>
          <w:rFonts w:eastAsiaTheme="minorHAnsi"/>
        </w:rPr>
        <w:t xml:space="preserve"> dried in oven at 100 </w:t>
      </w:r>
      <w:r w:rsidRPr="001322CE">
        <w:rPr>
          <w:rFonts w:eastAsiaTheme="minorHAnsi"/>
          <w:vertAlign w:val="superscript"/>
        </w:rPr>
        <w:t>o</w:t>
      </w:r>
      <w:r w:rsidRPr="001322CE">
        <w:rPr>
          <w:rFonts w:eastAsiaTheme="minorHAnsi"/>
        </w:rPr>
        <w:t xml:space="preserve">C for 5 to 7 days until their weights stabilized. </w:t>
      </w:r>
    </w:p>
    <w:p w14:paraId="6EC59567" w14:textId="62AB0245" w:rsidR="000C499B" w:rsidRDefault="000C499B" w:rsidP="000C499B">
      <w:pPr>
        <w:pStyle w:val="ListParagraph"/>
        <w:numPr>
          <w:ilvl w:val="0"/>
          <w:numId w:val="7"/>
        </w:numPr>
        <w:rPr>
          <w:rFonts w:eastAsiaTheme="minorHAnsi"/>
        </w:rPr>
      </w:pPr>
      <w:r>
        <w:rPr>
          <w:rFonts w:eastAsiaTheme="minorHAnsi"/>
        </w:rPr>
        <w:t xml:space="preserve">After drying, </w:t>
      </w:r>
      <w:r w:rsidR="00FC13BD">
        <w:rPr>
          <w:rFonts w:eastAsiaTheme="minorHAnsi"/>
        </w:rPr>
        <w:t>samples were</w:t>
      </w:r>
      <w:r w:rsidRPr="001322CE">
        <w:rPr>
          <w:rFonts w:eastAsiaTheme="minorHAnsi"/>
        </w:rPr>
        <w:t xml:space="preserve"> cooled down in </w:t>
      </w:r>
      <w:r w:rsidR="00214425">
        <w:rPr>
          <w:rFonts w:eastAsiaTheme="minorHAnsi"/>
        </w:rPr>
        <w:t xml:space="preserve">a </w:t>
      </w:r>
      <w:r w:rsidRPr="001322CE">
        <w:rPr>
          <w:rFonts w:eastAsiaTheme="minorHAnsi"/>
        </w:rPr>
        <w:t>desiccator</w:t>
      </w:r>
      <w:r>
        <w:rPr>
          <w:rFonts w:eastAsiaTheme="minorHAnsi"/>
        </w:rPr>
        <w:t xml:space="preserve"> to bring them down to room temperature.</w:t>
      </w:r>
    </w:p>
    <w:p w14:paraId="0446CC22" w14:textId="77777777" w:rsidR="00760D37" w:rsidRDefault="000C499B" w:rsidP="000C499B">
      <w:pPr>
        <w:pStyle w:val="ListParagraph"/>
        <w:numPr>
          <w:ilvl w:val="0"/>
          <w:numId w:val="7"/>
        </w:numPr>
        <w:rPr>
          <w:rFonts w:eastAsiaTheme="minorHAnsi"/>
        </w:rPr>
      </w:pPr>
      <w:r w:rsidRPr="000C499B">
        <w:rPr>
          <w:rFonts w:eastAsiaTheme="minorHAnsi"/>
        </w:rPr>
        <w:t>S</w:t>
      </w:r>
      <w:r w:rsidR="00E5621A" w:rsidRPr="000C499B">
        <w:rPr>
          <w:rFonts w:eastAsiaTheme="minorHAnsi"/>
        </w:rPr>
        <w:t xml:space="preserve">amples were polished using sandpaper of increasing grit sizes </w:t>
      </w:r>
      <w:r w:rsidR="00760D37">
        <w:rPr>
          <w:rFonts w:eastAsiaTheme="minorHAnsi"/>
        </w:rPr>
        <w:t xml:space="preserve">(180, 400, 600, 800, 1200) </w:t>
      </w:r>
      <w:r w:rsidR="00E5621A" w:rsidRPr="000C499B">
        <w:rPr>
          <w:rFonts w:eastAsiaTheme="minorHAnsi"/>
        </w:rPr>
        <w:t xml:space="preserve">to create a flat surface. </w:t>
      </w:r>
    </w:p>
    <w:p w14:paraId="64CD83C1" w14:textId="77777777" w:rsidR="00760D37" w:rsidRPr="00760D37" w:rsidRDefault="00760D37" w:rsidP="000C499B">
      <w:pPr>
        <w:pStyle w:val="ListParagraph"/>
        <w:numPr>
          <w:ilvl w:val="0"/>
          <w:numId w:val="7"/>
        </w:numPr>
        <w:rPr>
          <w:rFonts w:eastAsiaTheme="minorHAnsi"/>
        </w:rPr>
      </w:pPr>
      <w:r>
        <w:t>S</w:t>
      </w:r>
      <w:r w:rsidR="006B7346" w:rsidRPr="006B7346">
        <w:t xml:space="preserve">amples were </w:t>
      </w:r>
      <w:r>
        <w:t xml:space="preserve">then </w:t>
      </w:r>
      <w:r w:rsidR="006B7346" w:rsidRPr="006B7346">
        <w:t xml:space="preserve">saturated in crude oil by imbibing them under vacuum for 24 hrs and then under pressure at 5000 psi for 48 hrs. </w:t>
      </w:r>
    </w:p>
    <w:p w14:paraId="4BF9086B" w14:textId="673DF0AC" w:rsidR="00760D37" w:rsidRPr="00760D37" w:rsidRDefault="006B7346" w:rsidP="000C499B">
      <w:pPr>
        <w:pStyle w:val="ListParagraph"/>
        <w:numPr>
          <w:ilvl w:val="0"/>
          <w:numId w:val="7"/>
        </w:numPr>
        <w:rPr>
          <w:rFonts w:eastAsiaTheme="minorHAnsi"/>
        </w:rPr>
      </w:pPr>
      <w:r w:rsidRPr="006B7346">
        <w:lastRenderedPageBreak/>
        <w:t xml:space="preserve">Contact angles were initially measured by slowly placing a drop of </w:t>
      </w:r>
      <w:r w:rsidR="00191004">
        <w:t xml:space="preserve">produced </w:t>
      </w:r>
      <w:r w:rsidRPr="006B7346">
        <w:t>brine and surfactant</w:t>
      </w:r>
      <w:r w:rsidR="00396AFC">
        <w:t xml:space="preserve"> solution</w:t>
      </w:r>
      <w:r w:rsidRPr="006B7346">
        <w:t xml:space="preserve"> </w:t>
      </w:r>
      <w:r w:rsidR="00272F41">
        <w:t xml:space="preserve">at 2 gpt </w:t>
      </w:r>
      <w:r w:rsidR="00274FD8">
        <w:t xml:space="preserve">concentration </w:t>
      </w:r>
      <w:r w:rsidRPr="006B7346">
        <w:t>using a syringe needle</w:t>
      </w:r>
      <w:r w:rsidR="00BD6EDA">
        <w:t xml:space="preserve"> on the rock surface</w:t>
      </w:r>
      <w:r w:rsidRPr="006B7346">
        <w:t>.</w:t>
      </w:r>
      <w:r w:rsidR="00A333F4">
        <w:t xml:space="preserve"> </w:t>
      </w:r>
      <w:r w:rsidRPr="006B7346">
        <w:t xml:space="preserve">Using a high-resolution camera and digital processing software, contact angles were captured as the drop from syringe needle came in contact with the rock surface, and two fluids came into equilibrium (Tiab and Donaldson 2012). </w:t>
      </w:r>
    </w:p>
    <w:p w14:paraId="264A72E5" w14:textId="10A9AFAF" w:rsidR="00760D37" w:rsidRPr="00760D37" w:rsidRDefault="006B7346" w:rsidP="00760D37">
      <w:pPr>
        <w:pStyle w:val="ListParagraph"/>
        <w:numPr>
          <w:ilvl w:val="0"/>
          <w:numId w:val="7"/>
        </w:numPr>
        <w:rPr>
          <w:rFonts w:eastAsiaTheme="minorHAnsi"/>
        </w:rPr>
      </w:pPr>
      <w:r w:rsidRPr="006B7346">
        <w:t>Measurements were repeated 5 to 7 times to get an average across the surface of the rock sample.</w:t>
      </w:r>
      <w:r w:rsidR="00A333F4">
        <w:t xml:space="preserve"> </w:t>
      </w:r>
      <w:r w:rsidRPr="006B7346">
        <w:t xml:space="preserve">Paper towel was used to absorb excess crude oil from the rock surface. </w:t>
      </w:r>
    </w:p>
    <w:p w14:paraId="46853C11" w14:textId="55830A4D" w:rsidR="009A52FC" w:rsidRPr="009A52FC" w:rsidRDefault="00760D37" w:rsidP="00760D37">
      <w:pPr>
        <w:pStyle w:val="ListParagraph"/>
        <w:numPr>
          <w:ilvl w:val="0"/>
          <w:numId w:val="7"/>
        </w:numPr>
        <w:rPr>
          <w:rFonts w:eastAsiaTheme="minorHAnsi"/>
        </w:rPr>
      </w:pPr>
      <w:r>
        <w:t>Sa</w:t>
      </w:r>
      <w:r w:rsidR="006B7346" w:rsidRPr="006B7346">
        <w:t>mples were</w:t>
      </w:r>
      <w:r>
        <w:t xml:space="preserve"> then</w:t>
      </w:r>
      <w:r w:rsidR="006B7346" w:rsidRPr="006B7346">
        <w:t xml:space="preserve"> imbibed in </w:t>
      </w:r>
      <w:r w:rsidR="00877533">
        <w:t xml:space="preserve">produced </w:t>
      </w:r>
      <w:r w:rsidR="006B7346" w:rsidRPr="006B7346">
        <w:t>brine and surfactant</w:t>
      </w:r>
      <w:r w:rsidR="00877533">
        <w:t xml:space="preserve"> solutions</w:t>
      </w:r>
      <w:r w:rsidR="006B7346" w:rsidRPr="006B7346">
        <w:t xml:space="preserve"> at </w:t>
      </w:r>
      <w:r w:rsidR="004A5692">
        <w:t xml:space="preserve">2 gpt concentration, </w:t>
      </w:r>
      <w:r w:rsidR="006B7346" w:rsidRPr="006B7346">
        <w:t>500 psi</w:t>
      </w:r>
      <w:r w:rsidR="00214425">
        <w:t>,</w:t>
      </w:r>
      <w:r w:rsidR="006B7346" w:rsidRPr="006B7346">
        <w:t xml:space="preserve"> and 145 </w:t>
      </w:r>
      <w:r w:rsidR="006B7346" w:rsidRPr="00760D37">
        <w:rPr>
          <w:vertAlign w:val="superscript"/>
        </w:rPr>
        <w:t>o</w:t>
      </w:r>
      <w:r w:rsidR="006B7346" w:rsidRPr="006B7346">
        <w:t xml:space="preserve">F. </w:t>
      </w:r>
    </w:p>
    <w:p w14:paraId="3AFEDA9D" w14:textId="77777777" w:rsidR="009A52FC" w:rsidRPr="009A52FC" w:rsidRDefault="006B7346" w:rsidP="00760D37">
      <w:pPr>
        <w:pStyle w:val="ListParagraph"/>
        <w:numPr>
          <w:ilvl w:val="0"/>
          <w:numId w:val="7"/>
        </w:numPr>
        <w:rPr>
          <w:rFonts w:eastAsiaTheme="minorHAnsi"/>
        </w:rPr>
      </w:pPr>
      <w:r w:rsidRPr="006B7346">
        <w:t xml:space="preserve">After 24 hours, samples and brine/surfactants were removed and kept in an open jar under ambient conditions to cool them down to room temperature. </w:t>
      </w:r>
    </w:p>
    <w:p w14:paraId="7C7F9DA1" w14:textId="668841FE" w:rsidR="009A52FC" w:rsidRPr="009A52FC" w:rsidRDefault="006B7346" w:rsidP="00760D37">
      <w:pPr>
        <w:pStyle w:val="ListParagraph"/>
        <w:numPr>
          <w:ilvl w:val="0"/>
          <w:numId w:val="7"/>
        </w:numPr>
        <w:rPr>
          <w:rFonts w:eastAsiaTheme="minorHAnsi"/>
        </w:rPr>
      </w:pPr>
      <w:r w:rsidRPr="006B7346">
        <w:t>After 30 to 45 mins, samples were removed, and contact angle measurements were repeated</w:t>
      </w:r>
      <w:r w:rsidR="00BB0DAD">
        <w:t>.</w:t>
      </w:r>
    </w:p>
    <w:p w14:paraId="16850815" w14:textId="2D8E3907" w:rsidR="008E5373" w:rsidRDefault="00A21811" w:rsidP="00A21811">
      <w:pPr>
        <w:pStyle w:val="Heading2"/>
      </w:pPr>
      <w:bookmarkStart w:id="74" w:name="_Toc118484074"/>
      <w:bookmarkStart w:id="75" w:name="_Toc118485286"/>
      <w:bookmarkStart w:id="76" w:name="_Toc121470251"/>
      <w:r>
        <w:t xml:space="preserve">3.4 </w:t>
      </w:r>
      <w:r w:rsidR="008E5373">
        <w:t>Surfactant Adsorption Measurements</w:t>
      </w:r>
      <w:bookmarkEnd w:id="74"/>
      <w:bookmarkEnd w:id="75"/>
      <w:bookmarkEnd w:id="76"/>
    </w:p>
    <w:p w14:paraId="4088F676" w14:textId="6163D22D" w:rsidR="005321E9" w:rsidRDefault="006D55F7" w:rsidP="005321E9">
      <w:pPr>
        <w:rPr>
          <w:rFonts w:eastAsiaTheme="minorHAnsi"/>
        </w:rPr>
      </w:pPr>
      <w:r>
        <w:rPr>
          <w:rFonts w:eastAsiaTheme="minorHAnsi"/>
        </w:rPr>
        <w:t>Surfactant</w:t>
      </w:r>
      <w:r w:rsidRPr="002D406A">
        <w:rPr>
          <w:rFonts w:eastAsiaTheme="minorHAnsi"/>
        </w:rPr>
        <w:t xml:space="preserve"> adsorption measurements were performed on rock samples using </w:t>
      </w:r>
      <w:r w:rsidR="00FE5962">
        <w:rPr>
          <w:rFonts w:eastAsiaTheme="minorHAnsi"/>
        </w:rPr>
        <w:t xml:space="preserve">three </w:t>
      </w:r>
      <w:r>
        <w:rPr>
          <w:rFonts w:eastAsiaTheme="minorHAnsi"/>
        </w:rPr>
        <w:t>surfactant solutions</w:t>
      </w:r>
      <w:r w:rsidRPr="002D406A">
        <w:rPr>
          <w:rFonts w:eastAsiaTheme="minorHAnsi"/>
        </w:rPr>
        <w:t xml:space="preserve"> at 2 gpt concentration using </w:t>
      </w:r>
      <w:r>
        <w:rPr>
          <w:rFonts w:eastAsiaTheme="minorHAnsi"/>
        </w:rPr>
        <w:t>U</w:t>
      </w:r>
      <w:r w:rsidRPr="002D406A">
        <w:rPr>
          <w:rFonts w:eastAsiaTheme="minorHAnsi"/>
        </w:rPr>
        <w:t>ltra</w:t>
      </w:r>
      <w:r>
        <w:rPr>
          <w:rFonts w:eastAsiaTheme="minorHAnsi"/>
        </w:rPr>
        <w:t>V</w:t>
      </w:r>
      <w:r w:rsidRPr="002D406A">
        <w:rPr>
          <w:rFonts w:eastAsiaTheme="minorHAnsi"/>
        </w:rPr>
        <w:t>iolet-</w:t>
      </w:r>
      <w:r>
        <w:rPr>
          <w:rFonts w:eastAsiaTheme="minorHAnsi"/>
        </w:rPr>
        <w:t>V</w:t>
      </w:r>
      <w:r w:rsidRPr="002D406A">
        <w:rPr>
          <w:rFonts w:eastAsiaTheme="minorHAnsi"/>
        </w:rPr>
        <w:t>isible spectroscopy (Genesys 10S UV-Vis Spectrophotometer, Thermo Scientific)</w:t>
      </w:r>
      <w:r w:rsidR="007603FC">
        <w:rPr>
          <w:rFonts w:eastAsiaTheme="minorHAnsi"/>
        </w:rPr>
        <w:t>.</w:t>
      </w:r>
      <w:r w:rsidR="00A333F4">
        <w:rPr>
          <w:rFonts w:eastAsiaTheme="minorHAnsi"/>
        </w:rPr>
        <w:t xml:space="preserve"> </w:t>
      </w:r>
      <w:r w:rsidR="007603FC">
        <w:rPr>
          <w:rFonts w:eastAsiaTheme="minorHAnsi"/>
        </w:rPr>
        <w:t xml:space="preserve">These measurements </w:t>
      </w:r>
      <w:r>
        <w:rPr>
          <w:rFonts w:eastAsiaTheme="minorHAnsi"/>
        </w:rPr>
        <w:t>calculate the amount of surfactant getting adsorbed on the rock sample</w:t>
      </w:r>
      <w:r w:rsidRPr="002D406A">
        <w:rPr>
          <w:rFonts w:eastAsiaTheme="minorHAnsi"/>
        </w:rPr>
        <w:t>.</w:t>
      </w:r>
      <w:bookmarkStart w:id="77" w:name="OLE_LINK3"/>
      <w:r w:rsidR="00A333F4">
        <w:rPr>
          <w:rFonts w:eastAsiaTheme="minorHAnsi"/>
        </w:rPr>
        <w:t xml:space="preserve"> </w:t>
      </w:r>
      <w:r w:rsidRPr="002D406A">
        <w:rPr>
          <w:rFonts w:eastAsiaTheme="minorHAnsi"/>
        </w:rPr>
        <w:t xml:space="preserve">UV-Vis spectroscopy </w:t>
      </w:r>
      <w:bookmarkEnd w:id="77"/>
      <w:r w:rsidRPr="002D406A">
        <w:rPr>
          <w:rFonts w:eastAsiaTheme="minorHAnsi"/>
        </w:rPr>
        <w:t>use</w:t>
      </w:r>
      <w:r w:rsidR="008E4EC8">
        <w:rPr>
          <w:rFonts w:eastAsiaTheme="minorHAnsi"/>
        </w:rPr>
        <w:t>s</w:t>
      </w:r>
      <w:r w:rsidRPr="002D406A">
        <w:rPr>
          <w:rFonts w:eastAsiaTheme="minorHAnsi"/>
        </w:rPr>
        <w:t xml:space="preserve"> Lambert-</w:t>
      </w:r>
      <w:r>
        <w:rPr>
          <w:rFonts w:eastAsiaTheme="minorHAnsi"/>
        </w:rPr>
        <w:t>B</w:t>
      </w:r>
      <w:r w:rsidRPr="002D406A">
        <w:rPr>
          <w:rFonts w:eastAsiaTheme="minorHAnsi"/>
        </w:rPr>
        <w:t>eer</w:t>
      </w:r>
      <w:r w:rsidR="008C4366">
        <w:rPr>
          <w:rFonts w:eastAsiaTheme="minorHAnsi"/>
        </w:rPr>
        <w:t>-Lambert</w:t>
      </w:r>
      <w:r w:rsidRPr="002D406A">
        <w:rPr>
          <w:rFonts w:eastAsiaTheme="minorHAnsi"/>
        </w:rPr>
        <w:t xml:space="preserve"> law </w:t>
      </w:r>
      <w:r w:rsidR="003A0F29" w:rsidRPr="00D90DD8">
        <w:rPr>
          <w:rFonts w:eastAsiaTheme="minorHAnsi"/>
        </w:rPr>
        <w:t>(Eq.</w:t>
      </w:r>
      <w:r w:rsidR="00D90DD8" w:rsidRPr="00D90DD8">
        <w:rPr>
          <w:rFonts w:eastAsiaTheme="minorHAnsi"/>
        </w:rPr>
        <w:t>5</w:t>
      </w:r>
      <w:r w:rsidR="003A0F29" w:rsidRPr="00D90DD8">
        <w:rPr>
          <w:rFonts w:eastAsiaTheme="minorHAnsi"/>
        </w:rPr>
        <w:t>)</w:t>
      </w:r>
      <w:r w:rsidR="003A0F29">
        <w:rPr>
          <w:rFonts w:eastAsiaTheme="minorHAnsi"/>
        </w:rPr>
        <w:t xml:space="preserve"> </w:t>
      </w:r>
      <w:r w:rsidRPr="002D406A">
        <w:rPr>
          <w:rFonts w:eastAsiaTheme="minorHAnsi"/>
        </w:rPr>
        <w:t>to calculate absorbance</w:t>
      </w:r>
      <w:r w:rsidR="003A0F29">
        <w:rPr>
          <w:rFonts w:eastAsiaTheme="minorHAnsi"/>
        </w:rPr>
        <w:t>.</w:t>
      </w:r>
      <w:r w:rsidRPr="002D406A">
        <w:rPr>
          <w:rFonts w:eastAsiaTheme="minorHAnsi"/>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A1E0C" w14:paraId="32E971AA" w14:textId="77777777" w:rsidTr="00F410E4">
        <w:trPr>
          <w:jc w:val="center"/>
        </w:trPr>
        <w:tc>
          <w:tcPr>
            <w:tcW w:w="3116" w:type="dxa"/>
          </w:tcPr>
          <w:p w14:paraId="4432C51C" w14:textId="77777777" w:rsidR="000A1E0C" w:rsidRDefault="000A1E0C" w:rsidP="004E4387">
            <w:pPr>
              <w:rPr>
                <w:rFonts w:eastAsiaTheme="minorHAnsi"/>
              </w:rPr>
            </w:pPr>
          </w:p>
        </w:tc>
        <w:tc>
          <w:tcPr>
            <w:tcW w:w="3117" w:type="dxa"/>
          </w:tcPr>
          <w:p w14:paraId="6AC0931E" w14:textId="4D0AB5DE" w:rsidR="000A1E0C" w:rsidRPr="000A1E0C" w:rsidRDefault="000A1E0C" w:rsidP="004E4387">
            <m:oMathPara>
              <m:oMath>
                <m:r>
                  <w:rPr>
                    <w:rFonts w:ascii="Cambria Math" w:hAnsi="Cambria Math"/>
                  </w:rPr>
                  <m:t>A= -</m:t>
                </m:r>
                <m:func>
                  <m:funcPr>
                    <m:ctrlPr>
                      <w:rPr>
                        <w:rFonts w:ascii="Cambria Math" w:hAnsi="Cambria Math"/>
                        <w:i/>
                      </w:rPr>
                    </m:ctrlPr>
                  </m:funcPr>
                  <m:fName>
                    <m:r>
                      <m:rPr>
                        <m:sty m:val="p"/>
                      </m:rPr>
                      <w:rPr>
                        <w:rFonts w:ascii="Cambria Math" w:hAnsi="Cambria Math"/>
                      </w:rPr>
                      <m:t>log</m:t>
                    </m:r>
                  </m:fName>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o</m:t>
                            </m:r>
                          </m:sub>
                        </m:sSub>
                      </m:num>
                      <m:den>
                        <m:r>
                          <w:rPr>
                            <w:rFonts w:ascii="Cambria Math" w:hAnsi="Cambria Math"/>
                          </w:rPr>
                          <m:t>I</m:t>
                        </m:r>
                      </m:den>
                    </m:f>
                    <m:r>
                      <w:rPr>
                        <w:rFonts w:ascii="Cambria Math" w:hAnsi="Cambria Math"/>
                      </w:rPr>
                      <m:t>= ℇ*c*l</m:t>
                    </m:r>
                  </m:e>
                </m:func>
              </m:oMath>
            </m:oMathPara>
          </w:p>
        </w:tc>
        <w:tc>
          <w:tcPr>
            <w:tcW w:w="3117" w:type="dxa"/>
            <w:vAlign w:val="center"/>
          </w:tcPr>
          <w:p w14:paraId="78D8DED4" w14:textId="2EED1D9D" w:rsidR="000A1E0C" w:rsidRDefault="00FD7DEF" w:rsidP="00F410E4">
            <w:pPr>
              <w:jc w:val="right"/>
              <w:rPr>
                <w:rFonts w:eastAsiaTheme="minorHAnsi"/>
              </w:rPr>
            </w:pPr>
            <w:r>
              <w:rPr>
                <w:rFonts w:eastAsiaTheme="minorHAnsi"/>
              </w:rPr>
              <w:t>(</w:t>
            </w:r>
            <w:r w:rsidR="00D90DD8">
              <w:rPr>
                <w:rFonts w:eastAsiaTheme="minorHAnsi"/>
              </w:rPr>
              <w:t>5</w:t>
            </w:r>
            <w:r>
              <w:rPr>
                <w:rFonts w:eastAsiaTheme="minorHAnsi"/>
              </w:rPr>
              <w:t>)</w:t>
            </w:r>
          </w:p>
        </w:tc>
      </w:tr>
    </w:tbl>
    <w:p w14:paraId="2D2DF407" w14:textId="1A15904D" w:rsidR="005A0234" w:rsidRPr="005A0234" w:rsidRDefault="005A0234" w:rsidP="004E4387">
      <w:r w:rsidRPr="005A0234">
        <w:t xml:space="preserve">where </w:t>
      </w:r>
      <m:oMath>
        <m:r>
          <w:rPr>
            <w:rFonts w:ascii="Cambria Math" w:hAnsi="Cambria Math"/>
          </w:rPr>
          <m:t>A</m:t>
        </m:r>
      </m:oMath>
      <w:r w:rsidRPr="005A0234">
        <w:t xml:space="preserve"> = absorbance (dimensionless); </w:t>
      </w:r>
      <m:oMath>
        <m:sSub>
          <m:sSubPr>
            <m:ctrlPr>
              <w:rPr>
                <w:rFonts w:ascii="Cambria Math" w:hAnsi="Cambria Math"/>
              </w:rPr>
            </m:ctrlPr>
          </m:sSubPr>
          <m:e>
            <m:r>
              <w:rPr>
                <w:rFonts w:ascii="Cambria Math" w:hAnsi="Cambria Math"/>
              </w:rPr>
              <m:t>I</m:t>
            </m:r>
          </m:e>
          <m:sub>
            <m:r>
              <w:rPr>
                <w:rFonts w:ascii="Cambria Math" w:hAnsi="Cambria Math"/>
              </w:rPr>
              <m:t>o</m:t>
            </m:r>
          </m:sub>
        </m:sSub>
      </m:oMath>
      <w:r w:rsidRPr="005A0234">
        <w:t xml:space="preserve">= intensity of light passing though reference cell; </w:t>
      </w:r>
      <m:oMath>
        <m:r>
          <w:rPr>
            <w:rFonts w:ascii="Cambria Math" w:hAnsi="Cambria Math"/>
          </w:rPr>
          <m:t>I</m:t>
        </m:r>
      </m:oMath>
      <w:r w:rsidRPr="005A0234">
        <w:t xml:space="preserve"> = intensity of light passing through sample cell; </w:t>
      </w:r>
      <m:oMath>
        <m:r>
          <w:rPr>
            <w:rFonts w:ascii="Cambria Math" w:hAnsi="Cambria Math"/>
          </w:rPr>
          <m:t xml:space="preserve">ℇ </m:t>
        </m:r>
      </m:oMath>
      <w:r w:rsidRPr="005A0234">
        <w:t xml:space="preserve">= molar attenuation coefficient (L/mol*cm); </w:t>
      </w:r>
      <m:oMath>
        <m:r>
          <w:rPr>
            <w:rFonts w:ascii="Cambria Math" w:hAnsi="Cambria Math"/>
          </w:rPr>
          <m:t>c=</m:t>
        </m:r>
      </m:oMath>
      <w:r w:rsidRPr="005A0234">
        <w:t xml:space="preserve"> molar concentration of solution (mol/L); and </w:t>
      </w:r>
      <m:oMath>
        <m:r>
          <w:rPr>
            <w:rFonts w:ascii="Cambria Math" w:hAnsi="Cambria Math"/>
          </w:rPr>
          <m:t>l</m:t>
        </m:r>
      </m:oMath>
      <w:r w:rsidRPr="005A0234">
        <w:t xml:space="preserve"> = optical path length (cm).</w:t>
      </w:r>
    </w:p>
    <w:p w14:paraId="37A6AFA3" w14:textId="4676708B" w:rsidR="00ED1687" w:rsidRDefault="00F90639" w:rsidP="00E619D1">
      <w:pPr>
        <w:ind w:firstLine="720"/>
        <w:rPr>
          <w:rFonts w:eastAsiaTheme="minorHAnsi"/>
        </w:rPr>
      </w:pPr>
      <w:r w:rsidRPr="002D406A">
        <w:rPr>
          <w:rFonts w:eastAsiaTheme="minorHAnsi"/>
        </w:rPr>
        <w:lastRenderedPageBreak/>
        <w:t>UV-Vis spectro</w:t>
      </w:r>
      <w:r>
        <w:rPr>
          <w:rFonts w:eastAsiaTheme="minorHAnsi"/>
        </w:rPr>
        <w:t xml:space="preserve">photometer </w:t>
      </w:r>
      <w:r w:rsidR="00FC6CFE">
        <w:rPr>
          <w:rFonts w:eastAsiaTheme="minorHAnsi"/>
        </w:rPr>
        <w:t>produces light</w:t>
      </w:r>
      <w:r w:rsidR="00D1281C">
        <w:rPr>
          <w:rFonts w:eastAsiaTheme="minorHAnsi"/>
        </w:rPr>
        <w:t xml:space="preserve"> at </w:t>
      </w:r>
      <w:r w:rsidR="009D77B1">
        <w:rPr>
          <w:rFonts w:eastAsiaTheme="minorHAnsi"/>
        </w:rPr>
        <w:t xml:space="preserve">varying </w:t>
      </w:r>
      <w:r w:rsidR="002562C5">
        <w:rPr>
          <w:rFonts w:eastAsiaTheme="minorHAnsi"/>
        </w:rPr>
        <w:t>wavelengths</w:t>
      </w:r>
      <w:r w:rsidR="009D77B1">
        <w:rPr>
          <w:rFonts w:eastAsiaTheme="minorHAnsi"/>
        </w:rPr>
        <w:t xml:space="preserve"> </w:t>
      </w:r>
      <w:r w:rsidR="002562C5">
        <w:rPr>
          <w:rFonts w:eastAsiaTheme="minorHAnsi"/>
        </w:rPr>
        <w:t xml:space="preserve">which is </w:t>
      </w:r>
      <w:r w:rsidR="00FC6CFE">
        <w:rPr>
          <w:rFonts w:eastAsiaTheme="minorHAnsi"/>
        </w:rPr>
        <w:t>a</w:t>
      </w:r>
      <w:r w:rsidR="008C4366">
        <w:rPr>
          <w:rFonts w:eastAsiaTheme="minorHAnsi"/>
        </w:rPr>
        <w:t>b</w:t>
      </w:r>
      <w:r w:rsidR="00FC6CFE">
        <w:rPr>
          <w:rFonts w:eastAsiaTheme="minorHAnsi"/>
        </w:rPr>
        <w:t>sorbed by</w:t>
      </w:r>
      <w:r w:rsidR="009D77B1">
        <w:rPr>
          <w:rFonts w:eastAsiaTheme="minorHAnsi"/>
        </w:rPr>
        <w:t xml:space="preserve"> surfactant molecules present in the solution.</w:t>
      </w:r>
      <w:r w:rsidR="00A333F4">
        <w:rPr>
          <w:rFonts w:eastAsiaTheme="minorHAnsi"/>
        </w:rPr>
        <w:t xml:space="preserve"> </w:t>
      </w:r>
      <w:r w:rsidR="009D77B1">
        <w:rPr>
          <w:rFonts w:eastAsiaTheme="minorHAnsi"/>
        </w:rPr>
        <w:t>This light is passed through two solutions by keeping them in quartz cuvette</w:t>
      </w:r>
      <w:r w:rsidR="003A0F29">
        <w:rPr>
          <w:rFonts w:eastAsiaTheme="minorHAnsi"/>
        </w:rPr>
        <w:t>s</w:t>
      </w:r>
      <w:r w:rsidR="009D77B1">
        <w:rPr>
          <w:rFonts w:eastAsiaTheme="minorHAnsi"/>
        </w:rPr>
        <w:t>.</w:t>
      </w:r>
      <w:r w:rsidR="00A333F4">
        <w:rPr>
          <w:rFonts w:eastAsiaTheme="minorHAnsi"/>
        </w:rPr>
        <w:t xml:space="preserve"> </w:t>
      </w:r>
      <w:r w:rsidR="009D77B1">
        <w:rPr>
          <w:rFonts w:eastAsiaTheme="minorHAnsi"/>
        </w:rPr>
        <w:t>First</w:t>
      </w:r>
      <w:r w:rsidR="00647D30">
        <w:rPr>
          <w:rFonts w:eastAsiaTheme="minorHAnsi"/>
        </w:rPr>
        <w:t>:</w:t>
      </w:r>
      <w:r w:rsidR="009D77B1">
        <w:rPr>
          <w:rFonts w:eastAsiaTheme="minorHAnsi"/>
        </w:rPr>
        <w:t xml:space="preserve"> is the reference solution which is produced brine in this case</w:t>
      </w:r>
      <w:r w:rsidR="00DF1317">
        <w:rPr>
          <w:rFonts w:eastAsiaTheme="minorHAnsi"/>
        </w:rPr>
        <w:t>.</w:t>
      </w:r>
      <w:r w:rsidR="00A333F4">
        <w:rPr>
          <w:rFonts w:eastAsiaTheme="minorHAnsi"/>
        </w:rPr>
        <w:t xml:space="preserve"> </w:t>
      </w:r>
      <w:r w:rsidR="00DF1317">
        <w:rPr>
          <w:rFonts w:eastAsiaTheme="minorHAnsi"/>
        </w:rPr>
        <w:t>S</w:t>
      </w:r>
      <w:r w:rsidR="009D77B1">
        <w:rPr>
          <w:rFonts w:eastAsiaTheme="minorHAnsi"/>
        </w:rPr>
        <w:t>econd</w:t>
      </w:r>
      <w:r w:rsidR="00647D30">
        <w:rPr>
          <w:rFonts w:eastAsiaTheme="minorHAnsi"/>
        </w:rPr>
        <w:t>:</w:t>
      </w:r>
      <w:r w:rsidR="009D77B1">
        <w:rPr>
          <w:rFonts w:eastAsiaTheme="minorHAnsi"/>
        </w:rPr>
        <w:t xml:space="preserve"> is the sample solution which is </w:t>
      </w:r>
      <w:r w:rsidR="00E715BB">
        <w:rPr>
          <w:rFonts w:eastAsiaTheme="minorHAnsi"/>
        </w:rPr>
        <w:t xml:space="preserve">a </w:t>
      </w:r>
      <w:r w:rsidR="009D77B1">
        <w:rPr>
          <w:rFonts w:eastAsiaTheme="minorHAnsi"/>
        </w:rPr>
        <w:t xml:space="preserve">surfactant solution (produced brine plus surfactant) </w:t>
      </w:r>
      <w:r w:rsidR="009C5988">
        <w:rPr>
          <w:rFonts w:eastAsiaTheme="minorHAnsi"/>
        </w:rPr>
        <w:t>before</w:t>
      </w:r>
      <w:r w:rsidR="009D77B1">
        <w:rPr>
          <w:rFonts w:eastAsiaTheme="minorHAnsi"/>
        </w:rPr>
        <w:t xml:space="preserve"> it has been </w:t>
      </w:r>
      <w:r w:rsidR="008C4366">
        <w:rPr>
          <w:rFonts w:eastAsiaTheme="minorHAnsi"/>
        </w:rPr>
        <w:t>exposed to a rock sample</w:t>
      </w:r>
      <w:r w:rsidR="00735426">
        <w:rPr>
          <w:rFonts w:eastAsiaTheme="minorHAnsi"/>
        </w:rPr>
        <w:t>.</w:t>
      </w:r>
      <w:r w:rsidR="00A333F4">
        <w:rPr>
          <w:rFonts w:eastAsiaTheme="minorHAnsi"/>
        </w:rPr>
        <w:t xml:space="preserve"> </w:t>
      </w:r>
      <w:r w:rsidR="00735426">
        <w:rPr>
          <w:rFonts w:eastAsiaTheme="minorHAnsi"/>
        </w:rPr>
        <w:t xml:space="preserve">This </w:t>
      </w:r>
      <w:r w:rsidR="008C4366">
        <w:rPr>
          <w:rFonts w:eastAsiaTheme="minorHAnsi"/>
        </w:rPr>
        <w:t>gives light absorption for</w:t>
      </w:r>
      <w:r w:rsidR="00735426">
        <w:rPr>
          <w:rFonts w:eastAsiaTheme="minorHAnsi"/>
        </w:rPr>
        <w:t xml:space="preserve"> </w:t>
      </w:r>
      <w:r w:rsidR="008C4366">
        <w:rPr>
          <w:rFonts w:eastAsiaTheme="minorHAnsi"/>
        </w:rPr>
        <w:t>surfactant</w:t>
      </w:r>
      <w:r w:rsidR="006669B3">
        <w:rPr>
          <w:rFonts w:eastAsiaTheme="minorHAnsi"/>
        </w:rPr>
        <w:t xml:space="preserve"> solution</w:t>
      </w:r>
      <w:r w:rsidR="00D66BB3">
        <w:rPr>
          <w:rFonts w:eastAsiaTheme="minorHAnsi"/>
        </w:rPr>
        <w:t>.</w:t>
      </w:r>
      <w:r w:rsidR="00A333F4">
        <w:rPr>
          <w:rFonts w:eastAsiaTheme="minorHAnsi"/>
        </w:rPr>
        <w:t xml:space="preserve"> </w:t>
      </w:r>
      <w:r w:rsidR="00CD58C5">
        <w:rPr>
          <w:rFonts w:eastAsiaTheme="minorHAnsi"/>
        </w:rPr>
        <w:t>Calibration curves were built to</w:t>
      </w:r>
      <w:r w:rsidR="00592AE2">
        <w:rPr>
          <w:rFonts w:eastAsiaTheme="minorHAnsi"/>
        </w:rPr>
        <w:t xml:space="preserve"> calculate the concentration of </w:t>
      </w:r>
      <w:r w:rsidR="008800EF">
        <w:rPr>
          <w:rFonts w:eastAsiaTheme="minorHAnsi"/>
        </w:rPr>
        <w:t>surfactant</w:t>
      </w:r>
      <w:r w:rsidR="004A381C">
        <w:rPr>
          <w:rFonts w:eastAsiaTheme="minorHAnsi"/>
        </w:rPr>
        <w:t xml:space="preserve"> </w:t>
      </w:r>
      <w:r w:rsidR="00592AE2">
        <w:rPr>
          <w:rFonts w:eastAsiaTheme="minorHAnsi"/>
        </w:rPr>
        <w:t>left inside the solution from light absorption</w:t>
      </w:r>
      <w:r w:rsidR="00D87303">
        <w:rPr>
          <w:rFonts w:eastAsiaTheme="minorHAnsi"/>
        </w:rPr>
        <w:t>.</w:t>
      </w:r>
      <w:r w:rsidR="00CD58C5">
        <w:rPr>
          <w:rFonts w:eastAsiaTheme="minorHAnsi"/>
        </w:rPr>
        <w:t xml:space="preserve"> These calibration curves</w:t>
      </w:r>
      <w:r w:rsidR="004C0BCC">
        <w:rPr>
          <w:rFonts w:eastAsiaTheme="minorHAnsi"/>
        </w:rPr>
        <w:t xml:space="preserve"> </w:t>
      </w:r>
      <w:r w:rsidR="00D87303">
        <w:rPr>
          <w:rFonts w:eastAsiaTheme="minorHAnsi"/>
        </w:rPr>
        <w:t>correlate</w:t>
      </w:r>
      <w:r w:rsidR="00592AE2">
        <w:rPr>
          <w:rFonts w:eastAsiaTheme="minorHAnsi"/>
        </w:rPr>
        <w:t xml:space="preserve"> the amount of light</w:t>
      </w:r>
      <w:r w:rsidR="00EA241E">
        <w:rPr>
          <w:rFonts w:eastAsiaTheme="minorHAnsi"/>
        </w:rPr>
        <w:t xml:space="preserve"> </w:t>
      </w:r>
      <w:r w:rsidR="00592AE2">
        <w:rPr>
          <w:rFonts w:eastAsiaTheme="minorHAnsi"/>
        </w:rPr>
        <w:t>absorbed at 0.5, 1, 1.5</w:t>
      </w:r>
      <w:r w:rsidR="00CD58C5">
        <w:rPr>
          <w:rFonts w:eastAsiaTheme="minorHAnsi"/>
        </w:rPr>
        <w:t>,</w:t>
      </w:r>
      <w:r w:rsidR="00592AE2">
        <w:rPr>
          <w:rFonts w:eastAsiaTheme="minorHAnsi"/>
        </w:rPr>
        <w:t xml:space="preserve"> and 2 gpt </w:t>
      </w:r>
      <w:r w:rsidR="00D87303">
        <w:rPr>
          <w:rFonts w:eastAsiaTheme="minorHAnsi"/>
        </w:rPr>
        <w:t>concentrations</w:t>
      </w:r>
      <w:r w:rsidR="00840B0B">
        <w:rPr>
          <w:rFonts w:eastAsiaTheme="minorHAnsi"/>
        </w:rPr>
        <w:t>.</w:t>
      </w:r>
      <w:r w:rsidR="00A333F4">
        <w:rPr>
          <w:rFonts w:eastAsiaTheme="minorHAnsi"/>
        </w:rPr>
        <w:t xml:space="preserve"> </w:t>
      </w:r>
      <w:r w:rsidR="00840B0B">
        <w:rPr>
          <w:rFonts w:eastAsiaTheme="minorHAnsi"/>
        </w:rPr>
        <w:t>W</w:t>
      </w:r>
      <w:r w:rsidR="00E61DB0">
        <w:rPr>
          <w:rFonts w:eastAsiaTheme="minorHAnsi"/>
        </w:rPr>
        <w:t>avelength</w:t>
      </w:r>
      <w:r w:rsidR="00D87303">
        <w:rPr>
          <w:rFonts w:eastAsiaTheme="minorHAnsi"/>
        </w:rPr>
        <w:t>,</w:t>
      </w:r>
      <w:r w:rsidR="00E61DB0">
        <w:rPr>
          <w:rFonts w:eastAsiaTheme="minorHAnsi"/>
        </w:rPr>
        <w:t xml:space="preserve"> which shows the most light absorption</w:t>
      </w:r>
      <w:r w:rsidR="00D87303">
        <w:rPr>
          <w:rFonts w:eastAsiaTheme="minorHAnsi"/>
        </w:rPr>
        <w:t>,</w:t>
      </w:r>
      <w:r w:rsidR="00E61DB0">
        <w:rPr>
          <w:rFonts w:eastAsiaTheme="minorHAnsi"/>
        </w:rPr>
        <w:t xml:space="preserve"> is </w:t>
      </w:r>
      <w:r w:rsidR="000E6128">
        <w:rPr>
          <w:rFonts w:eastAsiaTheme="minorHAnsi"/>
        </w:rPr>
        <w:t xml:space="preserve">also </w:t>
      </w:r>
      <w:r w:rsidR="00E61DB0">
        <w:rPr>
          <w:rFonts w:eastAsiaTheme="minorHAnsi"/>
        </w:rPr>
        <w:t>identified</w:t>
      </w:r>
      <w:r w:rsidR="00DF1317">
        <w:rPr>
          <w:rFonts w:eastAsiaTheme="minorHAnsi"/>
        </w:rPr>
        <w:t xml:space="preserve"> from these calibration curves</w:t>
      </w:r>
      <w:r w:rsidR="00E61DB0">
        <w:rPr>
          <w:rFonts w:eastAsiaTheme="minorHAnsi"/>
        </w:rPr>
        <w:t>.</w:t>
      </w:r>
      <w:r w:rsidR="00A333F4">
        <w:rPr>
          <w:rFonts w:eastAsiaTheme="minorHAnsi"/>
        </w:rPr>
        <w:t xml:space="preserve"> </w:t>
      </w:r>
      <w:r w:rsidR="001322CE">
        <w:rPr>
          <w:rFonts w:eastAsiaTheme="minorHAnsi"/>
        </w:rPr>
        <w:t xml:space="preserve">The experimental workflow used for surfactant adsorption measurements is shown in </w:t>
      </w:r>
      <w:r w:rsidR="00205265">
        <w:rPr>
          <w:rFonts w:eastAsiaTheme="minorHAnsi"/>
        </w:rPr>
        <w:fldChar w:fldCharType="begin"/>
      </w:r>
      <w:r w:rsidR="00205265">
        <w:rPr>
          <w:rFonts w:eastAsiaTheme="minorHAnsi"/>
        </w:rPr>
        <w:instrText xml:space="preserve"> REF _Ref118486800 \h </w:instrText>
      </w:r>
      <w:r w:rsidR="00205265">
        <w:rPr>
          <w:rFonts w:eastAsiaTheme="minorHAnsi"/>
        </w:rPr>
      </w:r>
      <w:r w:rsidR="00205265">
        <w:rPr>
          <w:rFonts w:eastAsiaTheme="minorHAnsi"/>
        </w:rPr>
        <w:fldChar w:fldCharType="separate"/>
      </w:r>
      <w:r w:rsidR="002F3906" w:rsidRPr="00205265">
        <w:rPr>
          <w:bCs/>
        </w:rPr>
        <w:t xml:space="preserve">Figure </w:t>
      </w:r>
      <w:r w:rsidR="002F3906">
        <w:rPr>
          <w:bCs/>
          <w:noProof/>
        </w:rPr>
        <w:t>5</w:t>
      </w:r>
      <w:r w:rsidR="00205265">
        <w:rPr>
          <w:rFonts w:eastAsiaTheme="minorHAnsi"/>
        </w:rPr>
        <w:fldChar w:fldCharType="end"/>
      </w:r>
      <w:r w:rsidR="001322CE">
        <w:rPr>
          <w:rFonts w:eastAsiaTheme="minorHAnsi"/>
        </w:rPr>
        <w:t xml:space="preserve">. </w:t>
      </w:r>
    </w:p>
    <w:p w14:paraId="73A0191E" w14:textId="4B87E69B" w:rsidR="001322CE" w:rsidRDefault="001322CE" w:rsidP="00ED1687">
      <w:pPr>
        <w:rPr>
          <w:rFonts w:eastAsiaTheme="minorHAnsi"/>
        </w:rPr>
      </w:pPr>
      <w:r>
        <w:rPr>
          <w:rFonts w:eastAsiaTheme="minorHAnsi"/>
        </w:rPr>
        <w:t>The experimental steps are described next:</w:t>
      </w:r>
    </w:p>
    <w:p w14:paraId="5BDE569A" w14:textId="5FF229CB" w:rsidR="001322CE" w:rsidRDefault="00226AE4" w:rsidP="00B31C06">
      <w:pPr>
        <w:pStyle w:val="ListParagraph"/>
        <w:numPr>
          <w:ilvl w:val="0"/>
          <w:numId w:val="2"/>
        </w:numPr>
        <w:rPr>
          <w:rFonts w:eastAsiaTheme="minorHAnsi"/>
        </w:rPr>
      </w:pPr>
      <w:r>
        <w:rPr>
          <w:rFonts w:eastAsiaTheme="minorHAnsi"/>
        </w:rPr>
        <w:t>Sample</w:t>
      </w:r>
      <w:r w:rsidR="001322CE" w:rsidRPr="001322CE">
        <w:rPr>
          <w:rFonts w:eastAsiaTheme="minorHAnsi"/>
        </w:rPr>
        <w:t xml:space="preserve"> was cut from a plug, which was cleaned by soxhlet extraction using two solvents, first with cyclohexane for 48 hours and then with methanol for 48 hours</w:t>
      </w:r>
      <w:r w:rsidR="001322CE">
        <w:rPr>
          <w:rFonts w:eastAsiaTheme="minorHAnsi"/>
        </w:rPr>
        <w:t xml:space="preserve"> to remove most of the hydrocarbons and water</w:t>
      </w:r>
      <w:r w:rsidR="007613F4">
        <w:rPr>
          <w:rFonts w:eastAsiaTheme="minorHAnsi"/>
        </w:rPr>
        <w:t xml:space="preserve"> </w:t>
      </w:r>
      <w:r w:rsidR="007613F4" w:rsidRPr="00DF4EF3">
        <w:rPr>
          <w:rFonts w:eastAsiaTheme="minorHAnsi"/>
        </w:rPr>
        <w:t>(Zygler et al. 2012)</w:t>
      </w:r>
      <w:r w:rsidR="001322CE">
        <w:rPr>
          <w:rFonts w:eastAsiaTheme="minorHAnsi"/>
        </w:rPr>
        <w:t xml:space="preserve">. </w:t>
      </w:r>
    </w:p>
    <w:p w14:paraId="080E9AC7" w14:textId="529E2C94" w:rsidR="001322CE" w:rsidRDefault="001322CE" w:rsidP="00B31C06">
      <w:pPr>
        <w:pStyle w:val="ListParagraph"/>
        <w:numPr>
          <w:ilvl w:val="0"/>
          <w:numId w:val="2"/>
        </w:numPr>
        <w:rPr>
          <w:rFonts w:eastAsiaTheme="minorHAnsi"/>
        </w:rPr>
      </w:pPr>
      <w:r w:rsidRPr="001322CE">
        <w:rPr>
          <w:rFonts w:eastAsiaTheme="minorHAnsi"/>
        </w:rPr>
        <w:t xml:space="preserve">After cleaning, the </w:t>
      </w:r>
      <w:r w:rsidR="00184A9A">
        <w:rPr>
          <w:rFonts w:eastAsiaTheme="minorHAnsi"/>
        </w:rPr>
        <w:t>sample</w:t>
      </w:r>
      <w:r w:rsidR="00573318">
        <w:rPr>
          <w:rFonts w:eastAsiaTheme="minorHAnsi"/>
        </w:rPr>
        <w:t xml:space="preserve"> was</w:t>
      </w:r>
      <w:r w:rsidRPr="001322CE">
        <w:rPr>
          <w:rFonts w:eastAsiaTheme="minorHAnsi"/>
        </w:rPr>
        <w:t xml:space="preserve"> dried in oven at 100 </w:t>
      </w:r>
      <w:r w:rsidRPr="001322CE">
        <w:rPr>
          <w:rFonts w:eastAsiaTheme="minorHAnsi"/>
          <w:vertAlign w:val="superscript"/>
        </w:rPr>
        <w:t>o</w:t>
      </w:r>
      <w:r w:rsidRPr="001322CE">
        <w:rPr>
          <w:rFonts w:eastAsiaTheme="minorHAnsi"/>
        </w:rPr>
        <w:t xml:space="preserve">C for 5 to 7 days until their weights stabilized. </w:t>
      </w:r>
    </w:p>
    <w:p w14:paraId="646F8A82" w14:textId="61743629" w:rsidR="001322CE" w:rsidRDefault="001322CE" w:rsidP="001322CE">
      <w:pPr>
        <w:pStyle w:val="ListParagraph"/>
        <w:numPr>
          <w:ilvl w:val="0"/>
          <w:numId w:val="2"/>
        </w:numPr>
        <w:rPr>
          <w:rFonts w:eastAsiaTheme="minorHAnsi"/>
        </w:rPr>
      </w:pPr>
      <w:r>
        <w:rPr>
          <w:rFonts w:eastAsiaTheme="minorHAnsi"/>
        </w:rPr>
        <w:t>After drying, s</w:t>
      </w:r>
      <w:r w:rsidRPr="001322CE">
        <w:rPr>
          <w:rFonts w:eastAsiaTheme="minorHAnsi"/>
        </w:rPr>
        <w:t xml:space="preserve">ample </w:t>
      </w:r>
      <w:r>
        <w:rPr>
          <w:rFonts w:eastAsiaTheme="minorHAnsi"/>
        </w:rPr>
        <w:t>w</w:t>
      </w:r>
      <w:r w:rsidR="00EA50BC">
        <w:rPr>
          <w:rFonts w:eastAsiaTheme="minorHAnsi"/>
        </w:rPr>
        <w:t>as</w:t>
      </w:r>
      <w:r w:rsidRPr="001322CE">
        <w:rPr>
          <w:rFonts w:eastAsiaTheme="minorHAnsi"/>
        </w:rPr>
        <w:t xml:space="preserve"> cooled down in desiccator</w:t>
      </w:r>
      <w:r w:rsidR="00067F85">
        <w:rPr>
          <w:rFonts w:eastAsiaTheme="minorHAnsi"/>
        </w:rPr>
        <w:t xml:space="preserve"> to bring them down to room temperature.</w:t>
      </w:r>
    </w:p>
    <w:p w14:paraId="7DBC1A64" w14:textId="48A03520" w:rsidR="00067F85" w:rsidRDefault="00FF16E0" w:rsidP="001322CE">
      <w:pPr>
        <w:pStyle w:val="ListParagraph"/>
        <w:numPr>
          <w:ilvl w:val="0"/>
          <w:numId w:val="2"/>
        </w:numPr>
        <w:rPr>
          <w:rFonts w:eastAsiaTheme="minorHAnsi"/>
        </w:rPr>
      </w:pPr>
      <w:r>
        <w:rPr>
          <w:rFonts w:eastAsiaTheme="minorHAnsi"/>
        </w:rPr>
        <w:t>S</w:t>
      </w:r>
      <w:r w:rsidR="001322CE" w:rsidRPr="001322CE">
        <w:rPr>
          <w:rFonts w:eastAsiaTheme="minorHAnsi"/>
        </w:rPr>
        <w:t xml:space="preserve">ample </w:t>
      </w:r>
      <w:r w:rsidR="007054E5">
        <w:rPr>
          <w:rFonts w:eastAsiaTheme="minorHAnsi"/>
        </w:rPr>
        <w:t>was</w:t>
      </w:r>
      <w:r>
        <w:rPr>
          <w:rFonts w:eastAsiaTheme="minorHAnsi"/>
        </w:rPr>
        <w:t xml:space="preserve"> </w:t>
      </w:r>
      <w:r w:rsidR="001322CE" w:rsidRPr="001322CE">
        <w:rPr>
          <w:rFonts w:eastAsiaTheme="minorHAnsi"/>
        </w:rPr>
        <w:t xml:space="preserve">crushed and passed through a sieve to ensure </w:t>
      </w:r>
      <w:r w:rsidR="00067F85">
        <w:rPr>
          <w:rFonts w:eastAsiaTheme="minorHAnsi"/>
        </w:rPr>
        <w:t xml:space="preserve">the </w:t>
      </w:r>
      <w:r w:rsidR="001322CE" w:rsidRPr="001322CE">
        <w:rPr>
          <w:rFonts w:eastAsiaTheme="minorHAnsi"/>
        </w:rPr>
        <w:t xml:space="preserve">rock particles </w:t>
      </w:r>
      <w:r w:rsidR="00067F85">
        <w:rPr>
          <w:rFonts w:eastAsiaTheme="minorHAnsi"/>
        </w:rPr>
        <w:t>were</w:t>
      </w:r>
      <w:r w:rsidR="001322CE" w:rsidRPr="001322CE">
        <w:rPr>
          <w:rFonts w:eastAsiaTheme="minorHAnsi"/>
        </w:rPr>
        <w:t xml:space="preserve"> less than 250 μm in size. </w:t>
      </w:r>
    </w:p>
    <w:p w14:paraId="669FDCB3" w14:textId="3EBC552B" w:rsidR="00067F85" w:rsidRDefault="001322CE" w:rsidP="001322CE">
      <w:pPr>
        <w:pStyle w:val="ListParagraph"/>
        <w:numPr>
          <w:ilvl w:val="0"/>
          <w:numId w:val="2"/>
        </w:numPr>
        <w:rPr>
          <w:rFonts w:eastAsiaTheme="minorHAnsi"/>
        </w:rPr>
      </w:pPr>
      <w:r w:rsidRPr="001322CE">
        <w:rPr>
          <w:rFonts w:eastAsiaTheme="minorHAnsi"/>
        </w:rPr>
        <w:t xml:space="preserve">Rock particles and surfactant solutions at 2 gpt concentration were mixed in </w:t>
      </w:r>
      <w:r w:rsidR="00D87303">
        <w:rPr>
          <w:rFonts w:eastAsiaTheme="minorHAnsi"/>
        </w:rPr>
        <w:t xml:space="preserve">a </w:t>
      </w:r>
      <w:r w:rsidRPr="001322CE">
        <w:rPr>
          <w:rFonts w:eastAsiaTheme="minorHAnsi"/>
        </w:rPr>
        <w:t>1:20 weight ratio and were kept in airtight containers in an oven at 145</w:t>
      </w:r>
      <w:r w:rsidRPr="001322CE">
        <w:rPr>
          <w:rFonts w:eastAsiaTheme="minorHAnsi"/>
          <w:vertAlign w:val="superscript"/>
        </w:rPr>
        <w:t xml:space="preserve"> o</w:t>
      </w:r>
      <w:r w:rsidRPr="001322CE">
        <w:rPr>
          <w:rFonts w:eastAsiaTheme="minorHAnsi"/>
        </w:rPr>
        <w:t xml:space="preserve">F. </w:t>
      </w:r>
    </w:p>
    <w:p w14:paraId="12A3FC2F" w14:textId="77777777" w:rsidR="00CD4B75" w:rsidRDefault="001322CE" w:rsidP="001322CE">
      <w:pPr>
        <w:pStyle w:val="ListParagraph"/>
        <w:numPr>
          <w:ilvl w:val="0"/>
          <w:numId w:val="2"/>
        </w:numPr>
        <w:rPr>
          <w:rFonts w:eastAsiaTheme="minorHAnsi"/>
        </w:rPr>
      </w:pPr>
      <w:r w:rsidRPr="001322CE">
        <w:rPr>
          <w:rFonts w:eastAsiaTheme="minorHAnsi"/>
        </w:rPr>
        <w:lastRenderedPageBreak/>
        <w:t xml:space="preserve">After 24 hours, containers were removed from the oven and were kept under ambient conditions to cool the aqueous solution down to room temperature. </w:t>
      </w:r>
    </w:p>
    <w:p w14:paraId="64CC3415" w14:textId="411B1718" w:rsidR="00CD4B75" w:rsidRDefault="00CD4B75" w:rsidP="001322CE">
      <w:pPr>
        <w:pStyle w:val="ListParagraph"/>
        <w:numPr>
          <w:ilvl w:val="0"/>
          <w:numId w:val="2"/>
        </w:numPr>
        <w:rPr>
          <w:rFonts w:eastAsiaTheme="minorHAnsi"/>
        </w:rPr>
      </w:pPr>
      <w:r>
        <w:rPr>
          <w:rFonts w:eastAsiaTheme="minorHAnsi"/>
        </w:rPr>
        <w:t>A</w:t>
      </w:r>
      <w:r w:rsidR="001322CE" w:rsidRPr="001322CE">
        <w:rPr>
          <w:rFonts w:eastAsiaTheme="minorHAnsi"/>
        </w:rPr>
        <w:t>queous solutions were transferred from airtight containers to centrifuge tubes.</w:t>
      </w:r>
      <w:r w:rsidR="00A333F4">
        <w:rPr>
          <w:rFonts w:eastAsiaTheme="minorHAnsi"/>
        </w:rPr>
        <w:t xml:space="preserve"> </w:t>
      </w:r>
      <w:r w:rsidR="00D33172">
        <w:rPr>
          <w:rFonts w:eastAsiaTheme="minorHAnsi"/>
        </w:rPr>
        <w:t>S</w:t>
      </w:r>
      <w:r w:rsidR="00D33172" w:rsidRPr="001322CE">
        <w:rPr>
          <w:rFonts w:eastAsiaTheme="minorHAnsi"/>
        </w:rPr>
        <w:t>olutions</w:t>
      </w:r>
      <w:r w:rsidR="001322CE" w:rsidRPr="001322CE">
        <w:rPr>
          <w:rFonts w:eastAsiaTheme="minorHAnsi"/>
        </w:rPr>
        <w:t xml:space="preserve"> were centrifuged at 2000 rpm for 10 minutes to separate surfactant solution at the top and rock particles at the bottom. </w:t>
      </w:r>
    </w:p>
    <w:p w14:paraId="1186F3E1" w14:textId="03787859" w:rsidR="00A83A45" w:rsidRDefault="001322CE" w:rsidP="001322CE">
      <w:pPr>
        <w:pStyle w:val="ListParagraph"/>
        <w:numPr>
          <w:ilvl w:val="0"/>
          <w:numId w:val="2"/>
        </w:numPr>
        <w:rPr>
          <w:rFonts w:eastAsiaTheme="minorHAnsi"/>
        </w:rPr>
      </w:pPr>
      <w:r w:rsidRPr="001322CE">
        <w:rPr>
          <w:rFonts w:eastAsiaTheme="minorHAnsi"/>
        </w:rPr>
        <w:t>Using a syringe needle, surfactant solutions were collected from the centrifuge tubes and were transferred to quartz cuvette</w:t>
      </w:r>
      <w:r w:rsidR="009E6014">
        <w:rPr>
          <w:rFonts w:eastAsiaTheme="minorHAnsi"/>
        </w:rPr>
        <w:t>s</w:t>
      </w:r>
      <w:r w:rsidRPr="001322CE">
        <w:rPr>
          <w:rFonts w:eastAsiaTheme="minorHAnsi"/>
        </w:rPr>
        <w:t xml:space="preserve"> by passing them through a 0.20 μm syringe filter to remove any </w:t>
      </w:r>
      <w:r w:rsidR="00D87303">
        <w:rPr>
          <w:rFonts w:eastAsiaTheme="minorHAnsi"/>
        </w:rPr>
        <w:t>leftover</w:t>
      </w:r>
      <w:r w:rsidRPr="001322CE">
        <w:rPr>
          <w:rFonts w:eastAsiaTheme="minorHAnsi"/>
        </w:rPr>
        <w:t xml:space="preserve"> rock particles. </w:t>
      </w:r>
    </w:p>
    <w:p w14:paraId="4072C3FB" w14:textId="03A0EE50" w:rsidR="004E4387" w:rsidRDefault="001322CE" w:rsidP="004E4387">
      <w:pPr>
        <w:pStyle w:val="ListParagraph"/>
        <w:numPr>
          <w:ilvl w:val="0"/>
          <w:numId w:val="2"/>
        </w:numPr>
        <w:rPr>
          <w:rFonts w:eastAsiaTheme="minorHAnsi"/>
        </w:rPr>
      </w:pPr>
      <w:r w:rsidRPr="001322CE">
        <w:rPr>
          <w:rFonts w:eastAsiaTheme="minorHAnsi"/>
        </w:rPr>
        <w:softHyphen/>
        <w:t xml:space="preserve">UV-Vis spectroscopy measurements were performed </w:t>
      </w:r>
      <w:r w:rsidR="001172EE">
        <w:rPr>
          <w:rFonts w:eastAsiaTheme="minorHAnsi"/>
        </w:rPr>
        <w:t>using</w:t>
      </w:r>
      <w:r w:rsidRPr="001322CE">
        <w:rPr>
          <w:rFonts w:eastAsiaTheme="minorHAnsi"/>
        </w:rPr>
        <w:t xml:space="preserve"> </w:t>
      </w:r>
      <w:r w:rsidR="00A83A45">
        <w:rPr>
          <w:rFonts w:eastAsiaTheme="minorHAnsi"/>
        </w:rPr>
        <w:t xml:space="preserve">produced </w:t>
      </w:r>
      <w:r w:rsidRPr="001322CE">
        <w:rPr>
          <w:rFonts w:eastAsiaTheme="minorHAnsi"/>
        </w:rPr>
        <w:t xml:space="preserve">brine in </w:t>
      </w:r>
      <w:r w:rsidR="00D87303">
        <w:rPr>
          <w:rFonts w:eastAsiaTheme="minorHAnsi"/>
        </w:rPr>
        <w:t xml:space="preserve">the </w:t>
      </w:r>
      <w:r w:rsidRPr="001322CE">
        <w:rPr>
          <w:rFonts w:eastAsiaTheme="minorHAnsi"/>
        </w:rPr>
        <w:t xml:space="preserve">reference cell and surfactant solutions in </w:t>
      </w:r>
      <w:r w:rsidR="00D87303">
        <w:rPr>
          <w:rFonts w:eastAsiaTheme="minorHAnsi"/>
        </w:rPr>
        <w:t xml:space="preserve">the </w:t>
      </w:r>
      <w:r w:rsidRPr="001322CE">
        <w:rPr>
          <w:rFonts w:eastAsiaTheme="minorHAnsi"/>
        </w:rPr>
        <w:t xml:space="preserve">sample cell to get light adsorption. </w:t>
      </w:r>
    </w:p>
    <w:p w14:paraId="0416B78F" w14:textId="6759A69F" w:rsidR="00DF4F55" w:rsidRPr="004E4387" w:rsidRDefault="00DF4F55" w:rsidP="004E4387">
      <w:pPr>
        <w:pStyle w:val="ListParagraph"/>
        <w:numPr>
          <w:ilvl w:val="0"/>
          <w:numId w:val="2"/>
        </w:numPr>
        <w:rPr>
          <w:rFonts w:eastAsiaTheme="minorHAnsi"/>
        </w:rPr>
      </w:pPr>
      <w:r w:rsidRPr="004E4387">
        <w:rPr>
          <w:rFonts w:eastAsiaTheme="minorHAnsi"/>
        </w:rPr>
        <w:t>C</w:t>
      </w:r>
      <w:r w:rsidR="001322CE" w:rsidRPr="004E4387">
        <w:rPr>
          <w:rFonts w:eastAsiaTheme="minorHAnsi"/>
        </w:rPr>
        <w:t>alibration curves were used to calculate the surfactant concentration</w:t>
      </w:r>
      <w:r w:rsidR="005B0484" w:rsidRPr="004E4387">
        <w:rPr>
          <w:rFonts w:eastAsiaTheme="minorHAnsi"/>
        </w:rPr>
        <w:t xml:space="preserve"> of remaining solution</w:t>
      </w:r>
      <w:r w:rsidR="001322CE" w:rsidRPr="004E4387">
        <w:rPr>
          <w:rFonts w:eastAsiaTheme="minorHAnsi"/>
        </w:rPr>
        <w:t xml:space="preserve"> and then calculate the amount of surfactant adsorbed on </w:t>
      </w:r>
      <w:r w:rsidR="00536F8B" w:rsidRPr="004E4387">
        <w:rPr>
          <w:rFonts w:eastAsiaTheme="minorHAnsi"/>
        </w:rPr>
        <w:t xml:space="preserve">the </w:t>
      </w:r>
      <w:r w:rsidR="001322CE" w:rsidRPr="004E4387">
        <w:rPr>
          <w:rFonts w:eastAsiaTheme="minorHAnsi"/>
        </w:rPr>
        <w:t xml:space="preserve">rock sample </w:t>
      </w:r>
      <w:r w:rsidR="001322CE" w:rsidRPr="00D90DD8">
        <w:rPr>
          <w:rFonts w:eastAsiaTheme="minorHAnsi"/>
        </w:rPr>
        <w:t xml:space="preserve">using </w:t>
      </w:r>
      <w:r w:rsidR="005B0484" w:rsidRPr="00D90DD8">
        <w:rPr>
          <w:rFonts w:eastAsiaTheme="minorHAnsi"/>
        </w:rPr>
        <w:t xml:space="preserve">Eq. </w:t>
      </w:r>
      <w:r w:rsidR="00D90DD8" w:rsidRPr="00D90DD8">
        <w:rPr>
          <w:rFonts w:eastAsiaTheme="minorHAnsi"/>
        </w:rPr>
        <w:t>6</w:t>
      </w:r>
      <w:r w:rsidR="005B0484" w:rsidRPr="00D90DD8">
        <w:rPr>
          <w:rFonts w:eastAsiaTheme="minorHAnsi"/>
        </w:rPr>
        <w:t xml:space="preserve"> </w:t>
      </w:r>
      <w:r w:rsidR="001322CE" w:rsidRPr="00D90DD8">
        <w:rPr>
          <w:rFonts w:eastAsiaTheme="minorHAnsi"/>
        </w:rPr>
        <w:t>(</w:t>
      </w:r>
      <w:r w:rsidR="001322CE" w:rsidRPr="00D90DD8">
        <w:rPr>
          <w:rFonts w:eastAsiaTheme="minorEastAsia"/>
        </w:rPr>
        <w:t>Alvarez</w:t>
      </w:r>
      <w:r w:rsidR="001322CE" w:rsidRPr="004E4387">
        <w:rPr>
          <w:rFonts w:eastAsiaTheme="minorEastAsia"/>
        </w:rPr>
        <w:t xml:space="preserve"> et al. 2017</w:t>
      </w:r>
      <w:r w:rsidR="001322CE" w:rsidRPr="004E4387">
        <w:rPr>
          <w:rFonts w:eastAsiaTheme="minorHAnsi"/>
        </w:rPr>
        <w:t>)</w:t>
      </w:r>
      <w:r w:rsidR="005B0484" w:rsidRPr="004E4387">
        <w:rPr>
          <w:rFonts w:eastAsiaTheme="minorHAnsi"/>
        </w:rPr>
        <w:t>.</w:t>
      </w:r>
    </w:p>
    <w:p w14:paraId="2BEA4A8E" w14:textId="77777777" w:rsidR="00E40EDD" w:rsidRPr="008D52CE" w:rsidRDefault="00E40EDD" w:rsidP="00245666">
      <w:pPr>
        <w:spacing w:line="240" w:lineRule="auto"/>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5151"/>
        <w:gridCol w:w="1705"/>
      </w:tblGrid>
      <w:tr w:rsidR="00B82B92" w14:paraId="3FA64F57" w14:textId="77777777" w:rsidTr="00F410E4">
        <w:tc>
          <w:tcPr>
            <w:tcW w:w="2494" w:type="dxa"/>
          </w:tcPr>
          <w:p w14:paraId="7FFFA76E" w14:textId="77777777" w:rsidR="00B82B92" w:rsidRDefault="00B82B92" w:rsidP="004E4387">
            <w:pPr>
              <w:rPr>
                <w:rFonts w:eastAsiaTheme="minorHAnsi"/>
              </w:rPr>
            </w:pPr>
          </w:p>
        </w:tc>
        <w:tc>
          <w:tcPr>
            <w:tcW w:w="5151" w:type="dxa"/>
          </w:tcPr>
          <w:p w14:paraId="0DC71BC7" w14:textId="29637524" w:rsidR="00B82B92" w:rsidRPr="00C54DB3" w:rsidRDefault="009A0740" w:rsidP="004E4387">
            <w:pPr>
              <w:rPr>
                <w:rFonts w:eastAsiaTheme="minorHAnsi" w:cs="Times New Roman"/>
              </w:rPr>
            </w:pPr>
            <m:oMathPara>
              <m:oMath>
                <m:sSub>
                  <m:sSubPr>
                    <m:ctrlPr>
                      <w:rPr>
                        <w:rFonts w:ascii="Cambria Math" w:eastAsiaTheme="minorHAnsi" w:hAnsi="Cambria Math" w:cs="Times New Roman"/>
                      </w:rPr>
                    </m:ctrlPr>
                  </m:sSubPr>
                  <m:e>
                    <m:r>
                      <w:rPr>
                        <w:rFonts w:ascii="Cambria Math" w:eastAsiaTheme="minorHAnsi" w:hAnsi="Cambria Math" w:cs="Times New Roman"/>
                      </w:rPr>
                      <m:t>θ</m:t>
                    </m:r>
                  </m:e>
                  <m:sub>
                    <m:r>
                      <w:rPr>
                        <w:rFonts w:ascii="Cambria Math" w:eastAsiaTheme="minorHAnsi" w:hAnsi="Cambria Math" w:cs="Times New Roman"/>
                      </w:rPr>
                      <m:t>A</m:t>
                    </m:r>
                  </m:sub>
                </m:sSub>
                <m:r>
                  <m:rPr>
                    <m:sty m:val="p"/>
                  </m:rPr>
                  <w:rPr>
                    <w:rFonts w:ascii="Cambria Math" w:eastAsiaTheme="minorHAnsi" w:hAnsi="Cambria Math" w:cs="Times New Roman"/>
                  </w:rPr>
                  <m:t>=</m:t>
                </m:r>
                <m:f>
                  <m:fPr>
                    <m:ctrlPr>
                      <w:rPr>
                        <w:rFonts w:ascii="Cambria Math" w:eastAsiaTheme="minorHAnsi" w:hAnsi="Cambria Math" w:cs="Times New Roman"/>
                      </w:rPr>
                    </m:ctrlPr>
                  </m:fPr>
                  <m:num>
                    <m:d>
                      <m:dPr>
                        <m:ctrlPr>
                          <w:rPr>
                            <w:rFonts w:ascii="Cambria Math" w:eastAsiaTheme="minorHAnsi" w:hAnsi="Cambria Math" w:cs="Times New Roman"/>
                          </w:rPr>
                        </m:ctrlPr>
                      </m:dPr>
                      <m:e>
                        <m:sSubSup>
                          <m:sSubSupPr>
                            <m:ctrlPr>
                              <w:rPr>
                                <w:rFonts w:ascii="Cambria Math" w:eastAsiaTheme="minorHAnsi" w:hAnsi="Cambria Math" w:cs="Times New Roman"/>
                              </w:rPr>
                            </m:ctrlPr>
                          </m:sSubSupPr>
                          <m:e>
                            <m:r>
                              <m:rPr>
                                <m:sty m:val="p"/>
                              </m:rPr>
                              <w:rPr>
                                <w:rFonts w:ascii="Cambria Math" w:eastAsiaTheme="minorHAnsi" w:hAnsi="Cambria Math" w:cs="Times New Roman"/>
                              </w:rPr>
                              <m:t>∅</m:t>
                            </m:r>
                          </m:e>
                          <m:sub>
                            <m:r>
                              <w:rPr>
                                <w:rFonts w:ascii="Cambria Math" w:eastAsiaTheme="minorHAnsi" w:hAnsi="Cambria Math" w:cs="Times New Roman"/>
                              </w:rPr>
                              <m:t>surf</m:t>
                            </m:r>
                          </m:sub>
                          <m:sup>
                            <m:r>
                              <w:rPr>
                                <w:rFonts w:ascii="Cambria Math" w:eastAsiaTheme="minorHAnsi" w:hAnsi="Cambria Math" w:cs="Times New Roman"/>
                              </w:rPr>
                              <m:t>i</m:t>
                            </m:r>
                          </m:sup>
                        </m:sSubSup>
                        <m:r>
                          <m:rPr>
                            <m:sty m:val="p"/>
                          </m:rPr>
                          <w:rPr>
                            <w:rFonts w:ascii="Cambria Math" w:eastAsiaTheme="minorHAnsi" w:hAnsi="Cambria Math" w:cs="Times New Roman"/>
                          </w:rPr>
                          <m:t>-</m:t>
                        </m:r>
                        <m:sSubSup>
                          <m:sSubSupPr>
                            <m:ctrlPr>
                              <w:rPr>
                                <w:rFonts w:ascii="Cambria Math" w:eastAsiaTheme="minorHAnsi" w:hAnsi="Cambria Math" w:cs="Times New Roman"/>
                              </w:rPr>
                            </m:ctrlPr>
                          </m:sSubSupPr>
                          <m:e>
                            <m:r>
                              <m:rPr>
                                <m:sty m:val="p"/>
                              </m:rPr>
                              <w:rPr>
                                <w:rFonts w:ascii="Cambria Math" w:eastAsiaTheme="minorHAnsi" w:hAnsi="Cambria Math" w:cs="Times New Roman"/>
                              </w:rPr>
                              <m:t>∅</m:t>
                            </m:r>
                          </m:e>
                          <m:sub>
                            <m:r>
                              <w:rPr>
                                <w:rFonts w:ascii="Cambria Math" w:eastAsiaTheme="minorHAnsi" w:hAnsi="Cambria Math" w:cs="Times New Roman"/>
                              </w:rPr>
                              <m:t>surf</m:t>
                            </m:r>
                          </m:sub>
                          <m:sup>
                            <m:r>
                              <w:rPr>
                                <w:rFonts w:ascii="Cambria Math" w:eastAsiaTheme="minorHAnsi" w:hAnsi="Cambria Math" w:cs="Times New Roman"/>
                              </w:rPr>
                              <m:t>f</m:t>
                            </m:r>
                          </m:sup>
                        </m:sSubSup>
                        <m:r>
                          <m:rPr>
                            <m:sty m:val="p"/>
                          </m:rPr>
                          <w:rPr>
                            <w:rFonts w:ascii="Cambria Math" w:eastAsiaTheme="minorHAnsi" w:hAnsi="Cambria Math" w:cs="Times New Roman"/>
                          </w:rPr>
                          <m:t xml:space="preserve"> </m:t>
                        </m:r>
                      </m:e>
                    </m:d>
                    <m:r>
                      <m:rPr>
                        <m:sty m:val="p"/>
                      </m:rPr>
                      <w:rPr>
                        <w:rFonts w:ascii="Cambria Math" w:eastAsiaTheme="minorHAnsi" w:hAnsi="Cambria Math" w:cs="Times New Roman"/>
                      </w:rPr>
                      <m:t xml:space="preserve">* </m:t>
                    </m:r>
                    <m:sSub>
                      <m:sSubPr>
                        <m:ctrlPr>
                          <w:rPr>
                            <w:rFonts w:ascii="Cambria Math" w:eastAsiaTheme="minorHAnsi" w:hAnsi="Cambria Math" w:cs="Times New Roman"/>
                          </w:rPr>
                        </m:ctrlPr>
                      </m:sSubPr>
                      <m:e>
                        <m:r>
                          <w:rPr>
                            <w:rFonts w:ascii="Cambria Math" w:eastAsiaTheme="minorHAnsi" w:hAnsi="Cambria Math" w:cs="Times New Roman"/>
                          </w:rPr>
                          <m:t>V</m:t>
                        </m:r>
                      </m:e>
                      <m:sub>
                        <m:r>
                          <w:rPr>
                            <w:rFonts w:ascii="Cambria Math" w:eastAsiaTheme="minorHAnsi" w:hAnsi="Cambria Math" w:cs="Times New Roman"/>
                          </w:rPr>
                          <m:t>surf</m:t>
                        </m:r>
                      </m:sub>
                    </m:sSub>
                    <m:r>
                      <m:rPr>
                        <m:sty m:val="p"/>
                      </m:rPr>
                      <w:rPr>
                        <w:rFonts w:ascii="Cambria Math" w:eastAsiaTheme="minorHAnsi" w:hAnsi="Cambria Math" w:cs="Times New Roman"/>
                      </w:rPr>
                      <m:t xml:space="preserve">* </m:t>
                    </m:r>
                    <m:sSub>
                      <m:sSubPr>
                        <m:ctrlPr>
                          <w:rPr>
                            <w:rFonts w:ascii="Cambria Math" w:eastAsiaTheme="minorHAnsi" w:hAnsi="Cambria Math" w:cs="Times New Roman"/>
                          </w:rPr>
                        </m:ctrlPr>
                      </m:sSubPr>
                      <m:e>
                        <m:r>
                          <w:rPr>
                            <w:rFonts w:ascii="Cambria Math" w:eastAsiaTheme="minorHAnsi" w:hAnsi="Cambria Math" w:cs="Times New Roman"/>
                          </w:rPr>
                          <m:t>ρ</m:t>
                        </m:r>
                      </m:e>
                      <m:sub>
                        <m:r>
                          <w:rPr>
                            <w:rFonts w:ascii="Cambria Math" w:eastAsiaTheme="minorHAnsi" w:hAnsi="Cambria Math" w:cs="Times New Roman"/>
                          </w:rPr>
                          <m:t>surf</m:t>
                        </m:r>
                      </m:sub>
                    </m:sSub>
                    <m:r>
                      <m:rPr>
                        <m:sty m:val="p"/>
                      </m:rPr>
                      <w:rPr>
                        <w:rFonts w:ascii="Cambria Math" w:eastAsiaTheme="minorHAnsi" w:hAnsi="Cambria Math" w:cs="Times New Roman"/>
                      </w:rPr>
                      <m:t xml:space="preserve">* </m:t>
                    </m:r>
                    <m:sSup>
                      <m:sSupPr>
                        <m:ctrlPr>
                          <w:rPr>
                            <w:rFonts w:ascii="Cambria Math" w:eastAsiaTheme="minorHAnsi" w:hAnsi="Cambria Math" w:cs="Times New Roman"/>
                          </w:rPr>
                        </m:ctrlPr>
                      </m:sSupPr>
                      <m:e>
                        <m:r>
                          <m:rPr>
                            <m:sty m:val="p"/>
                          </m:rPr>
                          <w:rPr>
                            <w:rFonts w:ascii="Cambria Math" w:eastAsiaTheme="minorHAnsi" w:hAnsi="Cambria Math" w:cs="Times New Roman"/>
                          </w:rPr>
                          <m:t>10</m:t>
                        </m:r>
                      </m:e>
                      <m:sup>
                        <m:r>
                          <m:rPr>
                            <m:sty m:val="p"/>
                          </m:rPr>
                          <w:rPr>
                            <w:rFonts w:ascii="Cambria Math" w:eastAsiaTheme="minorHAnsi" w:hAnsi="Cambria Math" w:cs="Times New Roman"/>
                          </w:rPr>
                          <m:t>5</m:t>
                        </m:r>
                      </m:sup>
                    </m:sSup>
                  </m:num>
                  <m:den>
                    <m:sSub>
                      <m:sSubPr>
                        <m:ctrlPr>
                          <w:rPr>
                            <w:rFonts w:ascii="Cambria Math" w:eastAsiaTheme="minorHAnsi" w:hAnsi="Cambria Math" w:cs="Times New Roman"/>
                          </w:rPr>
                        </m:ctrlPr>
                      </m:sSubPr>
                      <m:e>
                        <m:r>
                          <w:rPr>
                            <w:rFonts w:ascii="Cambria Math" w:eastAsiaTheme="minorHAnsi" w:hAnsi="Cambria Math" w:cs="Times New Roman"/>
                          </w:rPr>
                          <m:t>w</m:t>
                        </m:r>
                      </m:e>
                      <m:sub>
                        <m:r>
                          <w:rPr>
                            <w:rFonts w:ascii="Cambria Math" w:eastAsiaTheme="minorHAnsi" w:hAnsi="Cambria Math" w:cs="Times New Roman"/>
                          </w:rPr>
                          <m:t>rock</m:t>
                        </m:r>
                      </m:sub>
                    </m:sSub>
                  </m:den>
                </m:f>
              </m:oMath>
            </m:oMathPara>
          </w:p>
        </w:tc>
        <w:tc>
          <w:tcPr>
            <w:tcW w:w="1705" w:type="dxa"/>
            <w:vAlign w:val="center"/>
          </w:tcPr>
          <w:p w14:paraId="2A815BAA" w14:textId="1CB93F35" w:rsidR="00B82B92" w:rsidRDefault="00B82B92" w:rsidP="00F410E4">
            <w:pPr>
              <w:jc w:val="right"/>
              <w:rPr>
                <w:rFonts w:eastAsiaTheme="minorHAnsi"/>
              </w:rPr>
            </w:pPr>
            <w:r>
              <w:rPr>
                <w:rFonts w:eastAsiaTheme="minorHAnsi"/>
              </w:rPr>
              <w:t>(</w:t>
            </w:r>
            <w:r w:rsidR="00D90DD8">
              <w:rPr>
                <w:rFonts w:eastAsiaTheme="minorHAnsi"/>
              </w:rPr>
              <w:t>6</w:t>
            </w:r>
            <w:r>
              <w:rPr>
                <w:rFonts w:eastAsiaTheme="minorHAnsi"/>
              </w:rPr>
              <w:t>)</w:t>
            </w:r>
          </w:p>
        </w:tc>
      </w:tr>
    </w:tbl>
    <w:p w14:paraId="2D956596" w14:textId="77777777" w:rsidR="00E40EDD" w:rsidRDefault="00E40EDD" w:rsidP="00245666">
      <w:pPr>
        <w:spacing w:line="240" w:lineRule="auto"/>
        <w:rPr>
          <w:rFonts w:eastAsiaTheme="minorHAnsi"/>
          <w:szCs w:val="20"/>
        </w:rPr>
      </w:pPr>
    </w:p>
    <w:p w14:paraId="597218A9" w14:textId="072D3F8E" w:rsidR="00292062" w:rsidRDefault="00487C06" w:rsidP="00667B91">
      <w:pPr>
        <w:rPr>
          <w:rFonts w:eastAsiaTheme="minorEastAsia"/>
        </w:rPr>
      </w:pPr>
      <w:r>
        <w:rPr>
          <w:rFonts w:eastAsiaTheme="minorHAnsi"/>
          <w:szCs w:val="20"/>
        </w:rPr>
        <w:t xml:space="preserve">where </w:t>
      </w:r>
      <m:oMath>
        <m:sSub>
          <m:sSubPr>
            <m:ctrlPr>
              <w:rPr>
                <w:rFonts w:ascii="Cambria Math" w:eastAsiaTheme="minorHAnsi" w:hAnsi="Cambria Math"/>
                <w:i/>
                <w:szCs w:val="20"/>
              </w:rPr>
            </m:ctrlPr>
          </m:sSubPr>
          <m:e>
            <m:r>
              <w:rPr>
                <w:rFonts w:ascii="Cambria Math" w:eastAsiaTheme="minorHAnsi" w:hAnsi="Cambria Math"/>
                <w:szCs w:val="20"/>
              </w:rPr>
              <m:t>θ</m:t>
            </m:r>
          </m:e>
          <m:sub>
            <m:r>
              <w:rPr>
                <w:rFonts w:ascii="Cambria Math" w:eastAsiaTheme="minorHAnsi" w:hAnsi="Cambria Math"/>
                <w:szCs w:val="20"/>
              </w:rPr>
              <m:t>A</m:t>
            </m:r>
          </m:sub>
        </m:sSub>
      </m:oMath>
      <w:r>
        <w:rPr>
          <w:rFonts w:eastAsiaTheme="minorEastAsia"/>
          <w:szCs w:val="20"/>
        </w:rPr>
        <w:t xml:space="preserve"> = amount of surfactant adsorbed</w:t>
      </w:r>
      <w:r w:rsidR="007A1499">
        <w:rPr>
          <w:rFonts w:eastAsiaTheme="minorEastAsia"/>
          <w:szCs w:val="20"/>
        </w:rPr>
        <w:t xml:space="preserve"> on rock sample</w:t>
      </w:r>
      <w:r w:rsidR="0039692A">
        <w:rPr>
          <w:rFonts w:eastAsiaTheme="minorEastAsia"/>
          <w:szCs w:val="20"/>
        </w:rPr>
        <w:t xml:space="preserve"> (mg of surfactant/gm of rock)</w:t>
      </w:r>
      <w:r>
        <w:rPr>
          <w:rFonts w:eastAsiaTheme="minorEastAsia"/>
          <w:szCs w:val="20"/>
        </w:rPr>
        <w:t>;</w:t>
      </w:r>
      <m:oMath>
        <m:sSubSup>
          <m:sSubSupPr>
            <m:ctrlPr>
              <w:rPr>
                <w:rFonts w:ascii="Cambria Math" w:hAnsi="Cambria Math"/>
              </w:rPr>
            </m:ctrlPr>
          </m:sSubSupPr>
          <m:e>
            <m:r>
              <w:rPr>
                <w:rFonts w:ascii="Cambria Math" w:eastAsiaTheme="minorHAnsi" w:hAnsi="Cambria Math"/>
              </w:rPr>
              <m:t xml:space="preserve"> ∅</m:t>
            </m:r>
          </m:e>
          <m:sub>
            <m:r>
              <w:rPr>
                <w:rFonts w:ascii="Cambria Math" w:eastAsiaTheme="minorHAnsi" w:hAnsi="Cambria Math"/>
              </w:rPr>
              <m:t>surf</m:t>
            </m:r>
          </m:sub>
          <m:sup>
            <m:r>
              <w:rPr>
                <w:rFonts w:ascii="Cambria Math" w:eastAsiaTheme="minorHAnsi" w:hAnsi="Cambria Math"/>
              </w:rPr>
              <m:t>i</m:t>
            </m:r>
          </m:sup>
        </m:sSubSup>
      </m:oMath>
      <w:r w:rsidRPr="00FE747B">
        <w:rPr>
          <w:rFonts w:eastAsiaTheme="minorEastAsia"/>
        </w:rPr>
        <w:t xml:space="preserve"> </w:t>
      </w:r>
      <w:r>
        <w:rPr>
          <w:rFonts w:eastAsiaTheme="minorEastAsia"/>
        </w:rPr>
        <w:t>=</w:t>
      </w:r>
      <w:r w:rsidRPr="00FE747B">
        <w:rPr>
          <w:rFonts w:eastAsiaTheme="minorEastAsia"/>
        </w:rPr>
        <w:t xml:space="preserve"> initial </w:t>
      </w:r>
      <w:r>
        <w:rPr>
          <w:rFonts w:eastAsiaTheme="minorEastAsia"/>
        </w:rPr>
        <w:t>surfactant</w:t>
      </w:r>
      <w:r w:rsidRPr="00FE747B">
        <w:rPr>
          <w:rFonts w:eastAsiaTheme="minorEastAsia"/>
        </w:rPr>
        <w:t xml:space="preserve"> concentration</w:t>
      </w:r>
      <w:r w:rsidR="0039692A">
        <w:rPr>
          <w:rFonts w:eastAsiaTheme="minorEastAsia"/>
        </w:rPr>
        <w:t xml:space="preserve"> (gpt)</w:t>
      </w:r>
      <w:r>
        <w:rPr>
          <w:rFonts w:eastAsiaTheme="minorEastAsia"/>
        </w:rPr>
        <w:t xml:space="preserve">; </w:t>
      </w:r>
      <m:oMath>
        <m:sSubSup>
          <m:sSubSupPr>
            <m:ctrlPr>
              <w:rPr>
                <w:rFonts w:ascii="Cambria Math" w:hAnsi="Cambria Math"/>
              </w:rPr>
            </m:ctrlPr>
          </m:sSubSupPr>
          <m:e>
            <m:r>
              <w:rPr>
                <w:rFonts w:ascii="Cambria Math" w:eastAsiaTheme="minorHAnsi" w:hAnsi="Cambria Math"/>
              </w:rPr>
              <m:t>∅</m:t>
            </m:r>
          </m:e>
          <m:sub>
            <m:r>
              <w:rPr>
                <w:rFonts w:ascii="Cambria Math" w:eastAsiaTheme="minorHAnsi" w:hAnsi="Cambria Math"/>
              </w:rPr>
              <m:t>surf</m:t>
            </m:r>
          </m:sub>
          <m:sup>
            <m:r>
              <w:rPr>
                <w:rFonts w:ascii="Cambria Math" w:eastAsiaTheme="minorHAnsi" w:hAnsi="Cambria Math"/>
              </w:rPr>
              <m:t>f</m:t>
            </m:r>
          </m:sup>
        </m:sSubSup>
      </m:oMath>
      <w:r w:rsidRPr="00FE747B">
        <w:rPr>
          <w:rFonts w:eastAsiaTheme="minorEastAsia"/>
        </w:rPr>
        <w:t xml:space="preserve"> </w:t>
      </w:r>
      <w:r>
        <w:rPr>
          <w:rFonts w:eastAsiaTheme="minorEastAsia"/>
        </w:rPr>
        <w:t>= final surfactant</w:t>
      </w:r>
      <w:r w:rsidRPr="00FE747B">
        <w:rPr>
          <w:rFonts w:eastAsiaTheme="minorEastAsia"/>
        </w:rPr>
        <w:t xml:space="preserve"> concentration</w:t>
      </w:r>
      <w:r w:rsidR="0039692A">
        <w:rPr>
          <w:rFonts w:eastAsiaTheme="minorEastAsia"/>
        </w:rPr>
        <w:t xml:space="preserve"> (gpt)</w:t>
      </w:r>
      <w:r>
        <w:rPr>
          <w:rFonts w:eastAsiaTheme="minorEastAsia"/>
        </w:rPr>
        <w:t>;</w:t>
      </w:r>
      <w:r w:rsidRPr="00FE747B">
        <w:rPr>
          <w:rFonts w:eastAsiaTheme="minorEastAsia"/>
        </w:rPr>
        <w:t xml:space="preserve"> </w:t>
      </w:r>
      <m:oMath>
        <m:sSub>
          <m:sSubPr>
            <m:ctrlPr>
              <w:rPr>
                <w:rFonts w:ascii="Cambria Math" w:hAnsi="Cambria Math"/>
              </w:rPr>
            </m:ctrlPr>
          </m:sSubPr>
          <m:e>
            <m:r>
              <w:rPr>
                <w:rFonts w:ascii="Cambria Math" w:eastAsiaTheme="minorHAnsi" w:hAnsi="Cambria Math"/>
              </w:rPr>
              <m:t>V</m:t>
            </m:r>
          </m:e>
          <m:sub>
            <m:r>
              <w:rPr>
                <w:rFonts w:ascii="Cambria Math" w:eastAsiaTheme="minorHAnsi" w:hAnsi="Cambria Math"/>
              </w:rPr>
              <m:t>surf</m:t>
            </m:r>
          </m:sub>
        </m:sSub>
      </m:oMath>
      <w:r w:rsidRPr="00FE747B">
        <w:rPr>
          <w:rFonts w:eastAsiaTheme="minorEastAsia"/>
        </w:rPr>
        <w:t xml:space="preserve"> </w:t>
      </w:r>
      <w:r>
        <w:rPr>
          <w:rFonts w:eastAsiaTheme="minorEastAsia"/>
        </w:rPr>
        <w:t>= volume of surfactant</w:t>
      </w:r>
      <w:r w:rsidR="0039692A">
        <w:rPr>
          <w:rFonts w:eastAsiaTheme="minorEastAsia"/>
        </w:rPr>
        <w:t xml:space="preserve"> solution (ml)</w:t>
      </w:r>
      <w:r>
        <w:rPr>
          <w:rFonts w:eastAsiaTheme="minorEastAsia"/>
        </w:rPr>
        <w:t xml:space="preserve">; </w:t>
      </w:r>
      <m:oMath>
        <m:sSub>
          <m:sSubPr>
            <m:ctrlPr>
              <w:rPr>
                <w:rFonts w:ascii="Cambria Math" w:hAnsi="Cambria Math"/>
              </w:rPr>
            </m:ctrlPr>
          </m:sSubPr>
          <m:e>
            <m:r>
              <w:rPr>
                <w:rFonts w:ascii="Cambria Math" w:eastAsiaTheme="minorHAnsi" w:hAnsi="Cambria Math"/>
              </w:rPr>
              <m:t>ρ</m:t>
            </m:r>
          </m:e>
          <m:sub>
            <m:r>
              <w:rPr>
                <w:rFonts w:ascii="Cambria Math" w:eastAsiaTheme="minorHAnsi" w:hAnsi="Cambria Math"/>
              </w:rPr>
              <m:t>surf</m:t>
            </m:r>
          </m:sub>
        </m:sSub>
      </m:oMath>
      <w:r w:rsidRPr="00FE747B">
        <w:rPr>
          <w:rFonts w:eastAsiaTheme="minorEastAsia"/>
        </w:rPr>
        <w:t xml:space="preserve"> </w:t>
      </w:r>
      <w:r>
        <w:rPr>
          <w:rFonts w:eastAsiaTheme="minorEastAsia"/>
        </w:rPr>
        <w:t>= density of surfactant</w:t>
      </w:r>
      <w:r w:rsidR="0039692A">
        <w:rPr>
          <w:rFonts w:eastAsiaTheme="minorEastAsia"/>
        </w:rPr>
        <w:t xml:space="preserve"> </w:t>
      </w:r>
      <w:r w:rsidR="007A1499">
        <w:rPr>
          <w:rFonts w:eastAsiaTheme="minorEastAsia"/>
        </w:rPr>
        <w:t xml:space="preserve">solution </w:t>
      </w:r>
      <w:r w:rsidR="0039692A">
        <w:rPr>
          <w:rFonts w:eastAsiaTheme="minorEastAsia"/>
        </w:rPr>
        <w:t>(gm/cc)</w:t>
      </w:r>
      <w:r w:rsidRPr="00FE747B">
        <w:rPr>
          <w:rFonts w:eastAsiaTheme="minorEastAsia"/>
        </w:rPr>
        <w:t xml:space="preserve">; and </w:t>
      </w:r>
      <m:oMath>
        <m:sSub>
          <m:sSubPr>
            <m:ctrlPr>
              <w:rPr>
                <w:rFonts w:ascii="Cambria Math" w:hAnsi="Cambria Math"/>
              </w:rPr>
            </m:ctrlPr>
          </m:sSubPr>
          <m:e>
            <m:r>
              <w:rPr>
                <w:rFonts w:ascii="Cambria Math" w:eastAsiaTheme="minorHAnsi" w:hAnsi="Cambria Math"/>
              </w:rPr>
              <m:t>w</m:t>
            </m:r>
          </m:e>
          <m:sub>
            <m:r>
              <w:rPr>
                <w:rFonts w:ascii="Cambria Math" w:eastAsiaTheme="minorHAnsi" w:hAnsi="Cambria Math"/>
              </w:rPr>
              <m:t>rock</m:t>
            </m:r>
          </m:sub>
        </m:sSub>
      </m:oMath>
      <w:r w:rsidRPr="00FE747B">
        <w:rPr>
          <w:rFonts w:eastAsiaTheme="minorEastAsia"/>
        </w:rPr>
        <w:t xml:space="preserve"> </w:t>
      </w:r>
      <w:r>
        <w:rPr>
          <w:rFonts w:eastAsiaTheme="minorEastAsia"/>
        </w:rPr>
        <w:t>=</w:t>
      </w:r>
      <w:r w:rsidRPr="00FE747B">
        <w:rPr>
          <w:rFonts w:eastAsiaTheme="minorEastAsia"/>
        </w:rPr>
        <w:t xml:space="preserve"> weight </w:t>
      </w:r>
      <w:r>
        <w:rPr>
          <w:rFonts w:eastAsiaTheme="minorEastAsia"/>
        </w:rPr>
        <w:t>of</w:t>
      </w:r>
      <w:r w:rsidRPr="00FE747B">
        <w:rPr>
          <w:rFonts w:eastAsiaTheme="minorEastAsia"/>
        </w:rPr>
        <w:t xml:space="preserve"> </w:t>
      </w:r>
      <w:r>
        <w:rPr>
          <w:rFonts w:eastAsiaTheme="minorEastAsia"/>
        </w:rPr>
        <w:t xml:space="preserve">a </w:t>
      </w:r>
      <w:r w:rsidRPr="00FE747B">
        <w:rPr>
          <w:rFonts w:eastAsiaTheme="minorEastAsia"/>
        </w:rPr>
        <w:t>rock</w:t>
      </w:r>
      <w:r w:rsidR="0039692A">
        <w:rPr>
          <w:rFonts w:eastAsiaTheme="minorEastAsia"/>
        </w:rPr>
        <w:t xml:space="preserve"> (gm)</w:t>
      </w:r>
      <w:r w:rsidR="001F3465">
        <w:rPr>
          <w:rFonts w:eastAsiaTheme="minorEastAsia"/>
        </w:rPr>
        <w:t>.</w:t>
      </w:r>
    </w:p>
    <w:p w14:paraId="23B59040" w14:textId="0C4E0122" w:rsidR="007A1499" w:rsidRDefault="007A1499" w:rsidP="00667B91">
      <w:pPr>
        <w:rPr>
          <w:rFonts w:eastAsiaTheme="minorEastAsia"/>
        </w:rPr>
      </w:pPr>
    </w:p>
    <w:p w14:paraId="278E35A4" w14:textId="768F3A69" w:rsidR="007A1499" w:rsidRPr="00667B91" w:rsidRDefault="007A1499" w:rsidP="007A1499">
      <w:pPr>
        <w:jc w:val="center"/>
        <w:rPr>
          <w:rFonts w:eastAsiaTheme="minorEastAsia"/>
        </w:rPr>
      </w:pPr>
      <w:r>
        <w:rPr>
          <w:noProof/>
        </w:rPr>
        <w:lastRenderedPageBreak/>
        <w:drawing>
          <wp:inline distT="0" distB="0" distL="0" distR="0" wp14:anchorId="6FC0CBDF" wp14:editId="525A226C">
            <wp:extent cx="4241260" cy="4108721"/>
            <wp:effectExtent l="0" t="0" r="635" b="6350"/>
            <wp:docPr id="4" name="Picture 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ab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54251" cy="4121306"/>
                    </a:xfrm>
                    <a:prstGeom prst="rect">
                      <a:avLst/>
                    </a:prstGeom>
                  </pic:spPr>
                </pic:pic>
              </a:graphicData>
            </a:graphic>
          </wp:inline>
        </w:drawing>
      </w:r>
    </w:p>
    <w:p w14:paraId="6830534D" w14:textId="430E1EA6" w:rsidR="005C5A6A" w:rsidRDefault="00205265" w:rsidP="006F3BC3">
      <w:pPr>
        <w:pStyle w:val="NoSpacing"/>
        <w:rPr>
          <w:bCs/>
        </w:rPr>
      </w:pPr>
      <w:bookmarkStart w:id="78" w:name="_Ref118486800"/>
      <w:bookmarkStart w:id="79" w:name="_Toc121470279"/>
      <w:r w:rsidRPr="00205265">
        <w:rPr>
          <w:bCs/>
        </w:rPr>
        <w:t xml:space="preserve">Figure </w:t>
      </w:r>
      <w:r w:rsidRPr="00205265">
        <w:rPr>
          <w:b w:val="0"/>
          <w:bCs/>
        </w:rPr>
        <w:fldChar w:fldCharType="begin"/>
      </w:r>
      <w:r w:rsidRPr="00205265">
        <w:rPr>
          <w:bCs/>
        </w:rPr>
        <w:instrText xml:space="preserve"> SEQ Figure \* ARABIC </w:instrText>
      </w:r>
      <w:r w:rsidRPr="00205265">
        <w:rPr>
          <w:b w:val="0"/>
          <w:bCs/>
        </w:rPr>
        <w:fldChar w:fldCharType="separate"/>
      </w:r>
      <w:r w:rsidR="002F3906">
        <w:rPr>
          <w:bCs/>
          <w:noProof/>
        </w:rPr>
        <w:t>5</w:t>
      </w:r>
      <w:r w:rsidRPr="00205265">
        <w:rPr>
          <w:b w:val="0"/>
          <w:bCs/>
        </w:rPr>
        <w:fldChar w:fldCharType="end"/>
      </w:r>
      <w:bookmarkEnd w:id="78"/>
      <w:r w:rsidRPr="00205265">
        <w:rPr>
          <w:bCs/>
        </w:rPr>
        <w:t xml:space="preserve"> - Step by step experimental workflow for surfactant adsorption measurements used in this study.</w:t>
      </w:r>
      <w:bookmarkStart w:id="80" w:name="_Toc118484075"/>
      <w:bookmarkStart w:id="81" w:name="_Toc118485287"/>
      <w:bookmarkEnd w:id="79"/>
    </w:p>
    <w:p w14:paraId="0E5C230B" w14:textId="77777777" w:rsidR="006F3BC3" w:rsidRPr="006F3BC3" w:rsidRDefault="006F3BC3" w:rsidP="006F3BC3">
      <w:pPr>
        <w:pStyle w:val="NoSpacing"/>
        <w:rPr>
          <w:b w:val="0"/>
          <w:bCs/>
        </w:rPr>
      </w:pPr>
    </w:p>
    <w:p w14:paraId="390C83E9" w14:textId="6838DAD7" w:rsidR="008E5373" w:rsidRDefault="008E5373" w:rsidP="00AD3D1F">
      <w:pPr>
        <w:pStyle w:val="Heading2"/>
        <w:numPr>
          <w:ilvl w:val="0"/>
          <w:numId w:val="0"/>
        </w:numPr>
      </w:pPr>
      <w:bookmarkStart w:id="82" w:name="_Toc121470252"/>
      <w:r>
        <w:t xml:space="preserve">3.5 Imbibition Experiments </w:t>
      </w:r>
      <w:r w:rsidR="00A3747B">
        <w:t>using</w:t>
      </w:r>
      <w:r>
        <w:t xml:space="preserve"> </w:t>
      </w:r>
      <w:r w:rsidR="0097390B">
        <w:t xml:space="preserve">Produced Brine and </w:t>
      </w:r>
      <w:r>
        <w:t>Surfactant</w:t>
      </w:r>
      <w:r w:rsidR="000F603D">
        <w:t>s</w:t>
      </w:r>
      <w:bookmarkEnd w:id="82"/>
      <w:r>
        <w:t xml:space="preserve"> </w:t>
      </w:r>
      <w:bookmarkEnd w:id="80"/>
      <w:bookmarkEnd w:id="81"/>
    </w:p>
    <w:p w14:paraId="4C13858D" w14:textId="6A346640" w:rsidR="00965CB3" w:rsidRDefault="005A090E" w:rsidP="00165A4B">
      <w:pPr>
        <w:rPr>
          <w:rFonts w:eastAsiaTheme="minorHAnsi"/>
        </w:rPr>
      </w:pPr>
      <w:r>
        <w:rPr>
          <w:rFonts w:eastAsiaTheme="minorHAnsi"/>
        </w:rPr>
        <w:t>Imbibition experiments were performed on</w:t>
      </w:r>
      <w:r w:rsidR="000D1F73">
        <w:rPr>
          <w:rFonts w:eastAsiaTheme="minorHAnsi"/>
        </w:rPr>
        <w:t xml:space="preserve"> three</w:t>
      </w:r>
      <w:r>
        <w:rPr>
          <w:rFonts w:eastAsiaTheme="minorHAnsi"/>
        </w:rPr>
        <w:t xml:space="preserve"> </w:t>
      </w:r>
      <w:r w:rsidR="00EC6486">
        <w:rPr>
          <w:rFonts w:eastAsiaTheme="minorHAnsi"/>
        </w:rPr>
        <w:t>plug</w:t>
      </w:r>
      <w:r>
        <w:rPr>
          <w:rFonts w:eastAsiaTheme="minorHAnsi"/>
        </w:rPr>
        <w:t xml:space="preserve"> samples </w:t>
      </w:r>
      <w:r w:rsidR="00E21BEA">
        <w:rPr>
          <w:rFonts w:eastAsiaTheme="minorHAnsi"/>
        </w:rPr>
        <w:t xml:space="preserve">using </w:t>
      </w:r>
      <w:r w:rsidR="000C5D10">
        <w:rPr>
          <w:rFonts w:eastAsiaTheme="minorHAnsi"/>
        </w:rPr>
        <w:t xml:space="preserve">produced brine and </w:t>
      </w:r>
      <w:r w:rsidR="00E21BEA">
        <w:rPr>
          <w:rFonts w:eastAsiaTheme="minorHAnsi"/>
        </w:rPr>
        <w:t>three surfactant</w:t>
      </w:r>
      <w:r w:rsidR="00746CAA">
        <w:rPr>
          <w:rFonts w:eastAsiaTheme="minorHAnsi"/>
        </w:rPr>
        <w:t xml:space="preserve"> solutions </w:t>
      </w:r>
      <w:r>
        <w:rPr>
          <w:rFonts w:eastAsiaTheme="minorHAnsi"/>
        </w:rPr>
        <w:t xml:space="preserve">at </w:t>
      </w:r>
      <w:r w:rsidR="000C5D10">
        <w:rPr>
          <w:rFonts w:eastAsiaTheme="minorHAnsi"/>
        </w:rPr>
        <w:t xml:space="preserve">2 gpt concentration, </w:t>
      </w:r>
      <w:r w:rsidR="00ED1687">
        <w:rPr>
          <w:rFonts w:eastAsiaTheme="minorHAnsi"/>
        </w:rPr>
        <w:t>500 psi</w:t>
      </w:r>
      <w:r w:rsidR="00D87303">
        <w:rPr>
          <w:rFonts w:eastAsiaTheme="minorHAnsi"/>
        </w:rPr>
        <w:t>,</w:t>
      </w:r>
      <w:r w:rsidR="00ED1687">
        <w:rPr>
          <w:rFonts w:eastAsiaTheme="minorHAnsi"/>
        </w:rPr>
        <w:t xml:space="preserve"> and 145</w:t>
      </w:r>
      <w:r w:rsidR="00ED1687" w:rsidRPr="00ED1687">
        <w:rPr>
          <w:rFonts w:eastAsiaTheme="minorHAnsi"/>
          <w:vertAlign w:val="superscript"/>
        </w:rPr>
        <w:t>o</w:t>
      </w:r>
      <w:r w:rsidR="00ED1687">
        <w:rPr>
          <w:rFonts w:eastAsiaTheme="minorHAnsi"/>
        </w:rPr>
        <w:t xml:space="preserve">F </w:t>
      </w:r>
      <w:r>
        <w:rPr>
          <w:rFonts w:eastAsiaTheme="minorHAnsi"/>
        </w:rPr>
        <w:t xml:space="preserve">to quantify the oil recovery using </w:t>
      </w:r>
      <w:r w:rsidR="00D87303">
        <w:rPr>
          <w:rFonts w:eastAsiaTheme="minorHAnsi"/>
        </w:rPr>
        <w:t xml:space="preserve">a </w:t>
      </w:r>
      <w:r>
        <w:rPr>
          <w:rFonts w:eastAsiaTheme="minorHAnsi"/>
        </w:rPr>
        <w:t>12 MHz NMR Spectrometer.</w:t>
      </w:r>
      <w:r w:rsidR="00A333F4">
        <w:rPr>
          <w:rFonts w:eastAsiaTheme="minorHAnsi"/>
        </w:rPr>
        <w:t xml:space="preserve"> </w:t>
      </w:r>
      <w:r>
        <w:rPr>
          <w:rFonts w:eastAsiaTheme="minorHAnsi"/>
        </w:rPr>
        <w:t xml:space="preserve">The experimental setup and workflow are </w:t>
      </w:r>
      <w:r w:rsidRPr="00692474">
        <w:rPr>
          <w:rFonts w:eastAsiaTheme="minorHAnsi"/>
        </w:rPr>
        <w:t xml:space="preserve">shown in </w:t>
      </w:r>
      <w:r w:rsidR="00B72A9B" w:rsidRPr="00692474">
        <w:rPr>
          <w:rFonts w:eastAsiaTheme="minorHAnsi"/>
        </w:rPr>
        <w:fldChar w:fldCharType="begin"/>
      </w:r>
      <w:r w:rsidR="00B72A9B" w:rsidRPr="00692474">
        <w:rPr>
          <w:rFonts w:eastAsiaTheme="minorHAnsi"/>
        </w:rPr>
        <w:instrText xml:space="preserve"> REF _Ref118569258 \h </w:instrText>
      </w:r>
      <w:r w:rsidR="00692474" w:rsidRPr="00692474">
        <w:rPr>
          <w:rFonts w:eastAsiaTheme="minorHAnsi"/>
        </w:rPr>
        <w:instrText xml:space="preserve"> \* MERGEFORMAT </w:instrText>
      </w:r>
      <w:r w:rsidR="00B72A9B" w:rsidRPr="00692474">
        <w:rPr>
          <w:rFonts w:eastAsiaTheme="minorHAnsi"/>
        </w:rPr>
      </w:r>
      <w:r w:rsidR="00B72A9B" w:rsidRPr="00692474">
        <w:rPr>
          <w:rFonts w:eastAsiaTheme="minorHAnsi"/>
        </w:rPr>
        <w:fldChar w:fldCharType="separate"/>
      </w:r>
      <w:r w:rsidR="002F3906" w:rsidRPr="002F3906">
        <w:t xml:space="preserve">Figure </w:t>
      </w:r>
      <w:r w:rsidR="002F3906" w:rsidRPr="002F3906">
        <w:rPr>
          <w:noProof/>
        </w:rPr>
        <w:t>6</w:t>
      </w:r>
      <w:r w:rsidR="00B72A9B" w:rsidRPr="00692474">
        <w:rPr>
          <w:rFonts w:eastAsiaTheme="minorHAnsi"/>
        </w:rPr>
        <w:fldChar w:fldCharType="end"/>
      </w:r>
      <w:r w:rsidR="00EC6486" w:rsidRPr="00692474">
        <w:rPr>
          <w:rFonts w:eastAsiaTheme="minorHAnsi"/>
        </w:rPr>
        <w:t xml:space="preserve"> </w:t>
      </w:r>
      <w:r w:rsidRPr="00692474">
        <w:rPr>
          <w:rFonts w:eastAsiaTheme="minorHAnsi"/>
        </w:rPr>
        <w:t xml:space="preserve">and </w:t>
      </w:r>
      <w:r w:rsidR="00B72A9B" w:rsidRPr="00692474">
        <w:rPr>
          <w:rFonts w:eastAsiaTheme="minorHAnsi"/>
        </w:rPr>
        <w:fldChar w:fldCharType="begin"/>
      </w:r>
      <w:r w:rsidR="00B72A9B" w:rsidRPr="00692474">
        <w:rPr>
          <w:rFonts w:eastAsiaTheme="minorHAnsi"/>
        </w:rPr>
        <w:instrText xml:space="preserve"> REF _Ref118569285 \h </w:instrText>
      </w:r>
      <w:r w:rsidR="00692474" w:rsidRPr="00692474">
        <w:rPr>
          <w:rFonts w:eastAsiaTheme="minorHAnsi"/>
        </w:rPr>
        <w:instrText xml:space="preserve"> \* MERGEFORMAT </w:instrText>
      </w:r>
      <w:r w:rsidR="00B72A9B" w:rsidRPr="00692474">
        <w:rPr>
          <w:rFonts w:eastAsiaTheme="minorHAnsi"/>
        </w:rPr>
      </w:r>
      <w:r w:rsidR="00B72A9B" w:rsidRPr="00692474">
        <w:rPr>
          <w:rFonts w:eastAsiaTheme="minorHAnsi"/>
        </w:rPr>
        <w:fldChar w:fldCharType="separate"/>
      </w:r>
      <w:r w:rsidR="002F3906" w:rsidRPr="002F3906">
        <w:t xml:space="preserve">Figure </w:t>
      </w:r>
      <w:r w:rsidR="002F3906" w:rsidRPr="002F3906">
        <w:rPr>
          <w:noProof/>
        </w:rPr>
        <w:t>7</w:t>
      </w:r>
      <w:r w:rsidR="00B72A9B" w:rsidRPr="00692474">
        <w:rPr>
          <w:rFonts w:eastAsiaTheme="minorHAnsi"/>
        </w:rPr>
        <w:fldChar w:fldCharType="end"/>
      </w:r>
      <w:r w:rsidR="00EC6486" w:rsidRPr="00692474">
        <w:rPr>
          <w:rFonts w:eastAsiaTheme="minorHAnsi"/>
        </w:rPr>
        <w:t>.</w:t>
      </w:r>
      <w:r w:rsidR="00A7069D">
        <w:rPr>
          <w:rFonts w:eastAsiaTheme="minorHAnsi"/>
        </w:rPr>
        <w:t xml:space="preserve"> </w:t>
      </w:r>
    </w:p>
    <w:p w14:paraId="29D34A6F" w14:textId="487C4864" w:rsidR="00EC6486" w:rsidRDefault="00ED1687" w:rsidP="005A090E">
      <w:pPr>
        <w:rPr>
          <w:rFonts w:eastAsiaTheme="minorHAnsi"/>
        </w:rPr>
      </w:pPr>
      <w:r>
        <w:rPr>
          <w:rFonts w:eastAsiaTheme="minorHAnsi"/>
        </w:rPr>
        <w:t>The experimental steps are described next:</w:t>
      </w:r>
    </w:p>
    <w:p w14:paraId="3C1433C9" w14:textId="1B488953" w:rsidR="007613F4" w:rsidRDefault="00DF4EF3" w:rsidP="00DF4EF3">
      <w:pPr>
        <w:pStyle w:val="ListParagraph"/>
        <w:numPr>
          <w:ilvl w:val="0"/>
          <w:numId w:val="5"/>
        </w:numPr>
        <w:rPr>
          <w:rFonts w:eastAsiaTheme="minorHAnsi"/>
        </w:rPr>
      </w:pPr>
      <w:r w:rsidRPr="00DF4EF3">
        <w:rPr>
          <w:rFonts w:eastAsiaTheme="minorHAnsi"/>
        </w:rPr>
        <w:t>Plug</w:t>
      </w:r>
      <w:r w:rsidR="005A090E" w:rsidRPr="00DF4EF3">
        <w:rPr>
          <w:rFonts w:eastAsiaTheme="minorHAnsi"/>
        </w:rPr>
        <w:t xml:space="preserve"> samples </w:t>
      </w:r>
      <w:r w:rsidR="004750B1" w:rsidRPr="00692474">
        <w:rPr>
          <w:rFonts w:eastAsiaTheme="minorHAnsi"/>
        </w:rPr>
        <w:t>of 1-inch diameter</w:t>
      </w:r>
      <w:r w:rsidR="004750B1">
        <w:rPr>
          <w:rFonts w:eastAsiaTheme="minorHAnsi"/>
        </w:rPr>
        <w:t xml:space="preserve"> and 1 to 1.3-inch thickness</w:t>
      </w:r>
      <w:r w:rsidR="004750B1" w:rsidRPr="00DF4EF3">
        <w:rPr>
          <w:rFonts w:eastAsiaTheme="minorHAnsi"/>
        </w:rPr>
        <w:t xml:space="preserve"> </w:t>
      </w:r>
      <w:r w:rsidR="005A090E" w:rsidRPr="00DF4EF3">
        <w:rPr>
          <w:rFonts w:eastAsiaTheme="minorHAnsi"/>
        </w:rPr>
        <w:t xml:space="preserve">were cleaned by soxhlet extraction using two solvents, first with cyclohexane for 48 hours and then with methanol for 48 hours, to remove most of the residual hydrocarbons and water (Zygler et al. 2012). </w:t>
      </w:r>
    </w:p>
    <w:p w14:paraId="7DE53928" w14:textId="484CA3B9" w:rsidR="000D1F73" w:rsidRDefault="005A090E" w:rsidP="00DF4EF3">
      <w:pPr>
        <w:pStyle w:val="ListParagraph"/>
        <w:numPr>
          <w:ilvl w:val="0"/>
          <w:numId w:val="5"/>
        </w:numPr>
        <w:rPr>
          <w:rFonts w:eastAsiaTheme="minorHAnsi"/>
        </w:rPr>
      </w:pPr>
      <w:r w:rsidRPr="00DF4EF3">
        <w:rPr>
          <w:rFonts w:eastAsiaTheme="minorHAnsi"/>
        </w:rPr>
        <w:lastRenderedPageBreak/>
        <w:t xml:space="preserve">After cleaning, the </w:t>
      </w:r>
      <w:r w:rsidR="00F6031D">
        <w:rPr>
          <w:rFonts w:eastAsiaTheme="minorHAnsi"/>
        </w:rPr>
        <w:t>samples</w:t>
      </w:r>
      <w:r w:rsidRPr="00DF4EF3">
        <w:rPr>
          <w:rFonts w:eastAsiaTheme="minorHAnsi"/>
        </w:rPr>
        <w:t xml:space="preserve"> were dried in an oven at 100 </w:t>
      </w:r>
      <w:r w:rsidRPr="00DF4EF3">
        <w:rPr>
          <w:rFonts w:eastAsiaTheme="minorHAnsi"/>
          <w:vertAlign w:val="superscript"/>
        </w:rPr>
        <w:t>o</w:t>
      </w:r>
      <w:r w:rsidRPr="00DF4EF3">
        <w:rPr>
          <w:rFonts w:eastAsiaTheme="minorHAnsi"/>
        </w:rPr>
        <w:t xml:space="preserve">C for 5 to 7 days until their weights stabilized. </w:t>
      </w:r>
    </w:p>
    <w:p w14:paraId="0CB7C3D8" w14:textId="4541FBC9" w:rsidR="000D1F73" w:rsidRPr="000D1F73" w:rsidRDefault="000D1F73" w:rsidP="000D1F73">
      <w:pPr>
        <w:pStyle w:val="ListParagraph"/>
        <w:numPr>
          <w:ilvl w:val="0"/>
          <w:numId w:val="5"/>
        </w:numPr>
        <w:rPr>
          <w:rFonts w:eastAsiaTheme="minorHAnsi"/>
        </w:rPr>
      </w:pPr>
      <w:r>
        <w:rPr>
          <w:rFonts w:eastAsiaTheme="minorHAnsi"/>
        </w:rPr>
        <w:t xml:space="preserve">After drying, </w:t>
      </w:r>
      <w:r w:rsidR="00C960D0">
        <w:rPr>
          <w:rFonts w:eastAsiaTheme="minorHAnsi"/>
        </w:rPr>
        <w:t>samples</w:t>
      </w:r>
      <w:r w:rsidRPr="001322CE">
        <w:rPr>
          <w:rFonts w:eastAsiaTheme="minorHAnsi"/>
        </w:rPr>
        <w:t xml:space="preserve"> </w:t>
      </w:r>
      <w:r w:rsidR="00C960D0">
        <w:rPr>
          <w:rFonts w:eastAsiaTheme="minorHAnsi"/>
        </w:rPr>
        <w:t>were</w:t>
      </w:r>
      <w:r w:rsidRPr="001322CE">
        <w:rPr>
          <w:rFonts w:eastAsiaTheme="minorHAnsi"/>
        </w:rPr>
        <w:t xml:space="preserve"> cooled down in desiccator</w:t>
      </w:r>
      <w:r>
        <w:rPr>
          <w:rFonts w:eastAsiaTheme="minorHAnsi"/>
        </w:rPr>
        <w:t xml:space="preserve"> to bring them down to room temperature.</w:t>
      </w:r>
    </w:p>
    <w:p w14:paraId="732E862F" w14:textId="4B9A4F7F" w:rsidR="009E3600" w:rsidRDefault="005A090E" w:rsidP="00DF4EF3">
      <w:pPr>
        <w:pStyle w:val="ListParagraph"/>
        <w:numPr>
          <w:ilvl w:val="0"/>
          <w:numId w:val="5"/>
        </w:numPr>
        <w:rPr>
          <w:rFonts w:eastAsiaTheme="minorHAnsi"/>
        </w:rPr>
      </w:pPr>
      <w:r w:rsidRPr="00DF4EF3">
        <w:rPr>
          <w:rFonts w:eastAsiaTheme="minorHAnsi"/>
        </w:rPr>
        <w:t xml:space="preserve">NMR T2 and T1-T2 were measured to calculate the volume </w:t>
      </w:r>
      <w:r w:rsidR="008F1E55">
        <w:rPr>
          <w:rFonts w:eastAsiaTheme="minorHAnsi"/>
        </w:rPr>
        <w:t xml:space="preserve">of bound fluid </w:t>
      </w:r>
      <w:r w:rsidR="009E3600">
        <w:rPr>
          <w:rFonts w:eastAsiaTheme="minorHAnsi"/>
        </w:rPr>
        <w:t xml:space="preserve">left </w:t>
      </w:r>
      <w:r w:rsidRPr="00DF4EF3">
        <w:rPr>
          <w:rFonts w:eastAsiaTheme="minorHAnsi"/>
        </w:rPr>
        <w:t>inside the sample</w:t>
      </w:r>
      <w:r w:rsidR="00C54DB3">
        <w:rPr>
          <w:rFonts w:eastAsiaTheme="minorHAnsi"/>
        </w:rPr>
        <w:t>.</w:t>
      </w:r>
    </w:p>
    <w:p w14:paraId="06CF81CD" w14:textId="2000DB13" w:rsidR="003B1654" w:rsidRDefault="005A090E" w:rsidP="003B1654">
      <w:pPr>
        <w:pStyle w:val="ListParagraph"/>
        <w:numPr>
          <w:ilvl w:val="0"/>
          <w:numId w:val="5"/>
        </w:numPr>
        <w:rPr>
          <w:rFonts w:eastAsiaTheme="minorHAnsi"/>
        </w:rPr>
      </w:pPr>
      <w:r w:rsidRPr="00DF4EF3">
        <w:rPr>
          <w:rFonts w:eastAsiaTheme="minorHAnsi"/>
        </w:rPr>
        <w:t>Samples were then imbibed in crude oil under vacuum for 24 hrs and then under pressure at 5000 psi for 48 hrs to saturate them with oil.</w:t>
      </w:r>
      <w:r w:rsidR="00A333F4">
        <w:rPr>
          <w:rFonts w:eastAsiaTheme="minorHAnsi"/>
        </w:rPr>
        <w:t xml:space="preserve"> </w:t>
      </w:r>
      <w:r w:rsidRPr="003B1654">
        <w:rPr>
          <w:rFonts w:eastAsiaTheme="minorHAnsi"/>
        </w:rPr>
        <w:t>A high-pressure vessel connected to hydraulic hand pump with pressure gauge was used for the pressure saturation process.</w:t>
      </w:r>
      <w:r w:rsidR="00A333F4">
        <w:rPr>
          <w:rFonts w:eastAsiaTheme="minorHAnsi"/>
        </w:rPr>
        <w:t xml:space="preserve"> </w:t>
      </w:r>
      <w:r w:rsidRPr="003B1654">
        <w:rPr>
          <w:rFonts w:eastAsiaTheme="minorHAnsi"/>
        </w:rPr>
        <w:t>Crude oil and samples were kept inside the pressure vessel, and the fluid pressure was applied using dodecane.</w:t>
      </w:r>
      <w:r w:rsidR="00A333F4">
        <w:rPr>
          <w:rFonts w:eastAsiaTheme="minorHAnsi"/>
        </w:rPr>
        <w:t xml:space="preserve"> </w:t>
      </w:r>
      <w:r w:rsidRPr="003B1654">
        <w:rPr>
          <w:rFonts w:eastAsiaTheme="minorHAnsi"/>
        </w:rPr>
        <w:t xml:space="preserve">To avoid contamination, samples with crude oil were separated from dodecane using a sealed piston. </w:t>
      </w:r>
    </w:p>
    <w:p w14:paraId="6AE47CA5" w14:textId="06CE029F" w:rsidR="000C5C07" w:rsidRDefault="005A090E" w:rsidP="005A090E">
      <w:pPr>
        <w:pStyle w:val="ListParagraph"/>
        <w:numPr>
          <w:ilvl w:val="0"/>
          <w:numId w:val="5"/>
        </w:numPr>
        <w:rPr>
          <w:rFonts w:eastAsiaTheme="minorHAnsi"/>
        </w:rPr>
      </w:pPr>
      <w:r w:rsidRPr="003B1654">
        <w:rPr>
          <w:rFonts w:eastAsiaTheme="minorHAnsi"/>
        </w:rPr>
        <w:t xml:space="preserve">NMR T2 and T1-T2 were again measured to calculate the </w:t>
      </w:r>
      <w:r w:rsidR="00D87303">
        <w:rPr>
          <w:rFonts w:eastAsiaTheme="minorHAnsi"/>
        </w:rPr>
        <w:t xml:space="preserve">sample's </w:t>
      </w:r>
      <w:r w:rsidRPr="003B1654">
        <w:rPr>
          <w:rFonts w:eastAsiaTheme="minorHAnsi"/>
        </w:rPr>
        <w:t>total fluid volume</w:t>
      </w:r>
      <w:r w:rsidR="00A73F44">
        <w:rPr>
          <w:rFonts w:eastAsiaTheme="minorHAnsi"/>
        </w:rPr>
        <w:t xml:space="preserve"> </w:t>
      </w:r>
      <w:r w:rsidR="00965CB3">
        <w:rPr>
          <w:rFonts w:eastAsiaTheme="minorHAnsi"/>
        </w:rPr>
        <w:t>(bound fluid plus oil).</w:t>
      </w:r>
    </w:p>
    <w:p w14:paraId="7C10F6C4" w14:textId="707BB4ED" w:rsidR="00F66A9B" w:rsidRDefault="006A2B67" w:rsidP="00811512">
      <w:pPr>
        <w:pStyle w:val="ListParagraph"/>
        <w:numPr>
          <w:ilvl w:val="0"/>
          <w:numId w:val="5"/>
        </w:numPr>
        <w:rPr>
          <w:rFonts w:eastAsiaTheme="minorHAnsi"/>
        </w:rPr>
      </w:pPr>
      <w:r>
        <w:rPr>
          <w:rFonts w:eastAsiaTheme="minorHAnsi"/>
        </w:rPr>
        <w:t>Samples</w:t>
      </w:r>
      <w:r w:rsidR="005A090E" w:rsidRPr="00811512">
        <w:rPr>
          <w:rFonts w:eastAsiaTheme="minorHAnsi"/>
        </w:rPr>
        <w:t xml:space="preserve"> w</w:t>
      </w:r>
      <w:r w:rsidR="00811512">
        <w:rPr>
          <w:rFonts w:eastAsiaTheme="minorHAnsi"/>
        </w:rPr>
        <w:t>ere</w:t>
      </w:r>
      <w:r w:rsidR="005A090E" w:rsidRPr="00811512">
        <w:rPr>
          <w:rFonts w:eastAsiaTheme="minorHAnsi"/>
        </w:rPr>
        <w:t xml:space="preserve"> </w:t>
      </w:r>
      <w:r w:rsidR="006C55B7">
        <w:rPr>
          <w:rFonts w:eastAsiaTheme="minorHAnsi"/>
        </w:rPr>
        <w:t xml:space="preserve">then </w:t>
      </w:r>
      <w:r w:rsidR="005A090E" w:rsidRPr="00811512">
        <w:rPr>
          <w:rFonts w:eastAsiaTheme="minorHAnsi"/>
        </w:rPr>
        <w:t xml:space="preserve">imbibed in </w:t>
      </w:r>
      <w:r w:rsidR="00F66A9B">
        <w:rPr>
          <w:rFonts w:eastAsiaTheme="minorHAnsi"/>
        </w:rPr>
        <w:t xml:space="preserve">produced </w:t>
      </w:r>
      <w:r w:rsidR="005A090E" w:rsidRPr="00811512">
        <w:rPr>
          <w:rFonts w:eastAsiaTheme="minorHAnsi"/>
        </w:rPr>
        <w:t xml:space="preserve">brine at 500 psi and 145 </w:t>
      </w:r>
      <w:r w:rsidR="005A090E" w:rsidRPr="00811512">
        <w:rPr>
          <w:rFonts w:eastAsiaTheme="minorHAnsi"/>
          <w:vertAlign w:val="superscript"/>
        </w:rPr>
        <w:t>o</w:t>
      </w:r>
      <w:r w:rsidR="005A090E" w:rsidRPr="00811512">
        <w:rPr>
          <w:rFonts w:eastAsiaTheme="minorHAnsi"/>
        </w:rPr>
        <w:t>F for 24 hours.</w:t>
      </w:r>
      <w:r w:rsidR="00A333F4">
        <w:rPr>
          <w:rFonts w:eastAsiaTheme="minorHAnsi"/>
        </w:rPr>
        <w:t xml:space="preserve"> </w:t>
      </w:r>
      <w:r w:rsidR="005A090E" w:rsidRPr="00811512">
        <w:rPr>
          <w:rFonts w:eastAsiaTheme="minorHAnsi"/>
        </w:rPr>
        <w:t>A high-pressure vessel connected to a pump (Varian SD-1 Prep Star Solvent Delivery Module) with pressure gauge was used for the imbibition process.</w:t>
      </w:r>
      <w:r w:rsidR="00A333F4">
        <w:rPr>
          <w:rFonts w:eastAsiaTheme="minorHAnsi"/>
        </w:rPr>
        <w:t xml:space="preserve"> </w:t>
      </w:r>
      <w:r w:rsidR="005A090E" w:rsidRPr="00811512">
        <w:rPr>
          <w:rFonts w:eastAsiaTheme="minorHAnsi"/>
        </w:rPr>
        <w:t>Sample was kept inside the pressure vessel with brine, and the fluid pressure was applied by adding more brine, ensuring no airflow.</w:t>
      </w:r>
      <w:r w:rsidR="00A333F4">
        <w:rPr>
          <w:rFonts w:eastAsiaTheme="minorHAnsi"/>
        </w:rPr>
        <w:t xml:space="preserve"> </w:t>
      </w:r>
      <w:r w:rsidR="005A090E" w:rsidRPr="00811512">
        <w:rPr>
          <w:rFonts w:eastAsiaTheme="minorHAnsi"/>
        </w:rPr>
        <w:t>As the pressure reached 500 psi, valve connecting the pump and pressure vessel was closed.</w:t>
      </w:r>
      <w:r w:rsidR="00A333F4">
        <w:rPr>
          <w:rFonts w:eastAsiaTheme="minorHAnsi"/>
        </w:rPr>
        <w:t xml:space="preserve"> </w:t>
      </w:r>
      <w:r w:rsidR="005A090E" w:rsidRPr="00811512">
        <w:rPr>
          <w:rFonts w:eastAsiaTheme="minorHAnsi"/>
        </w:rPr>
        <w:t>Pressure inside the vessel was monitored using the pressure gauge.</w:t>
      </w:r>
      <w:r w:rsidR="00A333F4">
        <w:rPr>
          <w:rFonts w:eastAsiaTheme="minorHAnsi"/>
        </w:rPr>
        <w:t xml:space="preserve"> </w:t>
      </w:r>
      <w:r w:rsidR="005A090E" w:rsidRPr="00811512">
        <w:rPr>
          <w:rFonts w:eastAsiaTheme="minorHAnsi"/>
        </w:rPr>
        <w:t xml:space="preserve">Heating tape connected to a rheostat (Variac Transformer Variable AC Voltage Regulator) was wrapped around the pressure vessel to make brine present inside the vessel reach reservoir temperature. </w:t>
      </w:r>
    </w:p>
    <w:p w14:paraId="10C90421" w14:textId="2068C2E4" w:rsidR="004A2B2B" w:rsidRDefault="005A090E" w:rsidP="004A2B2B">
      <w:pPr>
        <w:pStyle w:val="ListParagraph"/>
        <w:numPr>
          <w:ilvl w:val="0"/>
          <w:numId w:val="5"/>
        </w:numPr>
        <w:rPr>
          <w:rFonts w:eastAsiaTheme="minorHAnsi"/>
        </w:rPr>
      </w:pPr>
      <w:r w:rsidRPr="00811512">
        <w:rPr>
          <w:rFonts w:eastAsiaTheme="minorHAnsi"/>
        </w:rPr>
        <w:lastRenderedPageBreak/>
        <w:t>After 24 hours, sample</w:t>
      </w:r>
      <w:r w:rsidR="000412A7">
        <w:rPr>
          <w:rFonts w:eastAsiaTheme="minorHAnsi"/>
        </w:rPr>
        <w:t>s</w:t>
      </w:r>
      <w:r w:rsidRPr="00811512">
        <w:rPr>
          <w:rFonts w:eastAsiaTheme="minorHAnsi"/>
        </w:rPr>
        <w:t xml:space="preserve"> and </w:t>
      </w:r>
      <w:r w:rsidR="005265DA">
        <w:rPr>
          <w:rFonts w:eastAsiaTheme="minorHAnsi"/>
        </w:rPr>
        <w:t xml:space="preserve">produced </w:t>
      </w:r>
      <w:r w:rsidRPr="00811512">
        <w:rPr>
          <w:rFonts w:eastAsiaTheme="minorHAnsi"/>
        </w:rPr>
        <w:t>brine were removed.</w:t>
      </w:r>
      <w:r w:rsidR="00A333F4">
        <w:rPr>
          <w:rFonts w:eastAsiaTheme="minorHAnsi"/>
        </w:rPr>
        <w:t xml:space="preserve"> </w:t>
      </w:r>
      <w:r w:rsidRPr="00811512">
        <w:rPr>
          <w:rFonts w:eastAsiaTheme="minorHAnsi"/>
        </w:rPr>
        <w:t>Sample</w:t>
      </w:r>
      <w:r w:rsidR="00906BF5">
        <w:rPr>
          <w:rFonts w:eastAsiaTheme="minorHAnsi"/>
        </w:rPr>
        <w:t>s</w:t>
      </w:r>
      <w:r w:rsidRPr="00811512">
        <w:rPr>
          <w:rFonts w:eastAsiaTheme="minorHAnsi"/>
        </w:rPr>
        <w:t xml:space="preserve"> </w:t>
      </w:r>
      <w:r w:rsidR="005265DA">
        <w:rPr>
          <w:rFonts w:eastAsiaTheme="minorHAnsi"/>
        </w:rPr>
        <w:t>were</w:t>
      </w:r>
      <w:r w:rsidR="006E7B47">
        <w:rPr>
          <w:rFonts w:eastAsiaTheme="minorHAnsi"/>
        </w:rPr>
        <w:t xml:space="preserve"> kept</w:t>
      </w:r>
      <w:r w:rsidR="005265DA">
        <w:rPr>
          <w:rFonts w:eastAsiaTheme="minorHAnsi"/>
        </w:rPr>
        <w:t xml:space="preserve"> </w:t>
      </w:r>
      <w:r w:rsidRPr="00811512">
        <w:rPr>
          <w:rFonts w:eastAsiaTheme="minorHAnsi"/>
        </w:rPr>
        <w:t xml:space="preserve">imbibed in </w:t>
      </w:r>
      <w:r w:rsidR="005265DA">
        <w:rPr>
          <w:rFonts w:eastAsiaTheme="minorHAnsi"/>
        </w:rPr>
        <w:t xml:space="preserve">the </w:t>
      </w:r>
      <w:r w:rsidRPr="00811512">
        <w:rPr>
          <w:rFonts w:eastAsiaTheme="minorHAnsi"/>
        </w:rPr>
        <w:t xml:space="preserve">same </w:t>
      </w:r>
      <w:r w:rsidR="00F8543D">
        <w:rPr>
          <w:rFonts w:eastAsiaTheme="minorHAnsi"/>
        </w:rPr>
        <w:t xml:space="preserve">brine </w:t>
      </w:r>
      <w:r w:rsidRPr="00811512">
        <w:rPr>
          <w:rFonts w:eastAsiaTheme="minorHAnsi"/>
        </w:rPr>
        <w:t xml:space="preserve">in an </w:t>
      </w:r>
      <w:r w:rsidR="0081726F">
        <w:rPr>
          <w:rFonts w:eastAsiaTheme="minorHAnsi"/>
        </w:rPr>
        <w:t>open jar</w:t>
      </w:r>
      <w:r w:rsidRPr="00811512">
        <w:rPr>
          <w:rFonts w:eastAsiaTheme="minorHAnsi"/>
        </w:rPr>
        <w:t xml:space="preserve"> to cool the sample</w:t>
      </w:r>
      <w:r w:rsidR="00DA33B7">
        <w:rPr>
          <w:rFonts w:eastAsiaTheme="minorHAnsi"/>
        </w:rPr>
        <w:t>s</w:t>
      </w:r>
      <w:r w:rsidRPr="00811512">
        <w:rPr>
          <w:rFonts w:eastAsiaTheme="minorHAnsi"/>
        </w:rPr>
        <w:t xml:space="preserve"> down to room temperature. </w:t>
      </w:r>
    </w:p>
    <w:p w14:paraId="437CD124" w14:textId="5E42A432" w:rsidR="00295EBC" w:rsidRDefault="005A090E" w:rsidP="004A2B2B">
      <w:pPr>
        <w:pStyle w:val="ListParagraph"/>
        <w:numPr>
          <w:ilvl w:val="0"/>
          <w:numId w:val="5"/>
        </w:numPr>
        <w:rPr>
          <w:rFonts w:eastAsiaTheme="minorHAnsi"/>
        </w:rPr>
      </w:pPr>
      <w:r w:rsidRPr="004A2B2B">
        <w:rPr>
          <w:rFonts w:eastAsiaTheme="minorHAnsi"/>
        </w:rPr>
        <w:t>NMR T2 and T1-T2 were again measured to calculate the volume of oil left inside the sample after imbibition.</w:t>
      </w:r>
      <w:r w:rsidR="00A333F4">
        <w:rPr>
          <w:rFonts w:eastAsiaTheme="minorHAnsi"/>
        </w:rPr>
        <w:t xml:space="preserve"> </w:t>
      </w:r>
      <w:r w:rsidR="003F063B">
        <w:rPr>
          <w:rFonts w:eastAsiaTheme="minorHAnsi"/>
        </w:rPr>
        <w:fldChar w:fldCharType="begin"/>
      </w:r>
      <w:r w:rsidR="003F063B">
        <w:rPr>
          <w:rFonts w:eastAsiaTheme="minorHAnsi"/>
        </w:rPr>
        <w:instrText xml:space="preserve"> REF _Ref118849959 \h </w:instrText>
      </w:r>
      <w:r w:rsidR="003F063B">
        <w:rPr>
          <w:rFonts w:eastAsiaTheme="minorHAnsi"/>
        </w:rPr>
      </w:r>
      <w:r w:rsidR="003F063B">
        <w:rPr>
          <w:rFonts w:eastAsiaTheme="minorHAnsi"/>
        </w:rPr>
        <w:fldChar w:fldCharType="separate"/>
      </w:r>
      <w:r w:rsidR="002F3906">
        <w:t xml:space="preserve">Figure </w:t>
      </w:r>
      <w:r w:rsidR="002F3906">
        <w:rPr>
          <w:noProof/>
        </w:rPr>
        <w:t>8</w:t>
      </w:r>
      <w:r w:rsidR="003F063B">
        <w:rPr>
          <w:rFonts w:eastAsiaTheme="minorHAnsi"/>
        </w:rPr>
        <w:fldChar w:fldCharType="end"/>
      </w:r>
      <w:r w:rsidR="00AC522B">
        <w:rPr>
          <w:rFonts w:eastAsiaTheme="minorHAnsi"/>
        </w:rPr>
        <w:t xml:space="preserve"> shows </w:t>
      </w:r>
      <w:r w:rsidR="00562750">
        <w:rPr>
          <w:rFonts w:eastAsiaTheme="minorHAnsi"/>
          <w:szCs w:val="20"/>
        </w:rPr>
        <w:t>NMR T1-T2 after drying, oil saturation, and after imbibition (post-recovery).</w:t>
      </w:r>
      <w:r w:rsidR="00692474">
        <w:rPr>
          <w:rFonts w:eastAsiaTheme="minorHAnsi"/>
          <w:szCs w:val="20"/>
        </w:rPr>
        <w:t xml:space="preserve"> </w:t>
      </w:r>
      <w:r w:rsidRPr="00692474">
        <w:rPr>
          <w:rFonts w:eastAsiaTheme="minorHAnsi"/>
        </w:rPr>
        <w:t xml:space="preserve">Oil recovery was calculated </w:t>
      </w:r>
      <w:r w:rsidRPr="0047754F">
        <w:rPr>
          <w:rFonts w:eastAsiaTheme="minorHAnsi"/>
        </w:rPr>
        <w:t>using Eq</w:t>
      </w:r>
      <w:r w:rsidR="00C54DB3" w:rsidRPr="0047754F">
        <w:rPr>
          <w:rFonts w:eastAsiaTheme="minorHAnsi"/>
        </w:rPr>
        <w:t>.</w:t>
      </w:r>
      <w:r w:rsidRPr="0047754F">
        <w:rPr>
          <w:rFonts w:eastAsiaTheme="minorHAnsi"/>
        </w:rPr>
        <w:t xml:space="preserve"> </w:t>
      </w:r>
      <w:r w:rsidR="0047754F" w:rsidRPr="0047754F">
        <w:rPr>
          <w:rFonts w:eastAsiaTheme="minorHAnsi"/>
        </w:rPr>
        <w:t>7</w:t>
      </w:r>
    </w:p>
    <w:p w14:paraId="7537E9F9" w14:textId="38417D9D" w:rsidR="00C54DB3" w:rsidRPr="00295EBC" w:rsidRDefault="00295EBC" w:rsidP="00295EBC">
      <w:pPr>
        <w:pStyle w:val="ListParagraph"/>
        <w:spacing w:line="240" w:lineRule="auto"/>
        <w:rPr>
          <w:rFonts w:eastAsiaTheme="minorHAnsi"/>
        </w:rPr>
      </w:pPr>
      <w:r>
        <w:rPr>
          <w:rFonts w:eastAsiaTheme="minorHAnsi"/>
          <w:noProof/>
        </w:rPr>
        <mc:AlternateContent>
          <mc:Choice Requires="wps">
            <w:drawing>
              <wp:anchor distT="0" distB="0" distL="114300" distR="114300" simplePos="0" relativeHeight="251659264" behindDoc="0" locked="0" layoutInCell="1" allowOverlap="1" wp14:anchorId="612F8CB7" wp14:editId="529076C0">
                <wp:simplePos x="0" y="0"/>
                <wp:positionH relativeFrom="column">
                  <wp:posOffset>6038127</wp:posOffset>
                </wp:positionH>
                <wp:positionV relativeFrom="paragraph">
                  <wp:posOffset>229775</wp:posOffset>
                </wp:positionV>
                <wp:extent cx="398353" cy="280657"/>
                <wp:effectExtent l="0" t="0" r="0" b="0"/>
                <wp:wrapNone/>
                <wp:docPr id="66" name="Text Box 66"/>
                <wp:cNvGraphicFramePr/>
                <a:graphic xmlns:a="http://schemas.openxmlformats.org/drawingml/2006/main">
                  <a:graphicData uri="http://schemas.microsoft.com/office/word/2010/wordprocessingShape">
                    <wps:wsp>
                      <wps:cNvSpPr txBox="1"/>
                      <wps:spPr>
                        <a:xfrm>
                          <a:off x="0" y="0"/>
                          <a:ext cx="398353" cy="280657"/>
                        </a:xfrm>
                        <a:prstGeom prst="rect">
                          <a:avLst/>
                        </a:prstGeom>
                        <a:solidFill>
                          <a:schemeClr val="lt1"/>
                        </a:solidFill>
                        <a:ln w="6350">
                          <a:noFill/>
                        </a:ln>
                      </wps:spPr>
                      <wps:txbx>
                        <w:txbxContent>
                          <w:p w14:paraId="6FD0FB12" w14:textId="5565CB4F" w:rsidR="00295EBC" w:rsidRDefault="00295EBC">
                            <w:r>
                              <w:t>(</w:t>
                            </w:r>
                            <w:r w:rsidR="0047754F">
                              <w:t>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2F8CB7" id="_x0000_t202" coordsize="21600,21600" o:spt="202" path="m,l,21600r21600,l21600,xe">
                <v:stroke joinstyle="miter"/>
                <v:path gradientshapeok="t" o:connecttype="rect"/>
              </v:shapetype>
              <v:shape id="Text Box 66" o:spid="_x0000_s1026" type="#_x0000_t202" style="position:absolute;left:0;text-align:left;margin-left:475.45pt;margin-top:18.1pt;width:31.35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nkMLAIAAFMEAAAOAAAAZHJzL2Uyb0RvYy54bWysVEtv2zAMvg/YfxB0X+w8mxpxiixFhgFB&#13;&#10;WyAdelZkKTEgi5qkxM5+/SjZebTbadhFJkXq4+ujZw9NpchRWFeCzmm/l1IiNIei1Luc/nhdfZlS&#13;&#10;4jzTBVOgRU5PwtGH+edPs9pkYgB7UIWwBEG0y2qT0733JksSx/eiYq4HRmg0SrAV86jaXVJYViN6&#13;&#10;pZJBmk6SGmxhLHDhHN4+tkY6j/hSCu6fpXTCE5VTzM3H08ZzG85kPmPZzjKzL3mXBvuHLCpWagx6&#13;&#10;gXpknpGDLf+AqkpuwYH0PQ5VAlKWXMQasJp++qGazZ4ZEWvB5jhzaZP7f7D86bgxL5b45is0OMDQ&#13;&#10;kNq4zOFlqKeRtgpfzJSgHVt4urRNNJ5wvBzeT4fjISUcTYNpOhnfBZTk+thY578JqEgQcmpxKrFZ&#13;&#10;7Lh2vnU9u4RYDlRZrEqlohKYIJbKkiPDGSofU0Twd15Kkzqnk+E4jcAawvMWWWnM5VpSkHyzbbo6&#13;&#10;t1CcsHwLLTOc4asSk1wz51+YRSpgxUhv/4yHVIBBoJMo2YP99bf74I8TQislNVIrp+7ngVlBifqu&#13;&#10;cXb3/dEocDEqo/HdABV7a9neWvShWgJW3sdFMjyKwd+rsygtVG+4BYsQFU1Mc4ydU38Wl74lPG4R&#13;&#10;F4tFdEL2GebXemN4gA6dDiN4bd6YNd2cPA74Cc4kZNmHcbW+4aWGxcGDLOMsQ4PbrnZ9R+ZGNnRb&#13;&#10;FlbjVo9e13/B/DcAAAD//wMAUEsDBBQABgAIAAAAIQCYVosO5AAAAA8BAAAPAAAAZHJzL2Rvd25y&#13;&#10;ZXYueG1sTE/JTsMwEL0j9R+sQeKCqN2GhjbNpEJslXqjYRE3N54mEbEdxW4S/h73BJeRnuat6WbU&#13;&#10;Deupc7U1CLOpAEamsKo2JcJb/nyzBOa8NEo21hDCDznYZJOLVCbKDuaV+r0vWTAxLpEIlfdtwrkr&#13;&#10;KtLSTW1LJvyOttPSB9iVXHVyCOa64XMhYq5lbUJCJVt6qKj43p80wtd1+blz48v7EC2i9mnb53cf&#13;&#10;Kke8uhwf1+Hcr4F5Gv2fAs4bQn/IQrGDPRnlWIOwWohVoCJE8RzYmSBmUQzsgLAUt8CzlP/fkf0C&#13;&#10;AAD//wMAUEsBAi0AFAAGAAgAAAAhALaDOJL+AAAA4QEAABMAAAAAAAAAAAAAAAAAAAAAAFtDb250&#13;&#10;ZW50X1R5cGVzXS54bWxQSwECLQAUAAYACAAAACEAOP0h/9YAAACUAQAACwAAAAAAAAAAAAAAAAAv&#13;&#10;AQAAX3JlbHMvLnJlbHNQSwECLQAUAAYACAAAACEA4h55DCwCAABTBAAADgAAAAAAAAAAAAAAAAAu&#13;&#10;AgAAZHJzL2Uyb0RvYy54bWxQSwECLQAUAAYACAAAACEAmFaLDuQAAAAPAQAADwAAAAAAAAAAAAAA&#13;&#10;AACGBAAAZHJzL2Rvd25yZXYueG1sUEsFBgAAAAAEAAQA8wAAAJcFAAAAAA==&#13;&#10;" fillcolor="white [3201]" stroked="f" strokeweight=".5pt">
                <v:textbox>
                  <w:txbxContent>
                    <w:p w14:paraId="6FD0FB12" w14:textId="5565CB4F" w:rsidR="00295EBC" w:rsidRDefault="00295EBC">
                      <w:r>
                        <w:t>(</w:t>
                      </w:r>
                      <w:r w:rsidR="0047754F">
                        <w:t>7</w:t>
                      </w:r>
                      <w:r>
                        <w:t>)</w:t>
                      </w:r>
                    </w:p>
                  </w:txbxContent>
                </v:textbox>
              </v:shape>
            </w:pict>
          </mc:Fallback>
        </mc:AlternateContent>
      </w:r>
    </w:p>
    <w:p w14:paraId="4A69AFA9" w14:textId="26703B81" w:rsidR="00C54DB3" w:rsidRPr="00295EBC" w:rsidRDefault="00C54DB3" w:rsidP="00295EBC">
      <w:pPr>
        <w:spacing w:line="240" w:lineRule="auto"/>
        <w:rPr>
          <w:rFonts w:eastAsiaTheme="minorHAnsi"/>
        </w:rPr>
      </w:pPr>
      <m:oMathPara>
        <m:oMath>
          <m:r>
            <w:rPr>
              <w:rFonts w:ascii="Cambria Math" w:eastAsiaTheme="minorHAnsi" w:hAnsi="Cambria Math"/>
            </w:rPr>
            <m:t>Oil</m:t>
          </m:r>
          <m:r>
            <m:rPr>
              <m:sty m:val="p"/>
            </m:rPr>
            <w:rPr>
              <w:rFonts w:ascii="Cambria Math" w:eastAsiaTheme="minorHAnsi" w:hAnsi="Cambria Math"/>
            </w:rPr>
            <m:t xml:space="preserve"> </m:t>
          </m:r>
          <m:r>
            <w:rPr>
              <w:rFonts w:ascii="Cambria Math" w:eastAsiaTheme="minorHAnsi" w:hAnsi="Cambria Math"/>
            </w:rPr>
            <m:t>Recovery</m:t>
          </m:r>
          <m:r>
            <m:rPr>
              <m:sty m:val="p"/>
            </m:rPr>
            <w:rPr>
              <w:rFonts w:ascii="Cambria Math" w:eastAsiaTheme="minorHAnsi" w:hAnsi="Cambria Math"/>
            </w:rPr>
            <m:t xml:space="preserve"> </m:t>
          </m:r>
          <m:d>
            <m:dPr>
              <m:ctrlPr>
                <w:rPr>
                  <w:rFonts w:ascii="Cambria Math" w:eastAsiaTheme="minorHAnsi" w:hAnsi="Cambria Math"/>
                </w:rPr>
              </m:ctrlPr>
            </m:dPr>
            <m:e>
              <m:r>
                <m:rPr>
                  <m:sty m:val="p"/>
                </m:rPr>
                <w:rPr>
                  <w:rFonts w:ascii="Cambria Math" w:eastAsiaTheme="minorHAnsi" w:hAnsi="Cambria Math"/>
                </w:rPr>
                <m:t>%</m:t>
              </m:r>
            </m:e>
          </m:d>
          <m:r>
            <m:rPr>
              <m:sty m:val="p"/>
            </m:rPr>
            <w:rPr>
              <w:rFonts w:ascii="Cambria Math" w:eastAsiaTheme="minorHAnsi" w:hAnsi="Cambria Math"/>
            </w:rPr>
            <m:t xml:space="preserve">= </m:t>
          </m:r>
          <m:f>
            <m:fPr>
              <m:ctrlPr>
                <w:rPr>
                  <w:rFonts w:ascii="Cambria Math" w:eastAsiaTheme="minorHAnsi" w:hAnsi="Cambria Math"/>
                </w:rPr>
              </m:ctrlPr>
            </m:fPr>
            <m:num>
              <m:r>
                <w:rPr>
                  <w:rFonts w:ascii="Cambria Math" w:eastAsiaTheme="minorHAnsi" w:hAnsi="Cambria Math"/>
                </w:rPr>
                <m:t>Initial</m:t>
              </m:r>
              <m:r>
                <m:rPr>
                  <m:sty m:val="p"/>
                </m:rPr>
                <w:rPr>
                  <w:rFonts w:ascii="Cambria Math" w:eastAsiaTheme="minorHAnsi" w:hAnsi="Cambria Math"/>
                </w:rPr>
                <m:t xml:space="preserve"> </m:t>
              </m:r>
              <m:r>
                <w:rPr>
                  <w:rFonts w:ascii="Cambria Math" w:eastAsiaTheme="minorHAnsi" w:hAnsi="Cambria Math"/>
                </w:rPr>
                <m:t>Volume</m:t>
              </m:r>
              <m:r>
                <m:rPr>
                  <m:sty m:val="p"/>
                </m:rPr>
                <w:rPr>
                  <w:rFonts w:ascii="Cambria Math" w:eastAsiaTheme="minorHAnsi" w:hAnsi="Cambria Math"/>
                </w:rPr>
                <m:t xml:space="preserve"> </m:t>
              </m:r>
              <m:r>
                <w:rPr>
                  <w:rFonts w:ascii="Cambria Math" w:eastAsiaTheme="minorHAnsi" w:hAnsi="Cambria Math"/>
                </w:rPr>
                <m:t>of</m:t>
              </m:r>
              <m:r>
                <m:rPr>
                  <m:sty m:val="p"/>
                </m:rPr>
                <w:rPr>
                  <w:rFonts w:ascii="Cambria Math" w:eastAsiaTheme="minorHAnsi" w:hAnsi="Cambria Math"/>
                </w:rPr>
                <m:t xml:space="preserve"> </m:t>
              </m:r>
              <m:r>
                <w:rPr>
                  <w:rFonts w:ascii="Cambria Math" w:eastAsiaTheme="minorHAnsi" w:hAnsi="Cambria Math"/>
                </w:rPr>
                <m:t>Oil</m:t>
              </m:r>
              <m:r>
                <m:rPr>
                  <m:sty m:val="p"/>
                </m:rPr>
                <w:rPr>
                  <w:rFonts w:ascii="Cambria Math" w:eastAsiaTheme="minorHAnsi" w:hAnsi="Cambria Math"/>
                </w:rPr>
                <m:t xml:space="preserve"> </m:t>
              </m:r>
              <m:d>
                <m:dPr>
                  <m:ctrlPr>
                    <w:rPr>
                      <w:rFonts w:ascii="Cambria Math" w:eastAsiaTheme="minorHAnsi" w:hAnsi="Cambria Math"/>
                    </w:rPr>
                  </m:ctrlPr>
                </m:dPr>
                <m:e>
                  <m:r>
                    <w:rPr>
                      <w:rFonts w:ascii="Cambria Math" w:eastAsiaTheme="minorHAnsi" w:hAnsi="Cambria Math"/>
                    </w:rPr>
                    <m:t>ml</m:t>
                  </m:r>
                </m:e>
              </m:d>
              <m:r>
                <m:rPr>
                  <m:sty m:val="p"/>
                </m:rPr>
                <w:rPr>
                  <w:rFonts w:ascii="Cambria Math" w:eastAsiaTheme="minorHAnsi" w:hAnsi="Cambria Math"/>
                </w:rPr>
                <m:t>-</m:t>
              </m:r>
              <m:r>
                <w:rPr>
                  <w:rFonts w:ascii="Cambria Math" w:eastAsiaTheme="minorHAnsi" w:hAnsi="Cambria Math"/>
                </w:rPr>
                <m:t>Final</m:t>
              </m:r>
              <m:r>
                <m:rPr>
                  <m:sty m:val="p"/>
                </m:rPr>
                <w:rPr>
                  <w:rFonts w:ascii="Cambria Math" w:eastAsiaTheme="minorHAnsi" w:hAnsi="Cambria Math"/>
                </w:rPr>
                <m:t xml:space="preserve"> </m:t>
              </m:r>
              <m:r>
                <w:rPr>
                  <w:rFonts w:ascii="Cambria Math" w:eastAsiaTheme="minorHAnsi" w:hAnsi="Cambria Math"/>
                </w:rPr>
                <m:t>Volume</m:t>
              </m:r>
              <m:r>
                <m:rPr>
                  <m:sty m:val="p"/>
                </m:rPr>
                <w:rPr>
                  <w:rFonts w:ascii="Cambria Math" w:eastAsiaTheme="minorHAnsi" w:hAnsi="Cambria Math"/>
                </w:rPr>
                <m:t xml:space="preserve"> </m:t>
              </m:r>
              <m:r>
                <w:rPr>
                  <w:rFonts w:ascii="Cambria Math" w:eastAsiaTheme="minorHAnsi" w:hAnsi="Cambria Math"/>
                </w:rPr>
                <m:t>of</m:t>
              </m:r>
              <m:r>
                <m:rPr>
                  <m:sty m:val="p"/>
                </m:rPr>
                <w:rPr>
                  <w:rFonts w:ascii="Cambria Math" w:eastAsiaTheme="minorHAnsi" w:hAnsi="Cambria Math"/>
                </w:rPr>
                <m:t xml:space="preserve"> </m:t>
              </m:r>
              <m:r>
                <w:rPr>
                  <w:rFonts w:ascii="Cambria Math" w:eastAsiaTheme="minorHAnsi" w:hAnsi="Cambria Math"/>
                </w:rPr>
                <m:t>Oil</m:t>
              </m:r>
              <m:r>
                <m:rPr>
                  <m:sty m:val="p"/>
                </m:rPr>
                <w:rPr>
                  <w:rFonts w:ascii="Cambria Math" w:eastAsiaTheme="minorHAnsi" w:hAnsi="Cambria Math"/>
                </w:rPr>
                <m:t xml:space="preserve"> </m:t>
              </m:r>
              <m:d>
                <m:dPr>
                  <m:ctrlPr>
                    <w:rPr>
                      <w:rFonts w:ascii="Cambria Math" w:eastAsiaTheme="minorHAnsi" w:hAnsi="Cambria Math"/>
                    </w:rPr>
                  </m:ctrlPr>
                </m:dPr>
                <m:e>
                  <m:r>
                    <w:rPr>
                      <w:rFonts w:ascii="Cambria Math" w:eastAsiaTheme="minorHAnsi" w:hAnsi="Cambria Math"/>
                    </w:rPr>
                    <m:t>ml</m:t>
                  </m:r>
                </m:e>
              </m:d>
            </m:num>
            <m:den>
              <m:r>
                <w:rPr>
                  <w:rFonts w:ascii="Cambria Math" w:eastAsiaTheme="minorHAnsi" w:hAnsi="Cambria Math"/>
                </w:rPr>
                <m:t>Initial</m:t>
              </m:r>
              <m:r>
                <m:rPr>
                  <m:sty m:val="p"/>
                </m:rPr>
                <w:rPr>
                  <w:rFonts w:ascii="Cambria Math" w:eastAsiaTheme="minorHAnsi" w:hAnsi="Cambria Math"/>
                </w:rPr>
                <m:t xml:space="preserve"> </m:t>
              </m:r>
              <m:r>
                <w:rPr>
                  <w:rFonts w:ascii="Cambria Math" w:eastAsiaTheme="minorHAnsi" w:hAnsi="Cambria Math"/>
                </w:rPr>
                <m:t>Volume</m:t>
              </m:r>
              <m:r>
                <m:rPr>
                  <m:sty m:val="p"/>
                </m:rPr>
                <w:rPr>
                  <w:rFonts w:ascii="Cambria Math" w:eastAsiaTheme="minorHAnsi" w:hAnsi="Cambria Math"/>
                </w:rPr>
                <m:t xml:space="preserve"> </m:t>
              </m:r>
              <m:r>
                <w:rPr>
                  <w:rFonts w:ascii="Cambria Math" w:eastAsiaTheme="minorHAnsi" w:hAnsi="Cambria Math"/>
                </w:rPr>
                <m:t>of</m:t>
              </m:r>
              <m:r>
                <m:rPr>
                  <m:sty m:val="p"/>
                </m:rPr>
                <w:rPr>
                  <w:rFonts w:ascii="Cambria Math" w:eastAsiaTheme="minorHAnsi" w:hAnsi="Cambria Math"/>
                </w:rPr>
                <m:t xml:space="preserve"> </m:t>
              </m:r>
              <m:r>
                <w:rPr>
                  <w:rFonts w:ascii="Cambria Math" w:eastAsiaTheme="minorHAnsi" w:hAnsi="Cambria Math"/>
                </w:rPr>
                <m:t>Oil</m:t>
              </m:r>
              <m:r>
                <m:rPr>
                  <m:sty m:val="p"/>
                </m:rPr>
                <w:rPr>
                  <w:rFonts w:ascii="Cambria Math" w:eastAsiaTheme="minorHAnsi" w:hAnsi="Cambria Math"/>
                </w:rPr>
                <m:t xml:space="preserve"> </m:t>
              </m:r>
              <m:d>
                <m:dPr>
                  <m:ctrlPr>
                    <w:rPr>
                      <w:rFonts w:ascii="Cambria Math" w:eastAsiaTheme="minorHAnsi" w:hAnsi="Cambria Math"/>
                    </w:rPr>
                  </m:ctrlPr>
                </m:dPr>
                <m:e>
                  <m:r>
                    <w:rPr>
                      <w:rFonts w:ascii="Cambria Math" w:eastAsiaTheme="minorHAnsi" w:hAnsi="Cambria Math"/>
                    </w:rPr>
                    <m:t>ml</m:t>
                  </m:r>
                </m:e>
              </m:d>
            </m:den>
          </m:f>
          <m:r>
            <m:rPr>
              <m:sty m:val="p"/>
            </m:rPr>
            <w:rPr>
              <w:rFonts w:ascii="Cambria Math" w:eastAsiaTheme="minorHAnsi" w:hAnsi="Cambria Math"/>
            </w:rPr>
            <m:t>* 100</m:t>
          </m:r>
          <m:r>
            <m:rPr>
              <m:sty m:val="p"/>
            </m:rPr>
            <w:rPr>
              <w:rFonts w:ascii="Cambria Math" w:hAnsi="Cambria Math"/>
            </w:rPr>
            <w:br/>
          </m:r>
        </m:oMath>
      </m:oMathPara>
    </w:p>
    <w:p w14:paraId="3AA78D25" w14:textId="77777777" w:rsidR="00295EBC" w:rsidRPr="00C54DB3" w:rsidRDefault="00295EBC" w:rsidP="00295EBC">
      <w:pPr>
        <w:spacing w:line="240" w:lineRule="auto"/>
        <w:rPr>
          <w:rFonts w:eastAsiaTheme="minorHAnsi"/>
        </w:rPr>
      </w:pPr>
    </w:p>
    <w:p w14:paraId="4ADA207F" w14:textId="7904DB9B" w:rsidR="005A090E" w:rsidRPr="00C54DB3" w:rsidRDefault="005A090E" w:rsidP="00A97FD2">
      <w:pPr>
        <w:rPr>
          <w:rFonts w:eastAsiaTheme="minorHAnsi"/>
          <w:highlight w:val="yellow"/>
        </w:rPr>
      </w:pPr>
      <w:r>
        <w:rPr>
          <w:rFonts w:eastAsiaTheme="minorEastAsia"/>
        </w:rPr>
        <w:t>w</w:t>
      </w:r>
      <w:r w:rsidRPr="00FA28FC">
        <w:rPr>
          <w:rFonts w:eastAsiaTheme="minorEastAsia"/>
        </w:rPr>
        <w:t>here</w:t>
      </w:r>
      <w:r>
        <w:rPr>
          <w:rFonts w:eastAsiaTheme="minorEastAsia"/>
        </w:rPr>
        <w:t xml:space="preserve"> Initial Volume of Oil (ml) = Total Volume of Fluid inside Sample after Oil Saturation (ml) – Volume of Bound Fluid inside Sample after Drying (ml)</w:t>
      </w:r>
    </w:p>
    <w:p w14:paraId="2CFF42CA" w14:textId="10419990" w:rsidR="00C54DB3" w:rsidRPr="006F672A" w:rsidRDefault="00C54DB3" w:rsidP="006F672A">
      <w:pPr>
        <w:ind w:firstLine="720"/>
        <w:rPr>
          <w:rFonts w:eastAsiaTheme="minorEastAsia"/>
        </w:rPr>
      </w:pPr>
      <w:r>
        <w:rPr>
          <w:rFonts w:eastAsiaTheme="minorHAnsi"/>
        </w:rPr>
        <w:t>This procedure was repeated, and oil recovery was calculated using surfactant 1.</w:t>
      </w:r>
      <w:r w:rsidR="00A333F4">
        <w:rPr>
          <w:rFonts w:eastAsiaTheme="minorHAnsi"/>
        </w:rPr>
        <w:t xml:space="preserve"> </w:t>
      </w:r>
      <w:r>
        <w:rPr>
          <w:rFonts w:eastAsiaTheme="minorHAnsi"/>
        </w:rPr>
        <w:t xml:space="preserve">Before going to surfactant 2, using the same procedure, oil recovery was again calculated using </w:t>
      </w:r>
      <w:r w:rsidR="00A333A5">
        <w:rPr>
          <w:rFonts w:eastAsiaTheme="minorHAnsi"/>
        </w:rPr>
        <w:t xml:space="preserve">produced </w:t>
      </w:r>
      <w:r>
        <w:rPr>
          <w:rFonts w:eastAsiaTheme="minorHAnsi"/>
        </w:rPr>
        <w:t xml:space="preserve">brine to </w:t>
      </w:r>
      <w:r w:rsidR="00AA5186">
        <w:rPr>
          <w:rFonts w:eastAsiaTheme="minorHAnsi"/>
        </w:rPr>
        <w:t>see</w:t>
      </w:r>
      <w:r>
        <w:rPr>
          <w:rFonts w:eastAsiaTheme="minorHAnsi"/>
        </w:rPr>
        <w:t xml:space="preserve"> that the sample reached the same </w:t>
      </w:r>
      <w:r w:rsidR="002111C1">
        <w:rPr>
          <w:rFonts w:eastAsiaTheme="minorHAnsi"/>
        </w:rPr>
        <w:t xml:space="preserve">baseline </w:t>
      </w:r>
      <w:r w:rsidR="000C27F0">
        <w:rPr>
          <w:rFonts w:eastAsiaTheme="minorHAnsi"/>
        </w:rPr>
        <w:t>and there was</w:t>
      </w:r>
      <w:r>
        <w:rPr>
          <w:rFonts w:eastAsiaTheme="minorHAnsi"/>
        </w:rPr>
        <w:t xml:space="preserve"> no alteration in </w:t>
      </w:r>
      <w:r w:rsidR="00F50178">
        <w:rPr>
          <w:rFonts w:eastAsiaTheme="minorHAnsi"/>
        </w:rPr>
        <w:t>samples</w:t>
      </w:r>
      <w:r>
        <w:rPr>
          <w:rFonts w:eastAsiaTheme="minorHAnsi"/>
        </w:rPr>
        <w:t xml:space="preserve"> from surfactant 1 imbibition.</w:t>
      </w:r>
      <w:r w:rsidR="00A333F4">
        <w:rPr>
          <w:rFonts w:eastAsiaTheme="minorHAnsi"/>
        </w:rPr>
        <w:t xml:space="preserve"> </w:t>
      </w:r>
      <w:r w:rsidR="00EE3D4B" w:rsidRPr="004F38B7">
        <w:rPr>
          <w:rFonts w:eastAsiaTheme="minorHAnsi"/>
        </w:rPr>
        <w:t>Series of</w:t>
      </w:r>
      <w:r w:rsidR="00EE3D4B">
        <w:rPr>
          <w:rFonts w:eastAsiaTheme="minorHAnsi"/>
        </w:rPr>
        <w:t xml:space="preserve"> imbibition</w:t>
      </w:r>
      <w:r w:rsidR="00EE3D4B" w:rsidRPr="004F38B7">
        <w:rPr>
          <w:rFonts w:eastAsiaTheme="minorHAnsi"/>
        </w:rPr>
        <w:t xml:space="preserve"> test</w:t>
      </w:r>
      <w:r w:rsidR="00EE3D4B">
        <w:rPr>
          <w:rFonts w:eastAsiaTheme="minorHAnsi"/>
        </w:rPr>
        <w:t xml:space="preserve">s repeated on </w:t>
      </w:r>
      <w:r w:rsidR="00D87303">
        <w:rPr>
          <w:rFonts w:eastAsiaTheme="minorHAnsi"/>
        </w:rPr>
        <w:t xml:space="preserve">the </w:t>
      </w:r>
      <w:r w:rsidR="00C67CB8">
        <w:rPr>
          <w:rFonts w:eastAsiaTheme="minorHAnsi"/>
        </w:rPr>
        <w:t xml:space="preserve">same </w:t>
      </w:r>
      <w:r w:rsidR="00EE3D4B">
        <w:rPr>
          <w:rFonts w:eastAsiaTheme="minorHAnsi"/>
        </w:rPr>
        <w:t xml:space="preserve">three samples in order of testing using produced brine and three surfactants are shown in </w:t>
      </w:r>
      <w:r w:rsidR="00BE4542" w:rsidRPr="00BE4542">
        <w:rPr>
          <w:rFonts w:eastAsiaTheme="minorHAnsi"/>
        </w:rPr>
        <w:fldChar w:fldCharType="begin"/>
      </w:r>
      <w:r w:rsidR="00BE4542" w:rsidRPr="00BE4542">
        <w:rPr>
          <w:rFonts w:eastAsiaTheme="minorHAnsi"/>
        </w:rPr>
        <w:instrText xml:space="preserve"> REF _Ref118592075 \h  \* MERGEFORMAT </w:instrText>
      </w:r>
      <w:r w:rsidR="00BE4542" w:rsidRPr="00BE4542">
        <w:rPr>
          <w:rFonts w:eastAsiaTheme="minorHAnsi"/>
        </w:rPr>
      </w:r>
      <w:r w:rsidR="00BE4542" w:rsidRPr="00BE4542">
        <w:rPr>
          <w:rFonts w:eastAsiaTheme="minorHAnsi"/>
        </w:rPr>
        <w:fldChar w:fldCharType="separate"/>
      </w:r>
      <w:r w:rsidR="002F3906" w:rsidRPr="00DF2BBA">
        <w:t xml:space="preserve">Table </w:t>
      </w:r>
      <w:r w:rsidR="002F3906">
        <w:rPr>
          <w:noProof/>
        </w:rPr>
        <w:t>1</w:t>
      </w:r>
      <w:r w:rsidR="00BE4542" w:rsidRPr="00BE4542">
        <w:rPr>
          <w:rFonts w:eastAsiaTheme="minorHAnsi"/>
        </w:rPr>
        <w:fldChar w:fldCharType="end"/>
      </w:r>
      <w:r w:rsidR="00EE3D4B" w:rsidRPr="00BE4542">
        <w:rPr>
          <w:rFonts w:eastAsiaTheme="minorHAnsi"/>
        </w:rPr>
        <w:t>.</w:t>
      </w:r>
      <w:r w:rsidR="00BB47BC">
        <w:rPr>
          <w:rFonts w:eastAsiaTheme="minorEastAsia"/>
        </w:rPr>
        <w:t xml:space="preserve"> </w:t>
      </w:r>
      <w:r w:rsidR="00F50178">
        <w:rPr>
          <w:rFonts w:eastAsiaTheme="minorHAnsi"/>
        </w:rPr>
        <w:t xml:space="preserve">Also, </w:t>
      </w:r>
      <w:r>
        <w:rPr>
          <w:rFonts w:eastAsiaTheme="minorHAnsi"/>
        </w:rPr>
        <w:t xml:space="preserve">NMR T2 </w:t>
      </w:r>
      <w:r w:rsidR="003B0C4E">
        <w:rPr>
          <w:rFonts w:eastAsiaTheme="minorHAnsi"/>
        </w:rPr>
        <w:t xml:space="preserve">was </w:t>
      </w:r>
      <w:r>
        <w:rPr>
          <w:rFonts w:eastAsiaTheme="minorHAnsi"/>
        </w:rPr>
        <w:t xml:space="preserve">measured after each oil saturation to ensure that the </w:t>
      </w:r>
      <w:r w:rsidRPr="004F38B7">
        <w:rPr>
          <w:rFonts w:eastAsiaTheme="minorHAnsi"/>
        </w:rPr>
        <w:t>sample</w:t>
      </w:r>
      <w:r w:rsidR="00560218">
        <w:rPr>
          <w:rFonts w:eastAsiaTheme="minorHAnsi"/>
        </w:rPr>
        <w:t>s</w:t>
      </w:r>
      <w:r w:rsidRPr="004F38B7">
        <w:rPr>
          <w:rFonts w:eastAsiaTheme="minorHAnsi"/>
        </w:rPr>
        <w:t xml:space="preserve"> reached </w:t>
      </w:r>
      <w:r>
        <w:rPr>
          <w:rFonts w:eastAsiaTheme="minorHAnsi"/>
        </w:rPr>
        <w:t>similar</w:t>
      </w:r>
      <w:r w:rsidRPr="004F38B7">
        <w:rPr>
          <w:rFonts w:eastAsiaTheme="minorHAnsi"/>
        </w:rPr>
        <w:t xml:space="preserve"> oil saturation before each recovery measurement</w:t>
      </w:r>
      <w:r w:rsidR="00D87303">
        <w:rPr>
          <w:rFonts w:eastAsiaTheme="minorHAnsi"/>
        </w:rPr>
        <w:t>,</w:t>
      </w:r>
      <w:r w:rsidR="006F672A">
        <w:rPr>
          <w:rFonts w:eastAsiaTheme="minorHAnsi"/>
        </w:rPr>
        <w:t xml:space="preserve"> as shown in </w:t>
      </w:r>
      <w:r w:rsidR="005E75E8">
        <w:rPr>
          <w:rFonts w:eastAsiaTheme="minorHAnsi"/>
        </w:rPr>
        <w:fldChar w:fldCharType="begin"/>
      </w:r>
      <w:r w:rsidR="005E75E8">
        <w:rPr>
          <w:rFonts w:eastAsiaTheme="minorHAnsi"/>
        </w:rPr>
        <w:instrText xml:space="preserve"> REF _Ref118850699 \h </w:instrText>
      </w:r>
      <w:r w:rsidR="005E75E8">
        <w:rPr>
          <w:rFonts w:eastAsiaTheme="minorHAnsi"/>
        </w:rPr>
      </w:r>
      <w:r w:rsidR="005E75E8">
        <w:rPr>
          <w:rFonts w:eastAsiaTheme="minorHAnsi"/>
        </w:rPr>
        <w:fldChar w:fldCharType="separate"/>
      </w:r>
      <w:r w:rsidR="002F3906" w:rsidRPr="00160A60">
        <w:t xml:space="preserve">Figure </w:t>
      </w:r>
      <w:r w:rsidR="002F3906">
        <w:rPr>
          <w:noProof/>
        </w:rPr>
        <w:t>9</w:t>
      </w:r>
      <w:r w:rsidR="005E75E8">
        <w:rPr>
          <w:rFonts w:eastAsiaTheme="minorHAnsi"/>
        </w:rPr>
        <w:fldChar w:fldCharType="end"/>
      </w:r>
      <w:r w:rsidR="006F672A">
        <w:rPr>
          <w:rFonts w:eastAsiaTheme="minorHAnsi"/>
        </w:rPr>
        <w:t>.</w:t>
      </w:r>
    </w:p>
    <w:p w14:paraId="07A2BC2C" w14:textId="30AB872C" w:rsidR="00D232A1" w:rsidRDefault="00774E0F" w:rsidP="00D232A1">
      <w:pPr>
        <w:keepNext/>
        <w:jc w:val="center"/>
      </w:pPr>
      <w:r>
        <w:rPr>
          <w:noProof/>
        </w:rPr>
        <w:lastRenderedPageBreak/>
        <w:drawing>
          <wp:inline distT="0" distB="0" distL="0" distR="0" wp14:anchorId="3F6D71F6" wp14:editId="00B61F76">
            <wp:extent cx="5943600" cy="2703830"/>
            <wp:effectExtent l="0" t="0" r="0" b="127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703830"/>
                    </a:xfrm>
                    <a:prstGeom prst="rect">
                      <a:avLst/>
                    </a:prstGeom>
                  </pic:spPr>
                </pic:pic>
              </a:graphicData>
            </a:graphic>
          </wp:inline>
        </w:drawing>
      </w:r>
    </w:p>
    <w:p w14:paraId="190241ED" w14:textId="4D89074C" w:rsidR="00C558F1" w:rsidRPr="00DF2BBA" w:rsidRDefault="00D232A1" w:rsidP="00C558F1">
      <w:pPr>
        <w:pStyle w:val="NoSpacing"/>
        <w:rPr>
          <w:bCs/>
        </w:rPr>
      </w:pPr>
      <w:bookmarkStart w:id="83" w:name="_Ref118569258"/>
      <w:bookmarkStart w:id="84" w:name="_Toc121470280"/>
      <w:r w:rsidRPr="00DF2BBA">
        <w:rPr>
          <w:bCs/>
        </w:rPr>
        <w:t xml:space="preserve">Figure </w:t>
      </w:r>
      <w:r w:rsidRPr="00DF2BBA">
        <w:rPr>
          <w:bCs/>
        </w:rPr>
        <w:fldChar w:fldCharType="begin"/>
      </w:r>
      <w:r w:rsidRPr="00DF2BBA">
        <w:rPr>
          <w:bCs/>
        </w:rPr>
        <w:instrText xml:space="preserve"> SEQ Figure \* ARABIC </w:instrText>
      </w:r>
      <w:r w:rsidRPr="00DF2BBA">
        <w:rPr>
          <w:bCs/>
        </w:rPr>
        <w:fldChar w:fldCharType="separate"/>
      </w:r>
      <w:r w:rsidR="002F3906">
        <w:rPr>
          <w:bCs/>
          <w:noProof/>
        </w:rPr>
        <w:t>6</w:t>
      </w:r>
      <w:r w:rsidRPr="00DF2BBA">
        <w:rPr>
          <w:bCs/>
        </w:rPr>
        <w:fldChar w:fldCharType="end"/>
      </w:r>
      <w:bookmarkEnd w:id="83"/>
      <w:r w:rsidR="00B72A9B" w:rsidRPr="00DF2BBA">
        <w:rPr>
          <w:bCs/>
        </w:rPr>
        <w:t xml:space="preserve"> - Experimental setup </w:t>
      </w:r>
      <w:r w:rsidR="00DC6B61">
        <w:rPr>
          <w:bCs/>
        </w:rPr>
        <w:t>used in this study to imbibe plug samples in</w:t>
      </w:r>
      <w:r w:rsidR="00B72A9B" w:rsidRPr="00DF2BBA">
        <w:rPr>
          <w:bCs/>
        </w:rPr>
        <w:t xml:space="preserve"> produced brine and surfactant </w:t>
      </w:r>
      <w:r w:rsidR="00DC6B61">
        <w:rPr>
          <w:bCs/>
        </w:rPr>
        <w:t>solutions</w:t>
      </w:r>
      <w:r w:rsidR="00B72A9B" w:rsidRPr="00DF2BBA">
        <w:rPr>
          <w:bCs/>
        </w:rPr>
        <w:t>.</w:t>
      </w:r>
      <w:bookmarkEnd w:id="84"/>
    </w:p>
    <w:p w14:paraId="72502B1C" w14:textId="77777777" w:rsidR="00C558F1" w:rsidRPr="00C558F1" w:rsidRDefault="00C558F1" w:rsidP="00C558F1"/>
    <w:p w14:paraId="08EA5C65" w14:textId="2CE15C92" w:rsidR="00B72A9B" w:rsidRDefault="00B92BB4" w:rsidP="00B72A9B">
      <w:pPr>
        <w:keepNext/>
        <w:jc w:val="center"/>
      </w:pPr>
      <w:r>
        <w:rPr>
          <w:noProof/>
        </w:rPr>
        <w:drawing>
          <wp:inline distT="0" distB="0" distL="0" distR="0" wp14:anchorId="5CA91318" wp14:editId="7C9B1076">
            <wp:extent cx="5943600" cy="273240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732405"/>
                    </a:xfrm>
                    <a:prstGeom prst="rect">
                      <a:avLst/>
                    </a:prstGeom>
                  </pic:spPr>
                </pic:pic>
              </a:graphicData>
            </a:graphic>
          </wp:inline>
        </w:drawing>
      </w:r>
    </w:p>
    <w:p w14:paraId="5A166D78" w14:textId="3BB37E0B" w:rsidR="004065E9" w:rsidRPr="00DF2BBA" w:rsidRDefault="00B72A9B" w:rsidP="00C558F1">
      <w:pPr>
        <w:pStyle w:val="NoSpacing"/>
        <w:rPr>
          <w:bCs/>
        </w:rPr>
      </w:pPr>
      <w:bookmarkStart w:id="85" w:name="_Ref118569285"/>
      <w:bookmarkStart w:id="86" w:name="_Toc121470281"/>
      <w:r w:rsidRPr="00DF2BBA">
        <w:rPr>
          <w:bCs/>
        </w:rPr>
        <w:t xml:space="preserve">Figure </w:t>
      </w:r>
      <w:r w:rsidRPr="00DF2BBA">
        <w:rPr>
          <w:bCs/>
        </w:rPr>
        <w:fldChar w:fldCharType="begin"/>
      </w:r>
      <w:r w:rsidRPr="00DF2BBA">
        <w:rPr>
          <w:bCs/>
        </w:rPr>
        <w:instrText xml:space="preserve"> SEQ Figure \* ARABIC </w:instrText>
      </w:r>
      <w:r w:rsidRPr="00DF2BBA">
        <w:rPr>
          <w:bCs/>
        </w:rPr>
        <w:fldChar w:fldCharType="separate"/>
      </w:r>
      <w:r w:rsidR="002F3906">
        <w:rPr>
          <w:bCs/>
          <w:noProof/>
        </w:rPr>
        <w:t>7</w:t>
      </w:r>
      <w:r w:rsidRPr="00DF2BBA">
        <w:rPr>
          <w:bCs/>
        </w:rPr>
        <w:fldChar w:fldCharType="end"/>
      </w:r>
      <w:bookmarkEnd w:id="85"/>
      <w:r w:rsidRPr="00DF2BBA">
        <w:rPr>
          <w:bCs/>
        </w:rPr>
        <w:t xml:space="preserve"> - Step by step experimental workflow for produced brine and surfactant imbibition measurements used in this study.</w:t>
      </w:r>
      <w:bookmarkEnd w:id="86"/>
    </w:p>
    <w:p w14:paraId="3E36C8BE" w14:textId="582F3987" w:rsidR="004065E9" w:rsidRDefault="004065E9" w:rsidP="004065E9"/>
    <w:p w14:paraId="26BED6FF" w14:textId="77777777" w:rsidR="004E5AB7" w:rsidRDefault="004E5AB7" w:rsidP="004065E9"/>
    <w:p w14:paraId="695DD60E" w14:textId="77777777" w:rsidR="004823E0" w:rsidRDefault="00AB6449" w:rsidP="004823E0">
      <w:pPr>
        <w:keepNext/>
      </w:pPr>
      <w:r>
        <w:rPr>
          <w:noProof/>
        </w:rPr>
        <w:lastRenderedPageBreak/>
        <w:drawing>
          <wp:inline distT="0" distB="0" distL="0" distR="0" wp14:anchorId="658CE6A5" wp14:editId="7716D31A">
            <wp:extent cx="5996128" cy="4603546"/>
            <wp:effectExtent l="0" t="0" r="0" b="0"/>
            <wp:docPr id="71" name="Picture 7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Graphical user interface&#10;&#10;Description automatically generated"/>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6007661" cy="4612401"/>
                    </a:xfrm>
                    <a:prstGeom prst="rect">
                      <a:avLst/>
                    </a:prstGeom>
                    <a:ln>
                      <a:noFill/>
                    </a:ln>
                    <a:extLst>
                      <a:ext uri="{53640926-AAD7-44D8-BBD7-CCE9431645EC}">
                        <a14:shadowObscured xmlns:a14="http://schemas.microsoft.com/office/drawing/2010/main"/>
                      </a:ext>
                    </a:extLst>
                  </pic:spPr>
                </pic:pic>
              </a:graphicData>
            </a:graphic>
          </wp:inline>
        </w:drawing>
      </w:r>
    </w:p>
    <w:p w14:paraId="7D29D680" w14:textId="11362355" w:rsidR="002117A7" w:rsidRDefault="004823E0" w:rsidP="002117A7">
      <w:pPr>
        <w:pStyle w:val="NoSpacing"/>
      </w:pPr>
      <w:bookmarkStart w:id="87" w:name="_Ref118849959"/>
      <w:bookmarkStart w:id="88" w:name="_Toc121470282"/>
      <w:r>
        <w:t xml:space="preserve">Figure </w:t>
      </w:r>
      <w:fldSimple w:instr=" SEQ Figure \* ARABIC ">
        <w:r w:rsidR="002F3906">
          <w:rPr>
            <w:noProof/>
          </w:rPr>
          <w:t>8</w:t>
        </w:r>
      </w:fldSimple>
      <w:bookmarkEnd w:id="87"/>
      <w:r>
        <w:t xml:space="preserve"> - NMR T1-T2 maps of sandstone samples pre and post-imbibition using produced brine. (a) shows bound fluid inside the sample after cleaning and drying, (b) shows the total volume of </w:t>
      </w:r>
      <w:r w:rsidR="009F27BA">
        <w:t xml:space="preserve">total </w:t>
      </w:r>
      <w:r>
        <w:t>fluid inside the sample (crude oil plus bound fluid) after oil saturation with one signal relaxing elongated over T1/T2 ratio due to presence of hydrocarbons with varying carbon number, and (c) showing two main signals relaxing at different T1/T2 ratios which indicate presence of two different fluids inside the sample. Highlighted region here shows oil</w:t>
      </w:r>
      <w:r w:rsidR="004233AA">
        <w:t xml:space="preserve"> </w:t>
      </w:r>
      <w:r>
        <w:t>present inside the sample post-imbibition.</w:t>
      </w:r>
      <w:bookmarkEnd w:id="88"/>
    </w:p>
    <w:p w14:paraId="1E56CAB8" w14:textId="7A91A470" w:rsidR="00160A60" w:rsidRDefault="002117A7" w:rsidP="002117A7">
      <w:r>
        <w:rPr>
          <w:noProof/>
        </w:rPr>
        <w:lastRenderedPageBreak/>
        <w:drawing>
          <wp:inline distT="0" distB="0" distL="0" distR="0" wp14:anchorId="45F9FC9A" wp14:editId="6AC4A21C">
            <wp:extent cx="5943600" cy="3816985"/>
            <wp:effectExtent l="0" t="0" r="0" b="5715"/>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816985"/>
                    </a:xfrm>
                    <a:prstGeom prst="rect">
                      <a:avLst/>
                    </a:prstGeom>
                  </pic:spPr>
                </pic:pic>
              </a:graphicData>
            </a:graphic>
          </wp:inline>
        </w:drawing>
      </w:r>
    </w:p>
    <w:p w14:paraId="497A1FBD" w14:textId="5C158685" w:rsidR="00160A60" w:rsidRDefault="00160A60" w:rsidP="006F0878">
      <w:pPr>
        <w:pStyle w:val="NoSpacing"/>
      </w:pPr>
      <w:bookmarkStart w:id="89" w:name="_Ref118850699"/>
      <w:bookmarkStart w:id="90" w:name="_Toc121470283"/>
      <w:r w:rsidRPr="00160A60">
        <w:t xml:space="preserve">Figure </w:t>
      </w:r>
      <w:fldSimple w:instr=" SEQ Figure \* ARABIC ">
        <w:r w:rsidR="002F3906">
          <w:rPr>
            <w:noProof/>
          </w:rPr>
          <w:t>9</w:t>
        </w:r>
      </w:fldSimple>
      <w:bookmarkEnd w:id="89"/>
      <w:r w:rsidRPr="00160A60">
        <w:t xml:space="preserve"> - NMR T2 measurements of three samples saturated with oil before imbibition. T2 spectra here show two peaks, with second peak having higher amplitude showing oil inside the sample. With all the T2 spectra overlapping each other very closely, we can say that the sample reached similar initial oil saturation.</w:t>
      </w:r>
      <w:bookmarkEnd w:id="90"/>
    </w:p>
    <w:p w14:paraId="7CB7443F" w14:textId="77777777" w:rsidR="002117A7" w:rsidRDefault="002117A7" w:rsidP="006F0878">
      <w:pPr>
        <w:pStyle w:val="NoSpacing"/>
      </w:pPr>
    </w:p>
    <w:p w14:paraId="6FB573BD" w14:textId="77777777" w:rsidR="002117A7" w:rsidRPr="00160A60" w:rsidRDefault="002117A7" w:rsidP="006F0878">
      <w:pPr>
        <w:pStyle w:val="NoSpacing"/>
      </w:pPr>
    </w:p>
    <w:tbl>
      <w:tblPr>
        <w:tblStyle w:val="TableGrid"/>
        <w:tblW w:w="0" w:type="auto"/>
        <w:jc w:val="center"/>
        <w:tblLook w:val="04A0" w:firstRow="1" w:lastRow="0" w:firstColumn="1" w:lastColumn="0" w:noHBand="0" w:noVBand="1"/>
      </w:tblPr>
      <w:tblGrid>
        <w:gridCol w:w="2065"/>
        <w:gridCol w:w="3690"/>
      </w:tblGrid>
      <w:tr w:rsidR="00045B8A" w:rsidRPr="0051754D" w14:paraId="5FFDCA89" w14:textId="77777777" w:rsidTr="00F62690">
        <w:trPr>
          <w:cantSplit/>
          <w:trHeight w:hRule="exact" w:val="432"/>
          <w:jc w:val="center"/>
        </w:trPr>
        <w:tc>
          <w:tcPr>
            <w:tcW w:w="2065" w:type="dxa"/>
            <w:vAlign w:val="center"/>
          </w:tcPr>
          <w:p w14:paraId="6C61F846" w14:textId="3BFF7D3E" w:rsidR="00045B8A" w:rsidRPr="00FA72F0" w:rsidRDefault="00045B8A" w:rsidP="00F62690">
            <w:pPr>
              <w:pStyle w:val="Table"/>
            </w:pPr>
            <w:r w:rsidRPr="00FA72F0">
              <w:t>Order of Testing</w:t>
            </w:r>
          </w:p>
        </w:tc>
        <w:tc>
          <w:tcPr>
            <w:tcW w:w="3690" w:type="dxa"/>
            <w:vAlign w:val="center"/>
          </w:tcPr>
          <w:p w14:paraId="057E793D" w14:textId="77777777" w:rsidR="00045B8A" w:rsidRPr="0051754D" w:rsidRDefault="00045B8A" w:rsidP="00F62690">
            <w:pPr>
              <w:pStyle w:val="Table"/>
            </w:pPr>
            <w:r w:rsidRPr="0051754D">
              <w:t>Description</w:t>
            </w:r>
          </w:p>
        </w:tc>
      </w:tr>
      <w:tr w:rsidR="00045B8A" w:rsidRPr="0051754D" w14:paraId="7001CD1B" w14:textId="77777777" w:rsidTr="00F62690">
        <w:trPr>
          <w:cantSplit/>
          <w:trHeight w:hRule="exact" w:val="432"/>
          <w:jc w:val="center"/>
        </w:trPr>
        <w:tc>
          <w:tcPr>
            <w:tcW w:w="2065" w:type="dxa"/>
            <w:vAlign w:val="center"/>
          </w:tcPr>
          <w:p w14:paraId="264FDE82" w14:textId="7FBA3507" w:rsidR="00045B8A" w:rsidRPr="00FA72F0" w:rsidRDefault="00045B8A" w:rsidP="00F62690">
            <w:pPr>
              <w:pStyle w:val="Table"/>
            </w:pPr>
            <w:r w:rsidRPr="00FA72F0">
              <w:t>1</w:t>
            </w:r>
          </w:p>
        </w:tc>
        <w:tc>
          <w:tcPr>
            <w:tcW w:w="3690" w:type="dxa"/>
            <w:vAlign w:val="center"/>
          </w:tcPr>
          <w:p w14:paraId="6117FAEA" w14:textId="3C4BF666" w:rsidR="00045B8A" w:rsidRPr="0051754D" w:rsidRDefault="00045B8A" w:rsidP="00F62690">
            <w:pPr>
              <w:pStyle w:val="Table"/>
            </w:pPr>
            <w:r w:rsidRPr="0051754D">
              <w:t xml:space="preserve">Produced </w:t>
            </w:r>
            <w:r w:rsidR="009404CC">
              <w:t>Brine</w:t>
            </w:r>
            <w:r w:rsidRPr="0051754D">
              <w:t>, Pre-Surfactant 1</w:t>
            </w:r>
          </w:p>
        </w:tc>
      </w:tr>
      <w:tr w:rsidR="00045B8A" w:rsidRPr="0051754D" w14:paraId="004D4FB7" w14:textId="77777777" w:rsidTr="00F62690">
        <w:trPr>
          <w:cantSplit/>
          <w:trHeight w:hRule="exact" w:val="432"/>
          <w:jc w:val="center"/>
        </w:trPr>
        <w:tc>
          <w:tcPr>
            <w:tcW w:w="2065" w:type="dxa"/>
            <w:vAlign w:val="center"/>
          </w:tcPr>
          <w:p w14:paraId="10266672" w14:textId="77777777" w:rsidR="00045B8A" w:rsidRPr="00FA72F0" w:rsidRDefault="00045B8A" w:rsidP="00F62690">
            <w:pPr>
              <w:pStyle w:val="Table"/>
            </w:pPr>
            <w:r w:rsidRPr="00FA72F0">
              <w:t>2</w:t>
            </w:r>
          </w:p>
        </w:tc>
        <w:tc>
          <w:tcPr>
            <w:tcW w:w="3690" w:type="dxa"/>
            <w:vAlign w:val="center"/>
          </w:tcPr>
          <w:p w14:paraId="2C34CA9A" w14:textId="77777777" w:rsidR="00045B8A" w:rsidRPr="0051754D" w:rsidRDefault="00045B8A" w:rsidP="00F62690">
            <w:pPr>
              <w:pStyle w:val="Table"/>
            </w:pPr>
            <w:r w:rsidRPr="0051754D">
              <w:t>Surfactant 1</w:t>
            </w:r>
          </w:p>
        </w:tc>
      </w:tr>
      <w:tr w:rsidR="00045B8A" w:rsidRPr="0051754D" w14:paraId="696390B5" w14:textId="77777777" w:rsidTr="00F62690">
        <w:trPr>
          <w:cantSplit/>
          <w:trHeight w:hRule="exact" w:val="432"/>
          <w:jc w:val="center"/>
        </w:trPr>
        <w:tc>
          <w:tcPr>
            <w:tcW w:w="2065" w:type="dxa"/>
            <w:vAlign w:val="center"/>
          </w:tcPr>
          <w:p w14:paraId="30F7C3D2" w14:textId="77777777" w:rsidR="00045B8A" w:rsidRPr="00FA72F0" w:rsidRDefault="00045B8A" w:rsidP="00F62690">
            <w:pPr>
              <w:pStyle w:val="Table"/>
            </w:pPr>
            <w:r w:rsidRPr="00FA72F0">
              <w:t>3</w:t>
            </w:r>
          </w:p>
        </w:tc>
        <w:tc>
          <w:tcPr>
            <w:tcW w:w="3690" w:type="dxa"/>
            <w:vAlign w:val="center"/>
          </w:tcPr>
          <w:p w14:paraId="2C202CCD" w14:textId="0E61D5EF" w:rsidR="00045B8A" w:rsidRPr="0051754D" w:rsidRDefault="00045B8A" w:rsidP="00F62690">
            <w:pPr>
              <w:pStyle w:val="Table"/>
            </w:pPr>
            <w:r w:rsidRPr="0051754D">
              <w:t xml:space="preserve">Produced </w:t>
            </w:r>
            <w:r w:rsidR="009404CC">
              <w:t>Brine</w:t>
            </w:r>
            <w:r w:rsidRPr="0051754D">
              <w:t>, Pre-Surfactant 2</w:t>
            </w:r>
          </w:p>
        </w:tc>
      </w:tr>
      <w:tr w:rsidR="00045B8A" w:rsidRPr="0051754D" w14:paraId="21C789A7" w14:textId="77777777" w:rsidTr="00F62690">
        <w:trPr>
          <w:cantSplit/>
          <w:trHeight w:hRule="exact" w:val="432"/>
          <w:jc w:val="center"/>
        </w:trPr>
        <w:tc>
          <w:tcPr>
            <w:tcW w:w="2065" w:type="dxa"/>
            <w:vAlign w:val="center"/>
          </w:tcPr>
          <w:p w14:paraId="2BB36099" w14:textId="77777777" w:rsidR="00045B8A" w:rsidRPr="00FA72F0" w:rsidRDefault="00045B8A" w:rsidP="00F62690">
            <w:pPr>
              <w:pStyle w:val="Table"/>
            </w:pPr>
            <w:r w:rsidRPr="00FA72F0">
              <w:t>4</w:t>
            </w:r>
          </w:p>
        </w:tc>
        <w:tc>
          <w:tcPr>
            <w:tcW w:w="3690" w:type="dxa"/>
            <w:vAlign w:val="center"/>
          </w:tcPr>
          <w:p w14:paraId="1B8D9631" w14:textId="77777777" w:rsidR="00045B8A" w:rsidRPr="0051754D" w:rsidRDefault="00045B8A" w:rsidP="00F62690">
            <w:pPr>
              <w:pStyle w:val="Table"/>
            </w:pPr>
            <w:r w:rsidRPr="0051754D">
              <w:t>Surfactant 2</w:t>
            </w:r>
          </w:p>
        </w:tc>
      </w:tr>
      <w:tr w:rsidR="00045B8A" w:rsidRPr="0051754D" w14:paraId="6C54F326" w14:textId="77777777" w:rsidTr="00F62690">
        <w:trPr>
          <w:cantSplit/>
          <w:trHeight w:hRule="exact" w:val="432"/>
          <w:jc w:val="center"/>
        </w:trPr>
        <w:tc>
          <w:tcPr>
            <w:tcW w:w="2065" w:type="dxa"/>
            <w:vAlign w:val="center"/>
          </w:tcPr>
          <w:p w14:paraId="7EF899D1" w14:textId="77777777" w:rsidR="00045B8A" w:rsidRPr="00FA72F0" w:rsidRDefault="00045B8A" w:rsidP="00F62690">
            <w:pPr>
              <w:pStyle w:val="Table"/>
            </w:pPr>
            <w:r w:rsidRPr="00FA72F0">
              <w:t>5</w:t>
            </w:r>
          </w:p>
        </w:tc>
        <w:tc>
          <w:tcPr>
            <w:tcW w:w="3690" w:type="dxa"/>
            <w:vAlign w:val="center"/>
          </w:tcPr>
          <w:p w14:paraId="2231D213" w14:textId="1C921AAC" w:rsidR="00045B8A" w:rsidRPr="0051754D" w:rsidRDefault="00045B8A" w:rsidP="00F62690">
            <w:pPr>
              <w:pStyle w:val="Table"/>
            </w:pPr>
            <w:r w:rsidRPr="0051754D">
              <w:t xml:space="preserve">Produced </w:t>
            </w:r>
            <w:r w:rsidR="009404CC">
              <w:t>Brine</w:t>
            </w:r>
            <w:r w:rsidRPr="0051754D">
              <w:t>, Pre-Surfactant 3</w:t>
            </w:r>
          </w:p>
        </w:tc>
      </w:tr>
      <w:tr w:rsidR="00045B8A" w:rsidRPr="0051754D" w14:paraId="6BC24119" w14:textId="77777777" w:rsidTr="00F62690">
        <w:trPr>
          <w:cantSplit/>
          <w:trHeight w:hRule="exact" w:val="432"/>
          <w:jc w:val="center"/>
        </w:trPr>
        <w:tc>
          <w:tcPr>
            <w:tcW w:w="2065" w:type="dxa"/>
            <w:vAlign w:val="center"/>
          </w:tcPr>
          <w:p w14:paraId="1200E741" w14:textId="77777777" w:rsidR="00045B8A" w:rsidRPr="00FA72F0" w:rsidRDefault="00045B8A" w:rsidP="00F62690">
            <w:pPr>
              <w:pStyle w:val="Table"/>
            </w:pPr>
            <w:r w:rsidRPr="00FA72F0">
              <w:t>6</w:t>
            </w:r>
          </w:p>
        </w:tc>
        <w:tc>
          <w:tcPr>
            <w:tcW w:w="3690" w:type="dxa"/>
            <w:vAlign w:val="center"/>
          </w:tcPr>
          <w:p w14:paraId="47B45233" w14:textId="77777777" w:rsidR="00045B8A" w:rsidRPr="0051754D" w:rsidRDefault="00045B8A" w:rsidP="00F62690">
            <w:pPr>
              <w:pStyle w:val="Table"/>
            </w:pPr>
            <w:r w:rsidRPr="0051754D">
              <w:t>Surfactant 3</w:t>
            </w:r>
          </w:p>
        </w:tc>
      </w:tr>
    </w:tbl>
    <w:p w14:paraId="26AE9EE7" w14:textId="77777777" w:rsidR="00586D82" w:rsidRPr="00DF2BBA" w:rsidRDefault="00586D82" w:rsidP="00586D82">
      <w:pPr>
        <w:pStyle w:val="NoSpacing"/>
      </w:pPr>
    </w:p>
    <w:p w14:paraId="4D7E5D37" w14:textId="3662207D" w:rsidR="00C558F1" w:rsidRDefault="00586D82" w:rsidP="00374A31">
      <w:pPr>
        <w:pStyle w:val="NoSpacing"/>
      </w:pPr>
      <w:bookmarkStart w:id="91" w:name="_Ref118592075"/>
      <w:bookmarkStart w:id="92" w:name="_Toc118592062"/>
      <w:bookmarkStart w:id="93" w:name="_Toc121470308"/>
      <w:r w:rsidRPr="00DF2BBA">
        <w:t xml:space="preserve">Table </w:t>
      </w:r>
      <w:fldSimple w:instr=" SEQ Table \* ARABIC ">
        <w:r w:rsidR="002F3906">
          <w:rPr>
            <w:noProof/>
          </w:rPr>
          <w:t>1</w:t>
        </w:r>
      </w:fldSimple>
      <w:bookmarkEnd w:id="91"/>
      <w:r w:rsidRPr="00DF2BBA">
        <w:t xml:space="preserve"> - Test matrix showing imbibition measurements performed on </w:t>
      </w:r>
      <w:r w:rsidR="00931235" w:rsidRPr="00DF2BBA">
        <w:t xml:space="preserve">same </w:t>
      </w:r>
      <w:r w:rsidRPr="00DF2BBA">
        <w:t>three samples in testing order to quantify the oil recovery.</w:t>
      </w:r>
      <w:bookmarkEnd w:id="92"/>
      <w:bookmarkEnd w:id="93"/>
    </w:p>
    <w:p w14:paraId="5BB6CD33" w14:textId="77777777" w:rsidR="00374A31" w:rsidRPr="00374A31" w:rsidRDefault="00374A31" w:rsidP="00374A31">
      <w:pPr>
        <w:pStyle w:val="NoSpacing"/>
        <w:rPr>
          <w:bCs/>
        </w:rPr>
      </w:pPr>
    </w:p>
    <w:p w14:paraId="41EE9DE5" w14:textId="0CB268FB" w:rsidR="00A21811" w:rsidRPr="00A21811" w:rsidRDefault="008E5373" w:rsidP="00A21811">
      <w:pPr>
        <w:pStyle w:val="Heading2"/>
      </w:pPr>
      <w:bookmarkStart w:id="94" w:name="_Toc118484076"/>
      <w:bookmarkStart w:id="95" w:name="_Toc118485288"/>
      <w:bookmarkStart w:id="96" w:name="_Toc121470253"/>
      <w:r>
        <w:lastRenderedPageBreak/>
        <w:t xml:space="preserve">3.6 Determination of Water and Oil </w:t>
      </w:r>
      <w:r w:rsidR="00582CF2">
        <w:t>Region</w:t>
      </w:r>
      <w:r>
        <w:t xml:space="preserve"> in NMR T1-T2</w:t>
      </w:r>
      <w:bookmarkEnd w:id="94"/>
      <w:bookmarkEnd w:id="95"/>
      <w:r w:rsidR="00CB09B1">
        <w:t xml:space="preserve"> Maps</w:t>
      </w:r>
      <w:bookmarkEnd w:id="96"/>
    </w:p>
    <w:p w14:paraId="3CAECEFC" w14:textId="7089010B" w:rsidR="00544505" w:rsidRDefault="00E314D8" w:rsidP="003E1A58">
      <w:pPr>
        <w:rPr>
          <w:rFonts w:eastAsiaTheme="minorHAnsi"/>
        </w:rPr>
      </w:pPr>
      <w:r>
        <w:rPr>
          <w:rFonts w:eastAsiaTheme="minorHAnsi"/>
        </w:rPr>
        <w:t>After imbi</w:t>
      </w:r>
      <w:r w:rsidR="00AA478D">
        <w:rPr>
          <w:rFonts w:eastAsiaTheme="minorHAnsi"/>
        </w:rPr>
        <w:t>bi</w:t>
      </w:r>
      <w:r>
        <w:rPr>
          <w:rFonts w:eastAsiaTheme="minorHAnsi"/>
        </w:rPr>
        <w:t>tion with produce</w:t>
      </w:r>
      <w:r w:rsidR="00A2406D">
        <w:rPr>
          <w:rFonts w:eastAsiaTheme="minorHAnsi"/>
        </w:rPr>
        <w:t>d</w:t>
      </w:r>
      <w:r>
        <w:rPr>
          <w:rFonts w:eastAsiaTheme="minorHAnsi"/>
        </w:rPr>
        <w:t xml:space="preserve"> water and surfactants, we see two regions in NMR T1-T2 </w:t>
      </w:r>
      <w:r w:rsidR="00ED5094">
        <w:rPr>
          <w:rFonts w:eastAsiaTheme="minorHAnsi"/>
        </w:rPr>
        <w:t>maps</w:t>
      </w:r>
      <w:r w:rsidR="003B0C4E">
        <w:rPr>
          <w:rFonts w:eastAsiaTheme="minorHAnsi"/>
        </w:rPr>
        <w:t>,</w:t>
      </w:r>
      <w:r w:rsidR="00ED5094">
        <w:rPr>
          <w:rFonts w:eastAsiaTheme="minorHAnsi"/>
        </w:rPr>
        <w:t xml:space="preserve"> </w:t>
      </w:r>
      <w:r>
        <w:rPr>
          <w:rFonts w:eastAsiaTheme="minorHAnsi"/>
        </w:rPr>
        <w:t xml:space="preserve">as seen in </w:t>
      </w:r>
      <w:r w:rsidR="00246E45">
        <w:rPr>
          <w:rFonts w:eastAsiaTheme="minorHAnsi"/>
        </w:rPr>
        <w:fldChar w:fldCharType="begin"/>
      </w:r>
      <w:r w:rsidR="00246E45">
        <w:rPr>
          <w:rFonts w:eastAsiaTheme="minorHAnsi"/>
        </w:rPr>
        <w:instrText xml:space="preserve"> REF _Ref118593422 \h </w:instrText>
      </w:r>
      <w:r w:rsidR="00246E45">
        <w:rPr>
          <w:rFonts w:eastAsiaTheme="minorHAnsi"/>
        </w:rPr>
      </w:r>
      <w:r w:rsidR="00246E45">
        <w:rPr>
          <w:rFonts w:eastAsiaTheme="minorHAnsi"/>
        </w:rPr>
        <w:fldChar w:fldCharType="separate"/>
      </w:r>
      <w:r w:rsidR="002F3906" w:rsidRPr="00DF2BBA">
        <w:rPr>
          <w:bCs/>
        </w:rPr>
        <w:t xml:space="preserve">Figure </w:t>
      </w:r>
      <w:r w:rsidR="002F3906">
        <w:rPr>
          <w:bCs/>
          <w:noProof/>
        </w:rPr>
        <w:t>10</w:t>
      </w:r>
      <w:r w:rsidR="00246E45">
        <w:rPr>
          <w:rFonts w:eastAsiaTheme="minorHAnsi"/>
        </w:rPr>
        <w:fldChar w:fldCharType="end"/>
      </w:r>
      <w:r>
        <w:rPr>
          <w:rFonts w:eastAsiaTheme="minorHAnsi"/>
        </w:rPr>
        <w:t xml:space="preserve">. </w:t>
      </w:r>
      <w:r w:rsidR="00A333F4">
        <w:rPr>
          <w:rFonts w:eastAsiaTheme="minorHAnsi"/>
        </w:rPr>
        <w:t xml:space="preserve"> </w:t>
      </w:r>
      <w:r w:rsidR="00C6167D">
        <w:rPr>
          <w:rFonts w:eastAsiaTheme="minorHAnsi"/>
        </w:rPr>
        <w:t xml:space="preserve">We know the two regions represent water and oil present inside the sample due to </w:t>
      </w:r>
      <w:r w:rsidR="003B0C4E">
        <w:rPr>
          <w:rFonts w:eastAsiaTheme="minorHAnsi"/>
        </w:rPr>
        <w:t xml:space="preserve">the </w:t>
      </w:r>
      <w:r w:rsidR="00C6167D">
        <w:rPr>
          <w:rFonts w:eastAsiaTheme="minorHAnsi"/>
        </w:rPr>
        <w:t>viscosity differen</w:t>
      </w:r>
      <w:r w:rsidR="00E57EB4">
        <w:rPr>
          <w:rFonts w:eastAsiaTheme="minorHAnsi"/>
        </w:rPr>
        <w:t>ce</w:t>
      </w:r>
      <w:r w:rsidR="00C6167D">
        <w:rPr>
          <w:rFonts w:eastAsiaTheme="minorHAnsi"/>
        </w:rPr>
        <w:t xml:space="preserve"> </w:t>
      </w:r>
      <w:r w:rsidR="00B23DCD">
        <w:rPr>
          <w:rFonts w:eastAsiaTheme="minorHAnsi"/>
        </w:rPr>
        <w:t>between</w:t>
      </w:r>
      <w:r w:rsidR="00C6167D">
        <w:rPr>
          <w:rFonts w:eastAsiaTheme="minorHAnsi"/>
        </w:rPr>
        <w:t xml:space="preserve"> </w:t>
      </w:r>
      <w:r w:rsidR="003B0C4E">
        <w:rPr>
          <w:rFonts w:eastAsiaTheme="minorHAnsi"/>
        </w:rPr>
        <w:t xml:space="preserve">the </w:t>
      </w:r>
      <w:r w:rsidR="00C6167D">
        <w:rPr>
          <w:rFonts w:eastAsiaTheme="minorHAnsi"/>
        </w:rPr>
        <w:t xml:space="preserve">two fluids, but we are not aware </w:t>
      </w:r>
      <w:r w:rsidR="003B0C4E">
        <w:rPr>
          <w:rFonts w:eastAsiaTheme="minorHAnsi"/>
        </w:rPr>
        <w:t xml:space="preserve">of </w:t>
      </w:r>
      <w:r w:rsidR="00C6167D">
        <w:rPr>
          <w:rFonts w:eastAsiaTheme="minorHAnsi"/>
        </w:rPr>
        <w:t xml:space="preserve">which region is water </w:t>
      </w:r>
      <w:r w:rsidR="003B0C4E">
        <w:rPr>
          <w:rFonts w:eastAsiaTheme="minorHAnsi"/>
        </w:rPr>
        <w:t>and</w:t>
      </w:r>
      <w:r w:rsidR="00C6167D">
        <w:rPr>
          <w:rFonts w:eastAsiaTheme="minorHAnsi"/>
        </w:rPr>
        <w:t xml:space="preserve"> which region is oil.</w:t>
      </w:r>
      <w:r w:rsidR="00A333F4">
        <w:rPr>
          <w:rFonts w:eastAsiaTheme="minorHAnsi"/>
        </w:rPr>
        <w:t xml:space="preserve"> </w:t>
      </w:r>
      <w:r w:rsidR="00291050">
        <w:rPr>
          <w:rFonts w:eastAsiaTheme="minorHAnsi"/>
        </w:rPr>
        <w:t>To distinguish the</w:t>
      </w:r>
      <w:r w:rsidR="001C2667">
        <w:rPr>
          <w:rFonts w:eastAsiaTheme="minorHAnsi"/>
        </w:rPr>
        <w:t>s</w:t>
      </w:r>
      <w:r w:rsidR="00291050">
        <w:rPr>
          <w:rFonts w:eastAsiaTheme="minorHAnsi"/>
        </w:rPr>
        <w:t xml:space="preserve">e regions in </w:t>
      </w:r>
      <w:r w:rsidR="00ED5094" w:rsidRPr="002D406A">
        <w:rPr>
          <w:rFonts w:eastAsiaTheme="minorHAnsi"/>
        </w:rPr>
        <w:t>NMR T1-T2</w:t>
      </w:r>
      <w:r w:rsidR="00ED5094">
        <w:rPr>
          <w:rFonts w:eastAsiaTheme="minorHAnsi"/>
        </w:rPr>
        <w:t xml:space="preserve"> maps and </w:t>
      </w:r>
      <w:r w:rsidR="0041534A">
        <w:rPr>
          <w:rFonts w:eastAsiaTheme="minorHAnsi"/>
        </w:rPr>
        <w:t xml:space="preserve">to </w:t>
      </w:r>
      <w:r w:rsidR="00ED5094" w:rsidRPr="002D406A">
        <w:rPr>
          <w:rFonts w:eastAsiaTheme="minorHAnsi"/>
        </w:rPr>
        <w:t>calculate the final volume of oil left inside the sample after</w:t>
      </w:r>
      <w:r w:rsidR="00ED5094">
        <w:rPr>
          <w:rFonts w:eastAsiaTheme="minorHAnsi"/>
        </w:rPr>
        <w:t xml:space="preserve"> imbibition</w:t>
      </w:r>
      <w:r w:rsidR="00C6167D">
        <w:rPr>
          <w:rFonts w:eastAsiaTheme="minorHAnsi"/>
        </w:rPr>
        <w:t>, sample</w:t>
      </w:r>
      <w:r w:rsidR="006E3AE9">
        <w:rPr>
          <w:rFonts w:eastAsiaTheme="minorHAnsi"/>
        </w:rPr>
        <w:t>s</w:t>
      </w:r>
      <w:r w:rsidR="00C6167D">
        <w:rPr>
          <w:rFonts w:eastAsiaTheme="minorHAnsi"/>
        </w:rPr>
        <w:t xml:space="preserve"> were</w:t>
      </w:r>
      <w:r w:rsidR="006E3AE9">
        <w:rPr>
          <w:rFonts w:eastAsiaTheme="minorHAnsi"/>
        </w:rPr>
        <w:t xml:space="preserve"> </w:t>
      </w:r>
      <w:r w:rsidR="006E4128">
        <w:rPr>
          <w:rFonts w:eastAsiaTheme="minorHAnsi"/>
        </w:rPr>
        <w:t xml:space="preserve">imbibed in </w:t>
      </w:r>
      <w:r w:rsidR="00DD6C20">
        <w:rPr>
          <w:rFonts w:eastAsiaTheme="minorHAnsi"/>
        </w:rPr>
        <w:t>D</w:t>
      </w:r>
      <w:r w:rsidR="00DD6C20" w:rsidRPr="00DD6C20">
        <w:rPr>
          <w:rFonts w:eastAsiaTheme="minorHAnsi"/>
          <w:vertAlign w:val="subscript"/>
        </w:rPr>
        <w:t>2</w:t>
      </w:r>
      <w:r w:rsidR="00DD6C20">
        <w:rPr>
          <w:rFonts w:eastAsiaTheme="minorHAnsi"/>
        </w:rPr>
        <w:t>O (</w:t>
      </w:r>
      <w:r w:rsidR="006E4128">
        <w:rPr>
          <w:rFonts w:eastAsiaTheme="minorHAnsi"/>
        </w:rPr>
        <w:t>NMR doping agent</w:t>
      </w:r>
      <w:r w:rsidR="00DD6C20">
        <w:rPr>
          <w:rFonts w:eastAsiaTheme="minorHAnsi"/>
        </w:rPr>
        <w:t>)</w:t>
      </w:r>
      <w:r w:rsidR="006E4128">
        <w:rPr>
          <w:rFonts w:eastAsiaTheme="minorHAnsi"/>
        </w:rPr>
        <w:t>.</w:t>
      </w:r>
      <w:r w:rsidR="0081127A">
        <w:rPr>
          <w:rFonts w:eastAsiaTheme="minorHAnsi"/>
        </w:rPr>
        <w:t xml:space="preserve"> </w:t>
      </w:r>
    </w:p>
    <w:p w14:paraId="2A9448A6" w14:textId="48D157C1" w:rsidR="003951EE" w:rsidRDefault="006E4128" w:rsidP="002117A7">
      <w:pPr>
        <w:ind w:firstLine="720"/>
        <w:rPr>
          <w:rFonts w:eastAsiaTheme="minorHAnsi"/>
        </w:rPr>
      </w:pPr>
      <w:r w:rsidRPr="002D406A">
        <w:rPr>
          <w:rFonts w:eastAsiaTheme="minorHAnsi"/>
        </w:rPr>
        <w:t xml:space="preserve">Samples were </w:t>
      </w:r>
      <w:r w:rsidR="00DF27A3">
        <w:rPr>
          <w:rFonts w:eastAsiaTheme="minorHAnsi"/>
        </w:rPr>
        <w:t>imbibed i</w:t>
      </w:r>
      <w:r w:rsidRPr="002D406A">
        <w:rPr>
          <w:rFonts w:eastAsiaTheme="minorHAnsi"/>
        </w:rPr>
        <w:t xml:space="preserve">n </w:t>
      </w:r>
      <w:r>
        <w:rPr>
          <w:rFonts w:eastAsiaTheme="minorHAnsi"/>
        </w:rPr>
        <w:t xml:space="preserve">a </w:t>
      </w:r>
      <w:r w:rsidRPr="002D406A">
        <w:rPr>
          <w:rFonts w:eastAsiaTheme="minorHAnsi"/>
        </w:rPr>
        <w:t>D</w:t>
      </w:r>
      <w:r w:rsidRPr="00773F04">
        <w:rPr>
          <w:rFonts w:eastAsiaTheme="minorHAnsi"/>
          <w:vertAlign w:val="subscript"/>
        </w:rPr>
        <w:t>2</w:t>
      </w:r>
      <w:r w:rsidRPr="002D406A">
        <w:rPr>
          <w:rFonts w:eastAsiaTheme="minorHAnsi"/>
        </w:rPr>
        <w:t xml:space="preserve">O solution with </w:t>
      </w:r>
      <w:r>
        <w:rPr>
          <w:rFonts w:eastAsiaTheme="minorHAnsi"/>
        </w:rPr>
        <w:t>23</w:t>
      </w:r>
      <w:r w:rsidR="004A5269">
        <w:rPr>
          <w:rFonts w:eastAsiaTheme="minorHAnsi"/>
        </w:rPr>
        <w:t>7</w:t>
      </w:r>
      <w:r>
        <w:rPr>
          <w:rFonts w:eastAsiaTheme="minorHAnsi"/>
        </w:rPr>
        <w:t>,</w:t>
      </w:r>
      <w:r w:rsidR="004A5269">
        <w:rPr>
          <w:rFonts w:eastAsiaTheme="minorHAnsi"/>
        </w:rPr>
        <w:t>70</w:t>
      </w:r>
      <w:r w:rsidR="001A4F24">
        <w:rPr>
          <w:rFonts w:eastAsiaTheme="minorHAnsi"/>
        </w:rPr>
        <w:t>5</w:t>
      </w:r>
      <w:r>
        <w:rPr>
          <w:rFonts w:eastAsiaTheme="minorHAnsi"/>
        </w:rPr>
        <w:t xml:space="preserve"> TDS</w:t>
      </w:r>
      <w:r w:rsidRPr="002D406A">
        <w:rPr>
          <w:rFonts w:eastAsiaTheme="minorHAnsi"/>
        </w:rPr>
        <w:t xml:space="preserve"> at room temperature to allow </w:t>
      </w:r>
      <w:r>
        <w:rPr>
          <w:rFonts w:eastAsiaTheme="minorHAnsi"/>
        </w:rPr>
        <w:t>d</w:t>
      </w:r>
      <w:r w:rsidRPr="002D406A">
        <w:rPr>
          <w:rFonts w:eastAsiaTheme="minorHAnsi"/>
        </w:rPr>
        <w:t>iffusion of D</w:t>
      </w:r>
      <w:r w:rsidRPr="00773F04">
        <w:rPr>
          <w:rFonts w:eastAsiaTheme="minorHAnsi"/>
          <w:vertAlign w:val="subscript"/>
        </w:rPr>
        <w:t>2</w:t>
      </w:r>
      <w:r w:rsidRPr="002D406A">
        <w:rPr>
          <w:rFonts w:eastAsiaTheme="minorHAnsi"/>
        </w:rPr>
        <w:t>O into the sample and H</w:t>
      </w:r>
      <w:r w:rsidRPr="00773F04">
        <w:rPr>
          <w:rFonts w:eastAsiaTheme="minorHAnsi"/>
          <w:vertAlign w:val="subscript"/>
        </w:rPr>
        <w:t>2</w:t>
      </w:r>
      <w:r w:rsidRPr="002D406A">
        <w:rPr>
          <w:rFonts w:eastAsiaTheme="minorHAnsi"/>
        </w:rPr>
        <w:t>O out of the sample. D</w:t>
      </w:r>
      <w:r w:rsidRPr="00773F04">
        <w:rPr>
          <w:rFonts w:eastAsiaTheme="minorHAnsi"/>
          <w:vertAlign w:val="subscript"/>
        </w:rPr>
        <w:t>2</w:t>
      </w:r>
      <w:r w:rsidRPr="002D406A">
        <w:rPr>
          <w:rFonts w:eastAsiaTheme="minorHAnsi"/>
        </w:rPr>
        <w:t xml:space="preserve">O solution equal to the </w:t>
      </w:r>
      <w:r>
        <w:rPr>
          <w:rFonts w:eastAsiaTheme="minorHAnsi"/>
        </w:rPr>
        <w:t>TDS</w:t>
      </w:r>
      <w:r w:rsidRPr="002D406A">
        <w:rPr>
          <w:rFonts w:eastAsiaTheme="minorHAnsi"/>
        </w:rPr>
        <w:t xml:space="preserve"> of </w:t>
      </w:r>
      <w:r w:rsidR="004F2EC8">
        <w:rPr>
          <w:rFonts w:eastAsiaTheme="minorHAnsi"/>
        </w:rPr>
        <w:t xml:space="preserve">produced </w:t>
      </w:r>
      <w:r>
        <w:rPr>
          <w:rFonts w:eastAsiaTheme="minorHAnsi"/>
        </w:rPr>
        <w:t>brine</w:t>
      </w:r>
      <w:r w:rsidRPr="002D406A">
        <w:rPr>
          <w:rFonts w:eastAsiaTheme="minorHAnsi"/>
        </w:rPr>
        <w:t xml:space="preserve"> was used to eliminate the effect of </w:t>
      </w:r>
      <w:r>
        <w:rPr>
          <w:rFonts w:eastAsiaTheme="minorHAnsi"/>
        </w:rPr>
        <w:t>TDS</w:t>
      </w:r>
      <w:r w:rsidRPr="002D406A">
        <w:rPr>
          <w:rFonts w:eastAsiaTheme="minorHAnsi"/>
        </w:rPr>
        <w:t xml:space="preserve"> in diffusion process.</w:t>
      </w:r>
      <w:r w:rsidR="00A333F4">
        <w:rPr>
          <w:rFonts w:eastAsiaTheme="minorHAnsi"/>
        </w:rPr>
        <w:t xml:space="preserve"> </w:t>
      </w:r>
      <w:r w:rsidRPr="002D406A">
        <w:rPr>
          <w:rFonts w:eastAsiaTheme="minorHAnsi"/>
        </w:rPr>
        <w:t>D</w:t>
      </w:r>
      <w:r w:rsidRPr="00773F04">
        <w:rPr>
          <w:rFonts w:eastAsiaTheme="minorHAnsi"/>
          <w:vertAlign w:val="subscript"/>
        </w:rPr>
        <w:t>2</w:t>
      </w:r>
      <w:r w:rsidRPr="002D406A">
        <w:rPr>
          <w:rFonts w:eastAsiaTheme="minorHAnsi"/>
        </w:rPr>
        <w:t>O-H</w:t>
      </w:r>
      <w:r w:rsidRPr="00773F04">
        <w:rPr>
          <w:rFonts w:eastAsiaTheme="minorHAnsi"/>
          <w:vertAlign w:val="subscript"/>
        </w:rPr>
        <w:t>2</w:t>
      </w:r>
      <w:r w:rsidRPr="002D406A">
        <w:rPr>
          <w:rFonts w:eastAsiaTheme="minorHAnsi"/>
        </w:rPr>
        <w:t>O diffusion was monitored for 8 days using NMR T2 and T1-T2 measurements</w:t>
      </w:r>
      <w:r w:rsidR="003B0C4E">
        <w:rPr>
          <w:rFonts w:eastAsiaTheme="minorHAnsi"/>
        </w:rPr>
        <w:t>,</w:t>
      </w:r>
      <w:r w:rsidR="00C41D74">
        <w:rPr>
          <w:rFonts w:eastAsiaTheme="minorHAnsi"/>
        </w:rPr>
        <w:t xml:space="preserve"> as shown in</w:t>
      </w:r>
      <w:r w:rsidR="00552EB3">
        <w:rPr>
          <w:rFonts w:eastAsiaTheme="minorHAnsi"/>
        </w:rPr>
        <w:t xml:space="preserve"> </w:t>
      </w:r>
      <w:r w:rsidR="006F3BC3">
        <w:rPr>
          <w:rFonts w:eastAsiaTheme="minorHAnsi"/>
        </w:rPr>
        <w:fldChar w:fldCharType="begin"/>
      </w:r>
      <w:r w:rsidR="006F3BC3">
        <w:rPr>
          <w:rFonts w:eastAsiaTheme="minorHAnsi"/>
        </w:rPr>
        <w:instrText xml:space="preserve"> REF _Ref118852087 \h </w:instrText>
      </w:r>
      <w:r w:rsidR="006F3BC3">
        <w:rPr>
          <w:rFonts w:eastAsiaTheme="minorHAnsi"/>
        </w:rPr>
      </w:r>
      <w:r w:rsidR="006F3BC3">
        <w:rPr>
          <w:rFonts w:eastAsiaTheme="minorHAnsi"/>
        </w:rPr>
        <w:fldChar w:fldCharType="separate"/>
      </w:r>
      <w:r w:rsidR="002F3906">
        <w:t xml:space="preserve">Figure </w:t>
      </w:r>
      <w:r w:rsidR="002F3906">
        <w:rPr>
          <w:noProof/>
        </w:rPr>
        <w:t>11</w:t>
      </w:r>
      <w:r w:rsidR="006F3BC3">
        <w:rPr>
          <w:rFonts w:eastAsiaTheme="minorHAnsi"/>
        </w:rPr>
        <w:fldChar w:fldCharType="end"/>
      </w:r>
      <w:r>
        <w:rPr>
          <w:rFonts w:eastAsiaTheme="minorHAnsi"/>
        </w:rPr>
        <w:t xml:space="preserve">. </w:t>
      </w:r>
      <w:r w:rsidR="00007819">
        <w:rPr>
          <w:rFonts w:eastAsiaTheme="minorHAnsi"/>
        </w:rPr>
        <w:t>D</w:t>
      </w:r>
      <w:r w:rsidR="00007819" w:rsidRPr="003E1A58">
        <w:rPr>
          <w:rFonts w:eastAsiaTheme="minorHAnsi"/>
          <w:vertAlign w:val="subscript"/>
        </w:rPr>
        <w:t>2</w:t>
      </w:r>
      <w:r w:rsidR="00007819">
        <w:rPr>
          <w:rFonts w:eastAsiaTheme="minorHAnsi"/>
        </w:rPr>
        <w:t>O is an isotope of water</w:t>
      </w:r>
      <w:r w:rsidR="003B0C4E">
        <w:rPr>
          <w:rFonts w:eastAsiaTheme="minorHAnsi"/>
        </w:rPr>
        <w:t>,</w:t>
      </w:r>
      <w:r w:rsidR="00007819">
        <w:rPr>
          <w:rFonts w:eastAsiaTheme="minorHAnsi"/>
        </w:rPr>
        <w:t xml:space="preserve"> with each deuterium </w:t>
      </w:r>
      <w:r w:rsidR="003B0C4E">
        <w:rPr>
          <w:rFonts w:eastAsiaTheme="minorHAnsi"/>
        </w:rPr>
        <w:t>atom</w:t>
      </w:r>
      <w:r w:rsidR="00007819">
        <w:rPr>
          <w:rFonts w:eastAsiaTheme="minorHAnsi"/>
        </w:rPr>
        <w:t xml:space="preserve"> having one neutron.</w:t>
      </w:r>
      <w:r w:rsidR="00A333F4">
        <w:rPr>
          <w:rFonts w:eastAsiaTheme="minorHAnsi"/>
        </w:rPr>
        <w:t xml:space="preserve"> </w:t>
      </w:r>
      <w:r w:rsidR="00680120">
        <w:rPr>
          <w:rFonts w:eastAsiaTheme="minorHAnsi"/>
        </w:rPr>
        <w:t xml:space="preserve">It </w:t>
      </w:r>
      <w:r w:rsidR="00007819">
        <w:rPr>
          <w:rFonts w:eastAsiaTheme="minorHAnsi"/>
        </w:rPr>
        <w:t xml:space="preserve">is </w:t>
      </w:r>
      <w:r w:rsidR="00007819" w:rsidRPr="002D406A">
        <w:rPr>
          <w:rFonts w:eastAsiaTheme="minorHAnsi"/>
        </w:rPr>
        <w:t xml:space="preserve">perfectly miscible </w:t>
      </w:r>
      <w:r w:rsidR="00B611A4">
        <w:rPr>
          <w:rFonts w:eastAsiaTheme="minorHAnsi"/>
        </w:rPr>
        <w:t>with</w:t>
      </w:r>
      <w:r w:rsidR="00007819" w:rsidRPr="002D406A">
        <w:rPr>
          <w:rFonts w:eastAsiaTheme="minorHAnsi"/>
        </w:rPr>
        <w:t xml:space="preserve"> water and immiscible </w:t>
      </w:r>
      <w:r w:rsidR="00B611A4">
        <w:rPr>
          <w:rFonts w:eastAsiaTheme="minorHAnsi"/>
        </w:rPr>
        <w:t>with</w:t>
      </w:r>
      <w:r w:rsidR="00007819" w:rsidRPr="002D406A">
        <w:rPr>
          <w:rFonts w:eastAsiaTheme="minorHAnsi"/>
        </w:rPr>
        <w:t xml:space="preserve"> oil.</w:t>
      </w:r>
      <w:r w:rsidR="00A333F4">
        <w:rPr>
          <w:rFonts w:eastAsiaTheme="minorHAnsi"/>
        </w:rPr>
        <w:t xml:space="preserve"> </w:t>
      </w:r>
      <w:r w:rsidR="00007819" w:rsidRPr="002D406A">
        <w:rPr>
          <w:rFonts w:eastAsiaTheme="minorHAnsi"/>
        </w:rPr>
        <w:t xml:space="preserve">After </w:t>
      </w:r>
      <w:r w:rsidR="00586B77">
        <w:rPr>
          <w:rFonts w:eastAsiaTheme="minorHAnsi"/>
        </w:rPr>
        <w:t>diffusion</w:t>
      </w:r>
      <w:r w:rsidR="00007819" w:rsidRPr="00A2021D">
        <w:rPr>
          <w:rFonts w:eastAsiaTheme="minorHAnsi"/>
        </w:rPr>
        <w:t xml:space="preserve"> of D</w:t>
      </w:r>
      <w:r w:rsidR="00007819" w:rsidRPr="00A2021D">
        <w:rPr>
          <w:rFonts w:eastAsiaTheme="minorHAnsi"/>
          <w:vertAlign w:val="subscript"/>
        </w:rPr>
        <w:t>2</w:t>
      </w:r>
      <w:r w:rsidR="00007819" w:rsidRPr="00A2021D">
        <w:rPr>
          <w:rFonts w:eastAsiaTheme="minorHAnsi"/>
        </w:rPr>
        <w:t xml:space="preserve">O into the sample, water can be detected by </w:t>
      </w:r>
      <w:r w:rsidR="003B0C4E">
        <w:rPr>
          <w:rFonts w:eastAsiaTheme="minorHAnsi"/>
        </w:rPr>
        <w:t xml:space="preserve">a </w:t>
      </w:r>
      <w:r w:rsidR="00007819" w:rsidRPr="00A2021D">
        <w:rPr>
          <w:rFonts w:eastAsiaTheme="minorHAnsi"/>
        </w:rPr>
        <w:t>decrease in the NMR signal</w:t>
      </w:r>
      <w:r w:rsidR="00F76BDC">
        <w:rPr>
          <w:rFonts w:eastAsiaTheme="minorHAnsi"/>
        </w:rPr>
        <w:t xml:space="preserve"> </w:t>
      </w:r>
      <w:r w:rsidR="00007819" w:rsidRPr="00A2021D">
        <w:rPr>
          <w:rFonts w:eastAsiaTheme="minorHAnsi"/>
        </w:rPr>
        <w:t>while the oil signal remains constant</w:t>
      </w:r>
      <w:r w:rsidR="00007819">
        <w:rPr>
          <w:rFonts w:eastAsiaTheme="minorHAnsi"/>
        </w:rPr>
        <w:t xml:space="preserve"> </w:t>
      </w:r>
      <w:r w:rsidR="00007819" w:rsidRPr="00A2021D">
        <w:rPr>
          <w:rFonts w:eastAsiaTheme="minorHAnsi"/>
        </w:rPr>
        <w:t>(Gannaway 2014)</w:t>
      </w:r>
      <w:r w:rsidR="00007819">
        <w:rPr>
          <w:rFonts w:eastAsiaTheme="minorHAnsi"/>
        </w:rPr>
        <w:t>.</w:t>
      </w:r>
    </w:p>
    <w:p w14:paraId="6B5F2057" w14:textId="017331A9" w:rsidR="00F061D9" w:rsidRDefault="00A412F0" w:rsidP="008408A1">
      <w:pPr>
        <w:keepNext/>
        <w:jc w:val="center"/>
      </w:pPr>
      <w:r>
        <w:rPr>
          <w:noProof/>
        </w:rPr>
        <w:drawing>
          <wp:inline distT="0" distB="0" distL="0" distR="0" wp14:anchorId="3B44D332" wp14:editId="392E54A3">
            <wp:extent cx="4409037" cy="2418501"/>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59980" cy="2446445"/>
                    </a:xfrm>
                    <a:prstGeom prst="rect">
                      <a:avLst/>
                    </a:prstGeom>
                  </pic:spPr>
                </pic:pic>
              </a:graphicData>
            </a:graphic>
          </wp:inline>
        </w:drawing>
      </w:r>
    </w:p>
    <w:p w14:paraId="36750D07" w14:textId="555466F0" w:rsidR="00993808" w:rsidRDefault="00F061D9" w:rsidP="00993808">
      <w:pPr>
        <w:pStyle w:val="NoSpacing"/>
        <w:rPr>
          <w:rFonts w:eastAsiaTheme="minorHAnsi"/>
          <w:bCs/>
        </w:rPr>
      </w:pPr>
      <w:bookmarkStart w:id="97" w:name="_Ref118593422"/>
      <w:bookmarkStart w:id="98" w:name="_Toc121470284"/>
      <w:r w:rsidRPr="00DF2BBA">
        <w:rPr>
          <w:bCs/>
        </w:rPr>
        <w:t xml:space="preserve">Figure </w:t>
      </w:r>
      <w:r w:rsidRPr="00DF2BBA">
        <w:rPr>
          <w:bCs/>
        </w:rPr>
        <w:fldChar w:fldCharType="begin"/>
      </w:r>
      <w:r w:rsidRPr="00DF2BBA">
        <w:rPr>
          <w:bCs/>
        </w:rPr>
        <w:instrText xml:space="preserve"> SEQ Figure \* ARABIC </w:instrText>
      </w:r>
      <w:r w:rsidRPr="00DF2BBA">
        <w:rPr>
          <w:bCs/>
        </w:rPr>
        <w:fldChar w:fldCharType="separate"/>
      </w:r>
      <w:r w:rsidR="002F3906">
        <w:rPr>
          <w:bCs/>
          <w:noProof/>
        </w:rPr>
        <w:t>10</w:t>
      </w:r>
      <w:r w:rsidRPr="00DF2BBA">
        <w:rPr>
          <w:bCs/>
        </w:rPr>
        <w:fldChar w:fldCharType="end"/>
      </w:r>
      <w:bookmarkEnd w:id="97"/>
      <w:r w:rsidR="008102D2">
        <w:rPr>
          <w:bCs/>
        </w:rPr>
        <w:t xml:space="preserve"> </w:t>
      </w:r>
      <w:r w:rsidRPr="00DF2BBA">
        <w:rPr>
          <w:bCs/>
        </w:rPr>
        <w:t>-</w:t>
      </w:r>
      <w:r w:rsidR="008102D2">
        <w:rPr>
          <w:bCs/>
        </w:rPr>
        <w:t xml:space="preserve"> </w:t>
      </w:r>
      <w:r w:rsidRPr="00DF2BBA">
        <w:rPr>
          <w:rFonts w:eastAsiaTheme="minorHAnsi"/>
          <w:bCs/>
        </w:rPr>
        <w:t xml:space="preserve">NMR T1-T2 map showing two signals relaxing at different T1/T2 ratios after </w:t>
      </w:r>
      <w:r w:rsidR="00AA478D" w:rsidRPr="00DF2BBA">
        <w:rPr>
          <w:rFonts w:eastAsiaTheme="minorHAnsi"/>
          <w:bCs/>
        </w:rPr>
        <w:t>imbib</w:t>
      </w:r>
      <w:r w:rsidRPr="00DF2BBA">
        <w:rPr>
          <w:rFonts w:eastAsiaTheme="minorHAnsi"/>
          <w:bCs/>
        </w:rPr>
        <w:t>ition with produced brine</w:t>
      </w:r>
      <w:r w:rsidR="00246E45" w:rsidRPr="00DF2BBA">
        <w:rPr>
          <w:rFonts w:eastAsiaTheme="minorHAnsi"/>
          <w:bCs/>
        </w:rPr>
        <w:t>, pre-surfactant 1.</w:t>
      </w:r>
      <w:bookmarkEnd w:id="98"/>
    </w:p>
    <w:p w14:paraId="7AE538D0" w14:textId="77777777" w:rsidR="00993808" w:rsidRPr="00993808" w:rsidRDefault="00993808" w:rsidP="00993808">
      <w:pPr>
        <w:rPr>
          <w:rFonts w:eastAsiaTheme="minorHAnsi"/>
        </w:rPr>
      </w:pPr>
    </w:p>
    <w:p w14:paraId="61672347" w14:textId="77777777" w:rsidR="00C41D74" w:rsidRDefault="00C41D74" w:rsidP="00F75031">
      <w:pPr>
        <w:keepNext/>
        <w:spacing w:line="240" w:lineRule="auto"/>
        <w:jc w:val="center"/>
      </w:pPr>
      <w:bookmarkStart w:id="99" w:name="_Toc118484077"/>
      <w:bookmarkStart w:id="100" w:name="_Toc118485289"/>
      <w:r>
        <w:rPr>
          <w:rFonts w:eastAsiaTheme="minorHAnsi"/>
          <w:noProof/>
        </w:rPr>
        <w:lastRenderedPageBreak/>
        <w:drawing>
          <wp:inline distT="0" distB="0" distL="0" distR="0" wp14:anchorId="0BCC46EC" wp14:editId="36C97432">
            <wp:extent cx="5860170" cy="4286235"/>
            <wp:effectExtent l="0" t="0" r="0" b="0"/>
            <wp:docPr id="72" name="Picture 7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chart&#10;&#10;Description automatically generated"/>
                    <pic:cNvPicPr/>
                  </pic:nvPicPr>
                  <pic:blipFill rotWithShape="1">
                    <a:blip r:embed="rId23" cstate="print">
                      <a:extLst>
                        <a:ext uri="{28A0092B-C50C-407E-A947-70E740481C1C}">
                          <a14:useLocalDpi xmlns:a14="http://schemas.microsoft.com/office/drawing/2010/main" val="0"/>
                        </a:ext>
                      </a:extLst>
                    </a:blip>
                    <a:srcRect r="1772" b="2999"/>
                    <a:stretch/>
                  </pic:blipFill>
                  <pic:spPr bwMode="auto">
                    <a:xfrm>
                      <a:off x="0" y="0"/>
                      <a:ext cx="5883209" cy="4303086"/>
                    </a:xfrm>
                    <a:prstGeom prst="rect">
                      <a:avLst/>
                    </a:prstGeom>
                    <a:ln>
                      <a:noFill/>
                    </a:ln>
                    <a:extLst>
                      <a:ext uri="{53640926-AAD7-44D8-BBD7-CCE9431645EC}">
                        <a14:shadowObscured xmlns:a14="http://schemas.microsoft.com/office/drawing/2010/main"/>
                      </a:ext>
                    </a:extLst>
                  </pic:spPr>
                </pic:pic>
              </a:graphicData>
            </a:graphic>
          </wp:inline>
        </w:drawing>
      </w:r>
    </w:p>
    <w:p w14:paraId="0DB14378" w14:textId="77777777" w:rsidR="00C41D74" w:rsidRDefault="00C41D74" w:rsidP="00C41D74">
      <w:pPr>
        <w:spacing w:line="360" w:lineRule="auto"/>
      </w:pPr>
    </w:p>
    <w:p w14:paraId="314F575C" w14:textId="042D0223" w:rsidR="00C41D74" w:rsidRDefault="00C41D74" w:rsidP="00C41D74">
      <w:pPr>
        <w:pStyle w:val="NoSpacing"/>
      </w:pPr>
      <w:bookmarkStart w:id="101" w:name="_Ref118852087"/>
      <w:bookmarkStart w:id="102" w:name="_Toc121470285"/>
      <w:r>
        <w:t xml:space="preserve">Figure </w:t>
      </w:r>
      <w:fldSimple w:instr=" SEQ Figure \* ARABIC ">
        <w:r w:rsidR="002F3906">
          <w:rPr>
            <w:noProof/>
          </w:rPr>
          <w:t>11</w:t>
        </w:r>
      </w:fldSimple>
      <w:bookmarkEnd w:id="101"/>
      <w:r>
        <w:t xml:space="preserve"> - NMR T1-T2 maps of sandstone sample after imbibition with NMR doping agent. Post imbibition with brine, sample shows two signals relaxing at different T1/T2 ratios. To distinguish water and oil signal and to quantify oil recovery, sample was imbibed in D</w:t>
      </w:r>
      <w:r w:rsidRPr="00B3776D">
        <w:rPr>
          <w:vertAlign w:val="subscript"/>
        </w:rPr>
        <w:t>2</w:t>
      </w:r>
      <w:r>
        <w:t>O for 8 days. With time we see a decrease in amplitude of signal having faster relaxation, which shows it is water, while the signal having slower relaxation remains the same,</w:t>
      </w:r>
      <w:r w:rsidRPr="00196CC4">
        <w:t xml:space="preserve"> </w:t>
      </w:r>
      <w:r>
        <w:t>which shows it is oil.</w:t>
      </w:r>
      <w:bookmarkEnd w:id="102"/>
    </w:p>
    <w:p w14:paraId="7DED2B72" w14:textId="71720B39" w:rsidR="005041F4" w:rsidRDefault="005041F4" w:rsidP="00C41D74">
      <w:pPr>
        <w:pStyle w:val="NoSpacing"/>
      </w:pPr>
    </w:p>
    <w:p w14:paraId="3F2589D6" w14:textId="77777777" w:rsidR="00F2612E" w:rsidRDefault="00F2612E" w:rsidP="00C41D74">
      <w:pPr>
        <w:pStyle w:val="NoSpacing"/>
      </w:pPr>
    </w:p>
    <w:p w14:paraId="79AFDCEF" w14:textId="77777777" w:rsidR="005041F4" w:rsidRDefault="005041F4" w:rsidP="00C41D74">
      <w:pPr>
        <w:pStyle w:val="NoSpacing"/>
      </w:pPr>
    </w:p>
    <w:p w14:paraId="4CC148B6" w14:textId="4BD720E3" w:rsidR="00C41D74" w:rsidRDefault="00C41D74" w:rsidP="00C41D74">
      <w:pPr>
        <w:pStyle w:val="Caption"/>
        <w:jc w:val="left"/>
      </w:pPr>
    </w:p>
    <w:p w14:paraId="126DFDDC" w14:textId="6A01C81E" w:rsidR="002C635C" w:rsidRDefault="002C635C">
      <w:pPr>
        <w:spacing w:line="240" w:lineRule="auto"/>
        <w:jc w:val="left"/>
        <w:rPr>
          <w:rFonts w:eastAsiaTheme="majorEastAsia" w:cstheme="majorBidi"/>
          <w:b/>
          <w:color w:val="000000" w:themeColor="text1"/>
          <w:szCs w:val="32"/>
        </w:rPr>
      </w:pPr>
      <w:r>
        <w:br w:type="page"/>
      </w:r>
    </w:p>
    <w:p w14:paraId="1541918D" w14:textId="5E4EDC80" w:rsidR="007B18F6" w:rsidRDefault="00EC60E5" w:rsidP="007B18F6">
      <w:pPr>
        <w:pStyle w:val="Heading1"/>
      </w:pPr>
      <w:bookmarkStart w:id="103" w:name="_Toc121470254"/>
      <w:r>
        <w:lastRenderedPageBreak/>
        <w:t xml:space="preserve">: </w:t>
      </w:r>
      <w:r w:rsidR="007B18F6">
        <w:t>Results and Discussion</w:t>
      </w:r>
      <w:bookmarkEnd w:id="99"/>
      <w:bookmarkEnd w:id="100"/>
      <w:bookmarkEnd w:id="103"/>
    </w:p>
    <w:p w14:paraId="5419C629" w14:textId="77777777" w:rsidR="002F3906" w:rsidRPr="002F3906" w:rsidRDefault="00205479" w:rsidP="002F3906">
      <w:pPr>
        <w:pStyle w:val="Heading2"/>
      </w:pPr>
      <w:bookmarkStart w:id="104" w:name="_Toc121470255"/>
      <w:r>
        <w:t>4.1 Petrophysical Analysis</w:t>
      </w:r>
      <w:bookmarkEnd w:id="104"/>
      <w:r w:rsidR="00F23AE4" w:rsidRPr="00F805C2">
        <w:rPr>
          <w:highlight w:val="yellow"/>
        </w:rPr>
        <w:fldChar w:fldCharType="begin"/>
      </w:r>
      <w:r w:rsidR="00F23AE4" w:rsidRPr="00F805C2">
        <w:instrText xml:space="preserve"> REF _Ref118790879 \h </w:instrText>
      </w:r>
      <w:r w:rsidR="00F23AE4" w:rsidRPr="003B0C4E">
        <w:rPr>
          <w:highlight w:val="yellow"/>
        </w:rPr>
        <w:instrText xml:space="preserve"> \* MERGEFORMAT </w:instrText>
      </w:r>
      <w:r w:rsidR="00F23AE4" w:rsidRPr="00F805C2">
        <w:rPr>
          <w:highlight w:val="yellow"/>
        </w:rPr>
      </w:r>
      <w:r w:rsidR="00F23AE4" w:rsidRPr="00F805C2">
        <w:rPr>
          <w:highlight w:val="yellow"/>
        </w:rPr>
        <w:fldChar w:fldCharType="separate"/>
      </w:r>
    </w:p>
    <w:p w14:paraId="232D4D07" w14:textId="0F8C132D" w:rsidR="0024131B" w:rsidRDefault="002F3906" w:rsidP="00205479">
      <w:r w:rsidRPr="00DF2BBA">
        <w:rPr>
          <w:noProof/>
        </w:rPr>
        <w:t xml:space="preserve">Table </w:t>
      </w:r>
      <w:r>
        <w:rPr>
          <w:noProof/>
        </w:rPr>
        <w:t>2</w:t>
      </w:r>
      <w:r w:rsidR="00F23AE4" w:rsidRPr="00F805C2">
        <w:rPr>
          <w:highlight w:val="yellow"/>
        </w:rPr>
        <w:fldChar w:fldCharType="end"/>
      </w:r>
      <w:r w:rsidR="00F23AE4" w:rsidRPr="00F805C2">
        <w:t xml:space="preserve"> shows the petrophysical properties</w:t>
      </w:r>
      <w:r w:rsidR="00F23AE4" w:rsidRPr="008F7CFF">
        <w:t xml:space="preserve"> </w:t>
      </w:r>
      <w:r w:rsidR="00E76F2A">
        <w:t xml:space="preserve">of </w:t>
      </w:r>
      <w:r w:rsidR="00D46023">
        <w:t xml:space="preserve">three </w:t>
      </w:r>
      <w:r w:rsidR="008F7CFF">
        <w:t>plug</w:t>
      </w:r>
      <w:r w:rsidR="008F7CFF" w:rsidRPr="008F7CFF">
        <w:t xml:space="preserve"> samples used in </w:t>
      </w:r>
      <w:r w:rsidR="008F7CFF" w:rsidRPr="00F805C2">
        <w:t>this study</w:t>
      </w:r>
      <w:r w:rsidR="00E352F4">
        <w:t xml:space="preserve"> </w:t>
      </w:r>
      <w:r w:rsidR="008F2AEB">
        <w:t>for imbibition experiments</w:t>
      </w:r>
      <w:r w:rsidR="00D46023" w:rsidRPr="00F805C2">
        <w:t>.</w:t>
      </w:r>
      <w:r w:rsidR="008F7CFF" w:rsidRPr="00F805C2">
        <w:t xml:space="preserve"> Samples were rich in quartz (41 to 52 wt.%) and clays (29 to 34 wt.%), along with </w:t>
      </w:r>
      <w:r w:rsidR="00562CE9">
        <w:t xml:space="preserve">the </w:t>
      </w:r>
      <w:r w:rsidR="00E1011D" w:rsidRPr="00F805C2">
        <w:t xml:space="preserve">presence of </w:t>
      </w:r>
      <w:r w:rsidR="008F7CFF" w:rsidRPr="00F805C2">
        <w:t>carbonates and feldspars.</w:t>
      </w:r>
      <w:r w:rsidR="00F23387">
        <w:t xml:space="preserve"> </w:t>
      </w:r>
      <w:r w:rsidR="008F7CFF" w:rsidRPr="008F7CFF">
        <w:t>Samples</w:t>
      </w:r>
      <w:r w:rsidR="003F2BDC">
        <w:t xml:space="preserve"> also</w:t>
      </w:r>
      <w:r w:rsidR="008F7CFF" w:rsidRPr="008F7CFF">
        <w:t xml:space="preserve"> </w:t>
      </w:r>
      <w:r w:rsidR="00B3215F">
        <w:t>have</w:t>
      </w:r>
      <w:r w:rsidR="003F2BDC">
        <w:t xml:space="preserve"> </w:t>
      </w:r>
      <w:r w:rsidR="008F7CFF" w:rsidRPr="008F7CFF">
        <w:t>helium porosity of 17 to 19%</w:t>
      </w:r>
      <w:r w:rsidR="003F2BDC">
        <w:t xml:space="preserve"> and </w:t>
      </w:r>
      <w:r w:rsidR="007A3DA2">
        <w:t xml:space="preserve">very </w:t>
      </w:r>
      <w:r w:rsidR="003F2BDC">
        <w:t>low TOC of 0.4 to 0.8 wt.%</w:t>
      </w:r>
    </w:p>
    <w:p w14:paraId="5C05DE1F" w14:textId="64DC9264" w:rsidR="00AB2852" w:rsidRDefault="00B17790" w:rsidP="00205479">
      <w:r>
        <w:tab/>
      </w:r>
      <w:r w:rsidR="00434F10">
        <w:t>Additionally,</w:t>
      </w:r>
      <w:r>
        <w:t xml:space="preserve"> five more plugs </w:t>
      </w:r>
      <w:r w:rsidR="00434F10">
        <w:t>were used in this study in this study to analyze relationship between surfactant adsorption and mineralogy (</w:t>
      </w:r>
      <w:r w:rsidR="00434F10">
        <w:fldChar w:fldCharType="begin"/>
      </w:r>
      <w:r w:rsidR="00434F10">
        <w:instrText xml:space="preserve"> REF _Ref119883328 \h </w:instrText>
      </w:r>
      <w:r w:rsidR="00434F10">
        <w:fldChar w:fldCharType="separate"/>
      </w:r>
      <w:r w:rsidR="002F3906">
        <w:t xml:space="preserve">Table </w:t>
      </w:r>
      <w:r w:rsidR="002F3906">
        <w:rPr>
          <w:noProof/>
        </w:rPr>
        <w:t>3</w:t>
      </w:r>
      <w:r w:rsidR="00434F10">
        <w:fldChar w:fldCharType="end"/>
      </w:r>
      <w:r w:rsidR="00434F10">
        <w:t>).</w:t>
      </w:r>
      <w:r w:rsidR="00D46023" w:rsidRPr="00D616A2">
        <w:t xml:space="preserve"> </w:t>
      </w:r>
      <w:r w:rsidR="00A566D4">
        <w:t>These samples have clay (11 to 50 wt.%), quartz (28 to 60</w:t>
      </w:r>
      <w:r w:rsidR="00182109">
        <w:t xml:space="preserve"> wt.</w:t>
      </w:r>
      <w:r w:rsidR="00A566D4">
        <w:t>%)</w:t>
      </w:r>
      <w:r w:rsidR="00562CE9">
        <w:t>,</w:t>
      </w:r>
      <w:r w:rsidR="00A566D4">
        <w:t xml:space="preserve"> along with</w:t>
      </w:r>
      <w:r w:rsidR="00A566D4" w:rsidRPr="00F805C2">
        <w:t xml:space="preserve"> </w:t>
      </w:r>
      <w:r w:rsidR="00562CE9">
        <w:t xml:space="preserve">the </w:t>
      </w:r>
      <w:r w:rsidR="00A566D4" w:rsidRPr="00F805C2">
        <w:t>presence of carbonates and feldspars</w:t>
      </w:r>
      <w:r w:rsidR="00A566D4">
        <w:t>.</w:t>
      </w:r>
    </w:p>
    <w:p w14:paraId="7CE8E64F" w14:textId="77777777" w:rsidR="00D75106" w:rsidRDefault="00D75106" w:rsidP="00205479"/>
    <w:tbl>
      <w:tblPr>
        <w:tblStyle w:val="TableGrid"/>
        <w:tblW w:w="9200" w:type="dxa"/>
        <w:jc w:val="center"/>
        <w:tblLook w:val="04A0" w:firstRow="1" w:lastRow="0" w:firstColumn="1" w:lastColumn="0" w:noHBand="0" w:noVBand="1"/>
      </w:tblPr>
      <w:tblGrid>
        <w:gridCol w:w="1189"/>
        <w:gridCol w:w="1122"/>
        <w:gridCol w:w="1122"/>
        <w:gridCol w:w="1381"/>
        <w:gridCol w:w="1210"/>
        <w:gridCol w:w="945"/>
        <w:gridCol w:w="1148"/>
        <w:gridCol w:w="1083"/>
      </w:tblGrid>
      <w:tr w:rsidR="00ED5416" w14:paraId="07C11DD8" w14:textId="1E96A9A3" w:rsidTr="00D044B1">
        <w:trPr>
          <w:trHeight w:val="438"/>
          <w:jc w:val="center"/>
        </w:trPr>
        <w:tc>
          <w:tcPr>
            <w:tcW w:w="1189" w:type="dxa"/>
            <w:vAlign w:val="center"/>
          </w:tcPr>
          <w:p w14:paraId="1D9EABD0" w14:textId="3CB0F420" w:rsidR="0017071F" w:rsidRDefault="0017071F" w:rsidP="00F62690">
            <w:pPr>
              <w:spacing w:line="240" w:lineRule="auto"/>
              <w:jc w:val="center"/>
            </w:pPr>
            <w:r>
              <w:t>Sample</w:t>
            </w:r>
          </w:p>
        </w:tc>
        <w:tc>
          <w:tcPr>
            <w:tcW w:w="1122" w:type="dxa"/>
            <w:vAlign w:val="center"/>
          </w:tcPr>
          <w:p w14:paraId="25A12A00" w14:textId="77777777" w:rsidR="0017071F" w:rsidRDefault="0017071F" w:rsidP="00F62690">
            <w:pPr>
              <w:spacing w:line="240" w:lineRule="auto"/>
              <w:jc w:val="center"/>
            </w:pPr>
            <w:r>
              <w:t>Quartz</w:t>
            </w:r>
          </w:p>
          <w:p w14:paraId="6B321D95" w14:textId="3A9AB4C8" w:rsidR="0017071F" w:rsidRDefault="0017071F" w:rsidP="00F62690">
            <w:pPr>
              <w:spacing w:line="240" w:lineRule="auto"/>
              <w:jc w:val="center"/>
            </w:pPr>
            <w:r>
              <w:t>(wt.%)</w:t>
            </w:r>
          </w:p>
        </w:tc>
        <w:tc>
          <w:tcPr>
            <w:tcW w:w="1122" w:type="dxa"/>
            <w:vAlign w:val="center"/>
          </w:tcPr>
          <w:p w14:paraId="0DD3C59E" w14:textId="77777777" w:rsidR="0017071F" w:rsidRPr="0051754D" w:rsidRDefault="0017071F" w:rsidP="00F62690">
            <w:pPr>
              <w:pStyle w:val="Table"/>
            </w:pPr>
            <w:r w:rsidRPr="0051754D">
              <w:t>Clays</w:t>
            </w:r>
          </w:p>
          <w:p w14:paraId="7CA5C0DB" w14:textId="1050FB9E" w:rsidR="0017071F" w:rsidRDefault="0017071F" w:rsidP="00F62690">
            <w:pPr>
              <w:spacing w:line="240" w:lineRule="auto"/>
              <w:jc w:val="center"/>
            </w:pPr>
            <w:r w:rsidRPr="0051754D">
              <w:t>(wt.%)</w:t>
            </w:r>
          </w:p>
        </w:tc>
        <w:tc>
          <w:tcPr>
            <w:tcW w:w="1381" w:type="dxa"/>
            <w:vAlign w:val="center"/>
          </w:tcPr>
          <w:p w14:paraId="7DE488C4" w14:textId="0DD19F3D" w:rsidR="0017071F" w:rsidRDefault="0017071F" w:rsidP="00F62690">
            <w:pPr>
              <w:spacing w:line="240" w:lineRule="auto"/>
              <w:jc w:val="center"/>
            </w:pPr>
            <w:r w:rsidRPr="0051754D">
              <w:t>Carbonates</w:t>
            </w:r>
            <w:r>
              <w:t xml:space="preserve"> </w:t>
            </w:r>
            <w:r w:rsidRPr="0051754D">
              <w:t>(wt.%)</w:t>
            </w:r>
          </w:p>
        </w:tc>
        <w:tc>
          <w:tcPr>
            <w:tcW w:w="1210" w:type="dxa"/>
            <w:vAlign w:val="center"/>
          </w:tcPr>
          <w:p w14:paraId="3DD69B89" w14:textId="77777777" w:rsidR="0017071F" w:rsidRPr="0051754D" w:rsidRDefault="0017071F" w:rsidP="00F62690">
            <w:pPr>
              <w:pStyle w:val="Table"/>
            </w:pPr>
            <w:r w:rsidRPr="0051754D">
              <w:t>Feldspars</w:t>
            </w:r>
          </w:p>
          <w:p w14:paraId="435FC71B" w14:textId="6D19AF55" w:rsidR="0017071F" w:rsidRDefault="0017071F" w:rsidP="00F62690">
            <w:pPr>
              <w:spacing w:line="240" w:lineRule="auto"/>
              <w:jc w:val="center"/>
            </w:pPr>
            <w:r w:rsidRPr="0051754D">
              <w:t>(wt.%)</w:t>
            </w:r>
          </w:p>
        </w:tc>
        <w:tc>
          <w:tcPr>
            <w:tcW w:w="945" w:type="dxa"/>
            <w:vAlign w:val="center"/>
          </w:tcPr>
          <w:p w14:paraId="0D68448C" w14:textId="77777777" w:rsidR="0017071F" w:rsidRPr="0051754D" w:rsidRDefault="0017071F" w:rsidP="00F62690">
            <w:pPr>
              <w:pStyle w:val="Table"/>
            </w:pPr>
            <w:r w:rsidRPr="0051754D">
              <w:t>TOC</w:t>
            </w:r>
          </w:p>
          <w:p w14:paraId="4C66330B" w14:textId="741A5B4A" w:rsidR="0017071F" w:rsidRDefault="0017071F" w:rsidP="00F62690">
            <w:pPr>
              <w:spacing w:line="240" w:lineRule="auto"/>
              <w:jc w:val="center"/>
            </w:pPr>
            <w:r w:rsidRPr="0051754D">
              <w:t>(wt.%)</w:t>
            </w:r>
          </w:p>
        </w:tc>
        <w:tc>
          <w:tcPr>
            <w:tcW w:w="1148" w:type="dxa"/>
            <w:vAlign w:val="center"/>
          </w:tcPr>
          <w:p w14:paraId="652D78BE" w14:textId="77777777" w:rsidR="0017071F" w:rsidRPr="0051754D" w:rsidRDefault="0017071F" w:rsidP="00F62690">
            <w:pPr>
              <w:pStyle w:val="Table"/>
            </w:pPr>
            <w:r w:rsidRPr="0051754D">
              <w:t>Helium</w:t>
            </w:r>
          </w:p>
          <w:p w14:paraId="1C7DFBE0" w14:textId="77777777" w:rsidR="0017071F" w:rsidRPr="0051754D" w:rsidRDefault="0017071F" w:rsidP="00F62690">
            <w:pPr>
              <w:pStyle w:val="Table"/>
            </w:pPr>
            <w:r w:rsidRPr="0051754D">
              <w:t>Porosity</w:t>
            </w:r>
          </w:p>
          <w:p w14:paraId="0212775C" w14:textId="2834749A" w:rsidR="0017071F" w:rsidRPr="0051754D" w:rsidRDefault="0017071F" w:rsidP="00F62690">
            <w:pPr>
              <w:pStyle w:val="Table"/>
            </w:pPr>
            <w:r w:rsidRPr="0051754D">
              <w:t>(%)</w:t>
            </w:r>
          </w:p>
        </w:tc>
        <w:tc>
          <w:tcPr>
            <w:tcW w:w="1083" w:type="dxa"/>
            <w:vAlign w:val="center"/>
          </w:tcPr>
          <w:p w14:paraId="7F6A0292" w14:textId="77777777" w:rsidR="0017071F" w:rsidRPr="0051754D" w:rsidRDefault="0017071F" w:rsidP="00F62690">
            <w:pPr>
              <w:pStyle w:val="Table"/>
            </w:pPr>
            <w:r w:rsidRPr="0051754D">
              <w:t>Total</w:t>
            </w:r>
          </w:p>
          <w:p w14:paraId="20F197F2" w14:textId="77777777" w:rsidR="0017071F" w:rsidRPr="0051754D" w:rsidRDefault="0017071F" w:rsidP="00F62690">
            <w:pPr>
              <w:pStyle w:val="Table"/>
            </w:pPr>
            <w:r w:rsidRPr="0051754D">
              <w:t>Porosity</w:t>
            </w:r>
          </w:p>
          <w:p w14:paraId="1D3E3969" w14:textId="6F5EF0F5" w:rsidR="0017071F" w:rsidRPr="0051754D" w:rsidRDefault="0017071F" w:rsidP="00F62690">
            <w:pPr>
              <w:pStyle w:val="Table"/>
            </w:pPr>
            <w:r w:rsidRPr="0051754D">
              <w:t>(%)</w:t>
            </w:r>
          </w:p>
        </w:tc>
      </w:tr>
      <w:tr w:rsidR="00D044B1" w14:paraId="45FA768E" w14:textId="772D45F6" w:rsidTr="00F62690">
        <w:trPr>
          <w:trHeight w:hRule="exact" w:val="432"/>
          <w:jc w:val="center"/>
        </w:trPr>
        <w:tc>
          <w:tcPr>
            <w:tcW w:w="1189" w:type="dxa"/>
            <w:vAlign w:val="center"/>
          </w:tcPr>
          <w:p w14:paraId="16A289B7" w14:textId="71DB5813" w:rsidR="0017071F" w:rsidRDefault="0017071F" w:rsidP="00F62690">
            <w:pPr>
              <w:spacing w:line="240" w:lineRule="auto"/>
              <w:jc w:val="center"/>
            </w:pPr>
            <w:r>
              <w:t>Sample 1</w:t>
            </w:r>
          </w:p>
        </w:tc>
        <w:tc>
          <w:tcPr>
            <w:tcW w:w="1122" w:type="dxa"/>
            <w:vAlign w:val="center"/>
          </w:tcPr>
          <w:p w14:paraId="7489E554" w14:textId="23E965DC" w:rsidR="0017071F" w:rsidRDefault="0017071F" w:rsidP="00F62690">
            <w:pPr>
              <w:spacing w:line="240" w:lineRule="auto"/>
              <w:jc w:val="center"/>
            </w:pPr>
            <w:r w:rsidRPr="0051754D">
              <w:t>52</w:t>
            </w:r>
          </w:p>
        </w:tc>
        <w:tc>
          <w:tcPr>
            <w:tcW w:w="1122" w:type="dxa"/>
            <w:vAlign w:val="center"/>
          </w:tcPr>
          <w:p w14:paraId="692FBC07" w14:textId="4BF57A4C" w:rsidR="0017071F" w:rsidRDefault="0017071F" w:rsidP="00F62690">
            <w:pPr>
              <w:spacing w:line="240" w:lineRule="auto"/>
              <w:jc w:val="center"/>
            </w:pPr>
            <w:r w:rsidRPr="0051754D">
              <w:t>29</w:t>
            </w:r>
          </w:p>
        </w:tc>
        <w:tc>
          <w:tcPr>
            <w:tcW w:w="1381" w:type="dxa"/>
            <w:vAlign w:val="center"/>
          </w:tcPr>
          <w:p w14:paraId="674D43C3" w14:textId="23618A21" w:rsidR="0017071F" w:rsidRDefault="0017071F" w:rsidP="00F62690">
            <w:pPr>
              <w:spacing w:line="240" w:lineRule="auto"/>
              <w:jc w:val="center"/>
            </w:pPr>
            <w:r w:rsidRPr="0051754D">
              <w:t>8</w:t>
            </w:r>
          </w:p>
        </w:tc>
        <w:tc>
          <w:tcPr>
            <w:tcW w:w="1210" w:type="dxa"/>
            <w:vAlign w:val="center"/>
          </w:tcPr>
          <w:p w14:paraId="1A2D8D46" w14:textId="6FFCE9A1" w:rsidR="0017071F" w:rsidRDefault="0017071F" w:rsidP="00F62690">
            <w:pPr>
              <w:spacing w:line="240" w:lineRule="auto"/>
              <w:jc w:val="center"/>
            </w:pPr>
            <w:r w:rsidRPr="0051754D">
              <w:t>5</w:t>
            </w:r>
          </w:p>
        </w:tc>
        <w:tc>
          <w:tcPr>
            <w:tcW w:w="945" w:type="dxa"/>
            <w:vAlign w:val="center"/>
          </w:tcPr>
          <w:p w14:paraId="60916C74" w14:textId="549BB6EE" w:rsidR="0017071F" w:rsidRDefault="0017071F" w:rsidP="00F62690">
            <w:pPr>
              <w:spacing w:line="240" w:lineRule="auto"/>
              <w:jc w:val="center"/>
            </w:pPr>
            <w:r w:rsidRPr="0051754D">
              <w:t>0.53</w:t>
            </w:r>
          </w:p>
        </w:tc>
        <w:tc>
          <w:tcPr>
            <w:tcW w:w="1148" w:type="dxa"/>
            <w:vAlign w:val="center"/>
          </w:tcPr>
          <w:p w14:paraId="6DBBE249" w14:textId="74C5A299" w:rsidR="0017071F" w:rsidRDefault="0017071F" w:rsidP="00F62690">
            <w:pPr>
              <w:spacing w:line="240" w:lineRule="auto"/>
              <w:jc w:val="center"/>
            </w:pPr>
            <w:r w:rsidRPr="0051754D">
              <w:t>17.9</w:t>
            </w:r>
          </w:p>
        </w:tc>
        <w:tc>
          <w:tcPr>
            <w:tcW w:w="1083" w:type="dxa"/>
            <w:vAlign w:val="center"/>
          </w:tcPr>
          <w:p w14:paraId="1EE1DFE3" w14:textId="5CFBB520" w:rsidR="0017071F" w:rsidRDefault="0017071F" w:rsidP="00F62690">
            <w:pPr>
              <w:spacing w:line="240" w:lineRule="auto"/>
              <w:jc w:val="center"/>
            </w:pPr>
            <w:r w:rsidRPr="0051754D">
              <w:t>19.6</w:t>
            </w:r>
          </w:p>
        </w:tc>
      </w:tr>
      <w:tr w:rsidR="00D044B1" w14:paraId="0424F4BD" w14:textId="5A56C222" w:rsidTr="00F62690">
        <w:trPr>
          <w:trHeight w:hRule="exact" w:val="432"/>
          <w:jc w:val="center"/>
        </w:trPr>
        <w:tc>
          <w:tcPr>
            <w:tcW w:w="1189" w:type="dxa"/>
            <w:vAlign w:val="center"/>
          </w:tcPr>
          <w:p w14:paraId="34A30C50" w14:textId="1C65338E" w:rsidR="0017071F" w:rsidRDefault="0017071F" w:rsidP="00F62690">
            <w:pPr>
              <w:spacing w:line="240" w:lineRule="auto"/>
              <w:jc w:val="center"/>
            </w:pPr>
            <w:r>
              <w:t>Sample 2</w:t>
            </w:r>
          </w:p>
        </w:tc>
        <w:tc>
          <w:tcPr>
            <w:tcW w:w="1122" w:type="dxa"/>
            <w:vAlign w:val="center"/>
          </w:tcPr>
          <w:p w14:paraId="6E1C3406" w14:textId="3F607C0B" w:rsidR="0017071F" w:rsidRDefault="0017071F" w:rsidP="00F62690">
            <w:pPr>
              <w:spacing w:line="240" w:lineRule="auto"/>
              <w:jc w:val="center"/>
            </w:pPr>
            <w:r w:rsidRPr="0051754D">
              <w:t>49</w:t>
            </w:r>
          </w:p>
        </w:tc>
        <w:tc>
          <w:tcPr>
            <w:tcW w:w="1122" w:type="dxa"/>
            <w:vAlign w:val="center"/>
          </w:tcPr>
          <w:p w14:paraId="4B04B7A6" w14:textId="73838FA7" w:rsidR="0017071F" w:rsidRDefault="0017071F" w:rsidP="00F62690">
            <w:pPr>
              <w:spacing w:line="240" w:lineRule="auto"/>
              <w:jc w:val="center"/>
            </w:pPr>
            <w:r w:rsidRPr="0051754D">
              <w:t>30</w:t>
            </w:r>
          </w:p>
        </w:tc>
        <w:tc>
          <w:tcPr>
            <w:tcW w:w="1381" w:type="dxa"/>
            <w:vAlign w:val="center"/>
          </w:tcPr>
          <w:p w14:paraId="0F0643AF" w14:textId="192AFBD2" w:rsidR="0017071F" w:rsidRDefault="0017071F" w:rsidP="00F62690">
            <w:pPr>
              <w:spacing w:line="240" w:lineRule="auto"/>
              <w:jc w:val="center"/>
            </w:pPr>
            <w:r w:rsidRPr="0051754D">
              <w:t>11</w:t>
            </w:r>
          </w:p>
        </w:tc>
        <w:tc>
          <w:tcPr>
            <w:tcW w:w="1210" w:type="dxa"/>
            <w:vAlign w:val="center"/>
          </w:tcPr>
          <w:p w14:paraId="7E5F4505" w14:textId="210B6E66" w:rsidR="0017071F" w:rsidRDefault="0017071F" w:rsidP="00F62690">
            <w:pPr>
              <w:spacing w:line="240" w:lineRule="auto"/>
              <w:jc w:val="center"/>
            </w:pPr>
            <w:r w:rsidRPr="0051754D">
              <w:t>7</w:t>
            </w:r>
          </w:p>
        </w:tc>
        <w:tc>
          <w:tcPr>
            <w:tcW w:w="945" w:type="dxa"/>
            <w:vAlign w:val="center"/>
          </w:tcPr>
          <w:p w14:paraId="27E7D6B7" w14:textId="4E9700FE" w:rsidR="0017071F" w:rsidRDefault="0017071F" w:rsidP="00F62690">
            <w:pPr>
              <w:spacing w:line="240" w:lineRule="auto"/>
              <w:jc w:val="center"/>
            </w:pPr>
            <w:r w:rsidRPr="0051754D">
              <w:t>0.48</w:t>
            </w:r>
          </w:p>
        </w:tc>
        <w:tc>
          <w:tcPr>
            <w:tcW w:w="1148" w:type="dxa"/>
            <w:vAlign w:val="center"/>
          </w:tcPr>
          <w:p w14:paraId="7CB6AE81" w14:textId="120DE41F" w:rsidR="0017071F" w:rsidRDefault="0017071F" w:rsidP="00F62690">
            <w:pPr>
              <w:spacing w:line="240" w:lineRule="auto"/>
              <w:jc w:val="center"/>
            </w:pPr>
            <w:r w:rsidRPr="0051754D">
              <w:t>17.8</w:t>
            </w:r>
          </w:p>
        </w:tc>
        <w:tc>
          <w:tcPr>
            <w:tcW w:w="1083" w:type="dxa"/>
            <w:vAlign w:val="center"/>
          </w:tcPr>
          <w:p w14:paraId="4D6274CF" w14:textId="39F5368E" w:rsidR="0017071F" w:rsidRDefault="0017071F" w:rsidP="00F62690">
            <w:pPr>
              <w:spacing w:line="240" w:lineRule="auto"/>
              <w:jc w:val="center"/>
            </w:pPr>
            <w:r w:rsidRPr="0051754D">
              <w:t>19.9</w:t>
            </w:r>
          </w:p>
        </w:tc>
      </w:tr>
      <w:tr w:rsidR="00D044B1" w14:paraId="3ECDCD03" w14:textId="5527F699" w:rsidTr="00F62690">
        <w:trPr>
          <w:trHeight w:hRule="exact" w:val="432"/>
          <w:jc w:val="center"/>
        </w:trPr>
        <w:tc>
          <w:tcPr>
            <w:tcW w:w="1189" w:type="dxa"/>
            <w:vAlign w:val="center"/>
          </w:tcPr>
          <w:p w14:paraId="716F6F17" w14:textId="16FCC440" w:rsidR="0017071F" w:rsidRDefault="0017071F" w:rsidP="00F62690">
            <w:pPr>
              <w:spacing w:line="240" w:lineRule="auto"/>
              <w:jc w:val="center"/>
            </w:pPr>
            <w:r>
              <w:t>Sample 3</w:t>
            </w:r>
          </w:p>
        </w:tc>
        <w:tc>
          <w:tcPr>
            <w:tcW w:w="1122" w:type="dxa"/>
            <w:vAlign w:val="center"/>
          </w:tcPr>
          <w:p w14:paraId="5B05C628" w14:textId="0F3AAF65" w:rsidR="0017071F" w:rsidRDefault="0017071F" w:rsidP="00F62690">
            <w:pPr>
              <w:spacing w:line="240" w:lineRule="auto"/>
              <w:jc w:val="center"/>
            </w:pPr>
            <w:r w:rsidRPr="0051754D">
              <w:t>41</w:t>
            </w:r>
          </w:p>
        </w:tc>
        <w:tc>
          <w:tcPr>
            <w:tcW w:w="1122" w:type="dxa"/>
            <w:vAlign w:val="center"/>
          </w:tcPr>
          <w:p w14:paraId="078FCFAA" w14:textId="596765F2" w:rsidR="0017071F" w:rsidRDefault="0017071F" w:rsidP="00F62690">
            <w:pPr>
              <w:spacing w:line="240" w:lineRule="auto"/>
              <w:jc w:val="center"/>
            </w:pPr>
            <w:r w:rsidRPr="0051754D">
              <w:t>34</w:t>
            </w:r>
          </w:p>
        </w:tc>
        <w:tc>
          <w:tcPr>
            <w:tcW w:w="1381" w:type="dxa"/>
            <w:vAlign w:val="center"/>
          </w:tcPr>
          <w:p w14:paraId="331E6C26" w14:textId="6EBECDDA" w:rsidR="0017071F" w:rsidRDefault="0017071F" w:rsidP="00F62690">
            <w:pPr>
              <w:spacing w:line="240" w:lineRule="auto"/>
              <w:jc w:val="center"/>
            </w:pPr>
            <w:r w:rsidRPr="0051754D">
              <w:t>9</w:t>
            </w:r>
          </w:p>
        </w:tc>
        <w:tc>
          <w:tcPr>
            <w:tcW w:w="1210" w:type="dxa"/>
            <w:vAlign w:val="center"/>
          </w:tcPr>
          <w:p w14:paraId="3127BAE8" w14:textId="28EC1557" w:rsidR="0017071F" w:rsidRDefault="0017071F" w:rsidP="00F62690">
            <w:pPr>
              <w:spacing w:line="240" w:lineRule="auto"/>
              <w:jc w:val="center"/>
            </w:pPr>
            <w:r w:rsidRPr="0051754D">
              <w:t>12</w:t>
            </w:r>
          </w:p>
        </w:tc>
        <w:tc>
          <w:tcPr>
            <w:tcW w:w="945" w:type="dxa"/>
            <w:vAlign w:val="center"/>
          </w:tcPr>
          <w:p w14:paraId="5C3A2C99" w14:textId="03FB68E0" w:rsidR="0017071F" w:rsidRDefault="0017071F" w:rsidP="00F62690">
            <w:pPr>
              <w:spacing w:line="240" w:lineRule="auto"/>
              <w:jc w:val="center"/>
            </w:pPr>
            <w:r w:rsidRPr="0051754D">
              <w:t>0.54</w:t>
            </w:r>
          </w:p>
        </w:tc>
        <w:tc>
          <w:tcPr>
            <w:tcW w:w="1148" w:type="dxa"/>
            <w:vAlign w:val="center"/>
          </w:tcPr>
          <w:p w14:paraId="5B34A0D2" w14:textId="5EF30AAD" w:rsidR="0017071F" w:rsidRDefault="0017071F" w:rsidP="00F62690">
            <w:pPr>
              <w:spacing w:line="240" w:lineRule="auto"/>
              <w:jc w:val="center"/>
            </w:pPr>
            <w:r w:rsidRPr="0051754D">
              <w:t>19.1</w:t>
            </w:r>
          </w:p>
        </w:tc>
        <w:tc>
          <w:tcPr>
            <w:tcW w:w="1083" w:type="dxa"/>
            <w:vAlign w:val="center"/>
          </w:tcPr>
          <w:p w14:paraId="792C3DC5" w14:textId="2CED7C9E" w:rsidR="0017071F" w:rsidRDefault="0017071F" w:rsidP="00F62690">
            <w:pPr>
              <w:spacing w:line="240" w:lineRule="auto"/>
              <w:jc w:val="center"/>
            </w:pPr>
            <w:r w:rsidRPr="0051754D">
              <w:t>20.9</w:t>
            </w:r>
          </w:p>
        </w:tc>
      </w:tr>
    </w:tbl>
    <w:p w14:paraId="7552464C" w14:textId="77777777" w:rsidR="0024131B" w:rsidRDefault="0024131B" w:rsidP="0051754D">
      <w:pPr>
        <w:pStyle w:val="NoSpacing"/>
        <w:rPr>
          <w:b w:val="0"/>
          <w:bCs/>
        </w:rPr>
      </w:pPr>
      <w:bookmarkStart w:id="105" w:name="_Ref118790879"/>
    </w:p>
    <w:p w14:paraId="57EB44BD" w14:textId="1697D7D5" w:rsidR="0051754D" w:rsidRPr="00DF2BBA" w:rsidRDefault="003F2BDC" w:rsidP="0051754D">
      <w:pPr>
        <w:pStyle w:val="NoSpacing"/>
      </w:pPr>
      <w:bookmarkStart w:id="106" w:name="_Toc121470309"/>
      <w:r w:rsidRPr="00DF2BBA">
        <w:t xml:space="preserve">Table </w:t>
      </w:r>
      <w:fldSimple w:instr=" SEQ Table \* ARABIC ">
        <w:r w:rsidR="002F3906">
          <w:rPr>
            <w:noProof/>
          </w:rPr>
          <w:t>2</w:t>
        </w:r>
      </w:fldSimple>
      <w:bookmarkEnd w:id="105"/>
      <w:r w:rsidR="0051754D" w:rsidRPr="00DF2BBA">
        <w:t xml:space="preserve"> - Mineralogy, TOC, and porosity of Bone Spring sandstone samples used in this study</w:t>
      </w:r>
      <w:r w:rsidR="00CD24E4" w:rsidRPr="00DF2BBA">
        <w:t xml:space="preserve"> for </w:t>
      </w:r>
      <w:r w:rsidR="003951EE">
        <w:t>imbibition</w:t>
      </w:r>
      <w:r w:rsidR="00CD24E4" w:rsidRPr="00DF2BBA">
        <w:t xml:space="preserve"> experiments.</w:t>
      </w:r>
      <w:bookmarkEnd w:id="106"/>
    </w:p>
    <w:p w14:paraId="293C3792" w14:textId="7481D8A3" w:rsidR="00CC3B37" w:rsidRDefault="00CC3B37" w:rsidP="006B08E5">
      <w:pPr>
        <w:pStyle w:val="NoSpacing"/>
      </w:pPr>
    </w:p>
    <w:p w14:paraId="3460D1F0" w14:textId="77777777" w:rsidR="00D3485E" w:rsidRDefault="00D3485E" w:rsidP="006B08E5">
      <w:pPr>
        <w:pStyle w:val="NoSpacing"/>
      </w:pPr>
    </w:p>
    <w:tbl>
      <w:tblPr>
        <w:tblW w:w="6500" w:type="dxa"/>
        <w:jc w:val="center"/>
        <w:tblLook w:val="04A0" w:firstRow="1" w:lastRow="0" w:firstColumn="1" w:lastColumn="0" w:noHBand="0" w:noVBand="1"/>
      </w:tblPr>
      <w:tblGrid>
        <w:gridCol w:w="1300"/>
        <w:gridCol w:w="1300"/>
        <w:gridCol w:w="1300"/>
        <w:gridCol w:w="1300"/>
        <w:gridCol w:w="1300"/>
      </w:tblGrid>
      <w:tr w:rsidR="00CC3B37" w:rsidRPr="00CC3B37" w14:paraId="34F38240" w14:textId="77777777" w:rsidTr="00CC3B37">
        <w:trPr>
          <w:trHeight w:val="432"/>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6EFAA" w14:textId="0BDB3093" w:rsidR="00CC3B37" w:rsidRPr="00CC3B37" w:rsidRDefault="002F6B28" w:rsidP="00CC3B37">
            <w:pPr>
              <w:spacing w:line="240" w:lineRule="auto"/>
              <w:jc w:val="center"/>
              <w:rPr>
                <w:rFonts w:cs="Times New Roman"/>
                <w:color w:val="000000"/>
              </w:rPr>
            </w:pPr>
            <w:r>
              <w:rPr>
                <w:rFonts w:cs="Times New Roman"/>
                <w:color w:val="000000"/>
              </w:rPr>
              <w:t xml:space="preserve">Sample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BB53C40" w14:textId="48ACFDC2" w:rsidR="00CC3B37" w:rsidRPr="00CC3B37" w:rsidRDefault="00CC3B37" w:rsidP="00CC3B37">
            <w:pPr>
              <w:spacing w:line="240" w:lineRule="auto"/>
              <w:jc w:val="center"/>
              <w:rPr>
                <w:rFonts w:cs="Times New Roman"/>
                <w:color w:val="000000"/>
              </w:rPr>
            </w:pPr>
            <w:r w:rsidRPr="00CC3B37">
              <w:rPr>
                <w:rFonts w:cs="Times New Roman"/>
                <w:color w:val="000000"/>
              </w:rPr>
              <w:t xml:space="preserve">Quartz </w:t>
            </w:r>
            <w:r w:rsidRPr="00CC3B37">
              <w:rPr>
                <w:rFonts w:cs="Times New Roman"/>
              </w:rPr>
              <w:t>(wt.%)</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2D547E1" w14:textId="4AC09E09" w:rsidR="00CC3B37" w:rsidRPr="00CC3B37" w:rsidRDefault="00CC3B37" w:rsidP="00CC3B37">
            <w:pPr>
              <w:spacing w:line="240" w:lineRule="auto"/>
              <w:jc w:val="center"/>
              <w:rPr>
                <w:rFonts w:cs="Times New Roman"/>
                <w:color w:val="000000"/>
              </w:rPr>
            </w:pPr>
            <w:r w:rsidRPr="00CC3B37">
              <w:rPr>
                <w:rFonts w:cs="Times New Roman"/>
                <w:color w:val="000000"/>
              </w:rPr>
              <w:t xml:space="preserve">Clays </w:t>
            </w:r>
            <w:r w:rsidRPr="00CC3B37">
              <w:rPr>
                <w:rFonts w:cs="Times New Roman"/>
              </w:rPr>
              <w:t>(wt.%)</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B335A68" w14:textId="527F9AEA" w:rsidR="00CC3B37" w:rsidRPr="00CC3B37" w:rsidRDefault="00CC3B37" w:rsidP="00CC3B37">
            <w:pPr>
              <w:spacing w:line="240" w:lineRule="auto"/>
              <w:jc w:val="center"/>
              <w:rPr>
                <w:rFonts w:cs="Times New Roman"/>
                <w:color w:val="000000"/>
              </w:rPr>
            </w:pPr>
            <w:r w:rsidRPr="00CC3B37">
              <w:rPr>
                <w:rFonts w:cs="Times New Roman"/>
                <w:color w:val="000000"/>
              </w:rPr>
              <w:t xml:space="preserve">Carbonates </w:t>
            </w:r>
            <w:r w:rsidRPr="00CC3B37">
              <w:rPr>
                <w:rFonts w:cs="Times New Roman"/>
              </w:rPr>
              <w:t>(wt.%)</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C200F30" w14:textId="778415E6" w:rsidR="00CC3B37" w:rsidRPr="00CC3B37" w:rsidRDefault="00CC3B37" w:rsidP="00CC3B37">
            <w:pPr>
              <w:spacing w:line="240" w:lineRule="auto"/>
              <w:jc w:val="center"/>
              <w:rPr>
                <w:rFonts w:cs="Times New Roman"/>
                <w:color w:val="000000"/>
              </w:rPr>
            </w:pPr>
            <w:r w:rsidRPr="00CC3B37">
              <w:rPr>
                <w:rFonts w:cs="Times New Roman"/>
                <w:color w:val="000000"/>
              </w:rPr>
              <w:t xml:space="preserve">Feldspars </w:t>
            </w:r>
            <w:r w:rsidRPr="00CC3B37">
              <w:rPr>
                <w:rFonts w:cs="Times New Roman"/>
              </w:rPr>
              <w:t>(wt.%)</w:t>
            </w:r>
          </w:p>
        </w:tc>
      </w:tr>
      <w:tr w:rsidR="00CC3B37" w:rsidRPr="00CC3B37" w14:paraId="5EFB75C5" w14:textId="77777777" w:rsidTr="00832C5D">
        <w:trPr>
          <w:trHeight w:hRule="exact" w:val="432"/>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CD8949B" w14:textId="1665779B" w:rsidR="00CC3B37" w:rsidRPr="00CC3B37" w:rsidRDefault="002F6B28" w:rsidP="00CC3B37">
            <w:pPr>
              <w:spacing w:line="240" w:lineRule="auto"/>
              <w:jc w:val="center"/>
              <w:rPr>
                <w:rFonts w:cs="Times New Roman"/>
                <w:color w:val="000000"/>
              </w:rPr>
            </w:pPr>
            <w:r>
              <w:rPr>
                <w:rFonts w:cs="Times New Roman"/>
                <w:color w:val="000000"/>
              </w:rPr>
              <w:t>BS 1</w:t>
            </w:r>
          </w:p>
        </w:tc>
        <w:tc>
          <w:tcPr>
            <w:tcW w:w="1300" w:type="dxa"/>
            <w:tcBorders>
              <w:top w:val="nil"/>
              <w:left w:val="nil"/>
              <w:bottom w:val="single" w:sz="4" w:space="0" w:color="auto"/>
              <w:right w:val="single" w:sz="4" w:space="0" w:color="auto"/>
            </w:tcBorders>
            <w:shd w:val="clear" w:color="auto" w:fill="auto"/>
            <w:noWrap/>
            <w:vAlign w:val="center"/>
            <w:hideMark/>
          </w:tcPr>
          <w:p w14:paraId="1BCA09D4" w14:textId="77777777" w:rsidR="00CC3B37" w:rsidRPr="00CC3B37" w:rsidRDefault="00CC3B37" w:rsidP="00CC3B37">
            <w:pPr>
              <w:spacing w:line="240" w:lineRule="auto"/>
              <w:jc w:val="center"/>
              <w:rPr>
                <w:rFonts w:cs="Times New Roman"/>
                <w:color w:val="000000"/>
              </w:rPr>
            </w:pPr>
            <w:r w:rsidRPr="00CC3B37">
              <w:rPr>
                <w:rFonts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center"/>
            <w:hideMark/>
          </w:tcPr>
          <w:p w14:paraId="30E7C5E2" w14:textId="77777777" w:rsidR="00CC3B37" w:rsidRPr="00CC3B37" w:rsidRDefault="00CC3B37" w:rsidP="00CC3B37">
            <w:pPr>
              <w:spacing w:line="240" w:lineRule="auto"/>
              <w:jc w:val="center"/>
              <w:rPr>
                <w:rFonts w:cs="Times New Roman"/>
                <w:color w:val="000000"/>
              </w:rPr>
            </w:pPr>
            <w:r w:rsidRPr="00CC3B37">
              <w:rPr>
                <w:rFonts w:cs="Times New Roman"/>
                <w:color w:val="000000"/>
              </w:rPr>
              <w:t>11</w:t>
            </w:r>
          </w:p>
        </w:tc>
        <w:tc>
          <w:tcPr>
            <w:tcW w:w="1300" w:type="dxa"/>
            <w:tcBorders>
              <w:top w:val="nil"/>
              <w:left w:val="nil"/>
              <w:bottom w:val="single" w:sz="4" w:space="0" w:color="auto"/>
              <w:right w:val="single" w:sz="4" w:space="0" w:color="auto"/>
            </w:tcBorders>
            <w:shd w:val="clear" w:color="auto" w:fill="auto"/>
            <w:noWrap/>
            <w:vAlign w:val="center"/>
            <w:hideMark/>
          </w:tcPr>
          <w:p w14:paraId="469F4DF6" w14:textId="77777777" w:rsidR="00CC3B37" w:rsidRPr="00CC3B37" w:rsidRDefault="00CC3B37" w:rsidP="00CC3B37">
            <w:pPr>
              <w:spacing w:line="240" w:lineRule="auto"/>
              <w:jc w:val="center"/>
              <w:rPr>
                <w:rFonts w:cs="Times New Roman"/>
                <w:color w:val="000000"/>
              </w:rPr>
            </w:pPr>
            <w:r w:rsidRPr="00CC3B37">
              <w:rPr>
                <w:rFonts w:cs="Times New Roman"/>
                <w:color w:val="000000"/>
              </w:rPr>
              <w:t>6</w:t>
            </w:r>
          </w:p>
        </w:tc>
        <w:tc>
          <w:tcPr>
            <w:tcW w:w="1300" w:type="dxa"/>
            <w:tcBorders>
              <w:top w:val="nil"/>
              <w:left w:val="nil"/>
              <w:bottom w:val="single" w:sz="4" w:space="0" w:color="auto"/>
              <w:right w:val="single" w:sz="4" w:space="0" w:color="auto"/>
            </w:tcBorders>
            <w:shd w:val="clear" w:color="auto" w:fill="auto"/>
            <w:noWrap/>
            <w:vAlign w:val="center"/>
            <w:hideMark/>
          </w:tcPr>
          <w:p w14:paraId="687EAE8E" w14:textId="77777777" w:rsidR="00CC3B37" w:rsidRPr="00CC3B37" w:rsidRDefault="00CC3B37" w:rsidP="00CC3B37">
            <w:pPr>
              <w:spacing w:line="240" w:lineRule="auto"/>
              <w:jc w:val="center"/>
              <w:rPr>
                <w:rFonts w:cs="Times New Roman"/>
                <w:color w:val="000000"/>
              </w:rPr>
            </w:pPr>
            <w:r w:rsidRPr="00CC3B37">
              <w:rPr>
                <w:rFonts w:cs="Times New Roman"/>
                <w:color w:val="000000"/>
              </w:rPr>
              <w:t>23</w:t>
            </w:r>
          </w:p>
        </w:tc>
      </w:tr>
      <w:tr w:rsidR="00CC3B37" w:rsidRPr="00CC3B37" w14:paraId="2F7A8098" w14:textId="77777777" w:rsidTr="00832C5D">
        <w:trPr>
          <w:trHeight w:hRule="exact" w:val="432"/>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FE1EDE4" w14:textId="394F0582" w:rsidR="00CC3B37" w:rsidRPr="00CC3B37" w:rsidRDefault="002F6B28" w:rsidP="00CC3B37">
            <w:pPr>
              <w:spacing w:line="240" w:lineRule="auto"/>
              <w:jc w:val="center"/>
              <w:rPr>
                <w:rFonts w:cs="Times New Roman"/>
                <w:color w:val="000000"/>
              </w:rPr>
            </w:pPr>
            <w:r>
              <w:rPr>
                <w:rFonts w:cs="Times New Roman"/>
                <w:color w:val="000000"/>
              </w:rPr>
              <w:t>BS 2</w:t>
            </w:r>
          </w:p>
        </w:tc>
        <w:tc>
          <w:tcPr>
            <w:tcW w:w="1300" w:type="dxa"/>
            <w:tcBorders>
              <w:top w:val="nil"/>
              <w:left w:val="nil"/>
              <w:bottom w:val="single" w:sz="4" w:space="0" w:color="auto"/>
              <w:right w:val="single" w:sz="4" w:space="0" w:color="auto"/>
            </w:tcBorders>
            <w:shd w:val="clear" w:color="auto" w:fill="auto"/>
            <w:noWrap/>
            <w:vAlign w:val="center"/>
            <w:hideMark/>
          </w:tcPr>
          <w:p w14:paraId="4970302D" w14:textId="77777777" w:rsidR="00CC3B37" w:rsidRPr="00CC3B37" w:rsidRDefault="00CC3B37" w:rsidP="00CC3B37">
            <w:pPr>
              <w:spacing w:line="240" w:lineRule="auto"/>
              <w:jc w:val="center"/>
              <w:rPr>
                <w:rFonts w:cs="Times New Roman"/>
                <w:color w:val="000000"/>
              </w:rPr>
            </w:pPr>
            <w:r w:rsidRPr="00CC3B37">
              <w:rPr>
                <w:rFonts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center"/>
            <w:hideMark/>
          </w:tcPr>
          <w:p w14:paraId="6FF4FAFF" w14:textId="77777777" w:rsidR="00CC3B37" w:rsidRPr="00CC3B37" w:rsidRDefault="00CC3B37" w:rsidP="00CC3B37">
            <w:pPr>
              <w:spacing w:line="240" w:lineRule="auto"/>
              <w:jc w:val="center"/>
              <w:rPr>
                <w:rFonts w:cs="Times New Roman"/>
                <w:color w:val="000000"/>
              </w:rPr>
            </w:pPr>
            <w:r w:rsidRPr="00CC3B37">
              <w:rPr>
                <w:rFonts w:cs="Times New Roman"/>
                <w:color w:val="000000"/>
              </w:rPr>
              <w:t>21</w:t>
            </w:r>
          </w:p>
        </w:tc>
        <w:tc>
          <w:tcPr>
            <w:tcW w:w="1300" w:type="dxa"/>
            <w:tcBorders>
              <w:top w:val="nil"/>
              <w:left w:val="nil"/>
              <w:bottom w:val="single" w:sz="4" w:space="0" w:color="auto"/>
              <w:right w:val="single" w:sz="4" w:space="0" w:color="auto"/>
            </w:tcBorders>
            <w:shd w:val="clear" w:color="auto" w:fill="auto"/>
            <w:noWrap/>
            <w:vAlign w:val="center"/>
            <w:hideMark/>
          </w:tcPr>
          <w:p w14:paraId="244E01DF" w14:textId="77777777" w:rsidR="00CC3B37" w:rsidRPr="00CC3B37" w:rsidRDefault="00CC3B37" w:rsidP="00CC3B37">
            <w:pPr>
              <w:spacing w:line="240" w:lineRule="auto"/>
              <w:jc w:val="center"/>
              <w:rPr>
                <w:rFonts w:cs="Times New Roman"/>
                <w:color w:val="000000"/>
              </w:rPr>
            </w:pPr>
            <w:r w:rsidRPr="00CC3B37">
              <w:rPr>
                <w:rFonts w:cs="Times New Roman"/>
                <w:color w:val="000000"/>
              </w:rPr>
              <w:t>0</w:t>
            </w:r>
          </w:p>
        </w:tc>
        <w:tc>
          <w:tcPr>
            <w:tcW w:w="1300" w:type="dxa"/>
            <w:tcBorders>
              <w:top w:val="nil"/>
              <w:left w:val="nil"/>
              <w:bottom w:val="single" w:sz="4" w:space="0" w:color="auto"/>
              <w:right w:val="single" w:sz="4" w:space="0" w:color="auto"/>
            </w:tcBorders>
            <w:shd w:val="clear" w:color="auto" w:fill="auto"/>
            <w:noWrap/>
            <w:vAlign w:val="center"/>
            <w:hideMark/>
          </w:tcPr>
          <w:p w14:paraId="5FAA9DF4" w14:textId="77777777" w:rsidR="00CC3B37" w:rsidRPr="00CC3B37" w:rsidRDefault="00CC3B37" w:rsidP="00CC3B37">
            <w:pPr>
              <w:spacing w:line="240" w:lineRule="auto"/>
              <w:jc w:val="center"/>
              <w:rPr>
                <w:rFonts w:cs="Times New Roman"/>
                <w:color w:val="000000"/>
              </w:rPr>
            </w:pPr>
            <w:r w:rsidRPr="00CC3B37">
              <w:rPr>
                <w:rFonts w:cs="Times New Roman"/>
                <w:color w:val="000000"/>
              </w:rPr>
              <w:t>18</w:t>
            </w:r>
          </w:p>
        </w:tc>
      </w:tr>
      <w:tr w:rsidR="00CC3B37" w:rsidRPr="00CC3B37" w14:paraId="60F9042D" w14:textId="77777777" w:rsidTr="00832C5D">
        <w:trPr>
          <w:trHeight w:hRule="exact" w:val="432"/>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9A410BA" w14:textId="065A98AF" w:rsidR="00CC3B37" w:rsidRPr="00CC3B37" w:rsidRDefault="002F6B28" w:rsidP="00CC3B37">
            <w:pPr>
              <w:spacing w:line="240" w:lineRule="auto"/>
              <w:jc w:val="center"/>
              <w:rPr>
                <w:rFonts w:cs="Times New Roman"/>
                <w:color w:val="000000"/>
              </w:rPr>
            </w:pPr>
            <w:r>
              <w:rPr>
                <w:rFonts w:cs="Times New Roman"/>
                <w:color w:val="000000"/>
              </w:rPr>
              <w:t>BS 3</w:t>
            </w:r>
          </w:p>
        </w:tc>
        <w:tc>
          <w:tcPr>
            <w:tcW w:w="1300" w:type="dxa"/>
            <w:tcBorders>
              <w:top w:val="nil"/>
              <w:left w:val="nil"/>
              <w:bottom w:val="single" w:sz="4" w:space="0" w:color="auto"/>
              <w:right w:val="single" w:sz="4" w:space="0" w:color="auto"/>
            </w:tcBorders>
            <w:shd w:val="clear" w:color="auto" w:fill="auto"/>
            <w:noWrap/>
            <w:vAlign w:val="center"/>
            <w:hideMark/>
          </w:tcPr>
          <w:p w14:paraId="76226A50" w14:textId="77777777" w:rsidR="00CC3B37" w:rsidRPr="00CC3B37" w:rsidRDefault="00CC3B37" w:rsidP="00CC3B37">
            <w:pPr>
              <w:spacing w:line="240" w:lineRule="auto"/>
              <w:jc w:val="center"/>
              <w:rPr>
                <w:rFonts w:cs="Times New Roman"/>
                <w:color w:val="000000"/>
              </w:rPr>
            </w:pPr>
            <w:r w:rsidRPr="00CC3B37">
              <w:rPr>
                <w:rFonts w:cs="Times New Roman"/>
                <w:color w:val="000000"/>
              </w:rPr>
              <w:t>48</w:t>
            </w:r>
          </w:p>
        </w:tc>
        <w:tc>
          <w:tcPr>
            <w:tcW w:w="1300" w:type="dxa"/>
            <w:tcBorders>
              <w:top w:val="nil"/>
              <w:left w:val="nil"/>
              <w:bottom w:val="single" w:sz="4" w:space="0" w:color="auto"/>
              <w:right w:val="single" w:sz="4" w:space="0" w:color="auto"/>
            </w:tcBorders>
            <w:shd w:val="clear" w:color="auto" w:fill="auto"/>
            <w:noWrap/>
            <w:vAlign w:val="center"/>
            <w:hideMark/>
          </w:tcPr>
          <w:p w14:paraId="2155687D" w14:textId="77777777" w:rsidR="00CC3B37" w:rsidRPr="00CC3B37" w:rsidRDefault="00CC3B37" w:rsidP="00CC3B37">
            <w:pPr>
              <w:spacing w:line="240" w:lineRule="auto"/>
              <w:jc w:val="center"/>
              <w:rPr>
                <w:rFonts w:cs="Times New Roman"/>
                <w:color w:val="000000"/>
              </w:rPr>
            </w:pPr>
            <w:r w:rsidRPr="00CC3B37">
              <w:rPr>
                <w:rFonts w:cs="Times New Roman"/>
                <w:color w:val="000000"/>
              </w:rPr>
              <w:t>27</w:t>
            </w:r>
          </w:p>
        </w:tc>
        <w:tc>
          <w:tcPr>
            <w:tcW w:w="1300" w:type="dxa"/>
            <w:tcBorders>
              <w:top w:val="nil"/>
              <w:left w:val="nil"/>
              <w:bottom w:val="single" w:sz="4" w:space="0" w:color="auto"/>
              <w:right w:val="single" w:sz="4" w:space="0" w:color="auto"/>
            </w:tcBorders>
            <w:shd w:val="clear" w:color="auto" w:fill="auto"/>
            <w:noWrap/>
            <w:vAlign w:val="center"/>
            <w:hideMark/>
          </w:tcPr>
          <w:p w14:paraId="64964CC3" w14:textId="77777777" w:rsidR="00CC3B37" w:rsidRPr="00CC3B37" w:rsidRDefault="00CC3B37" w:rsidP="00CC3B37">
            <w:pPr>
              <w:spacing w:line="240" w:lineRule="auto"/>
              <w:jc w:val="center"/>
              <w:rPr>
                <w:rFonts w:cs="Times New Roman"/>
                <w:color w:val="000000"/>
              </w:rPr>
            </w:pPr>
            <w:r w:rsidRPr="00CC3B37">
              <w:rPr>
                <w:rFonts w:cs="Times New Roman"/>
                <w:color w:val="000000"/>
              </w:rPr>
              <w:t>2</w:t>
            </w:r>
          </w:p>
        </w:tc>
        <w:tc>
          <w:tcPr>
            <w:tcW w:w="1300" w:type="dxa"/>
            <w:tcBorders>
              <w:top w:val="nil"/>
              <w:left w:val="nil"/>
              <w:bottom w:val="single" w:sz="4" w:space="0" w:color="auto"/>
              <w:right w:val="single" w:sz="4" w:space="0" w:color="auto"/>
            </w:tcBorders>
            <w:shd w:val="clear" w:color="auto" w:fill="auto"/>
            <w:noWrap/>
            <w:vAlign w:val="center"/>
            <w:hideMark/>
          </w:tcPr>
          <w:p w14:paraId="750BCE5F" w14:textId="77777777" w:rsidR="00CC3B37" w:rsidRPr="00CC3B37" w:rsidRDefault="00CC3B37" w:rsidP="00CC3B37">
            <w:pPr>
              <w:spacing w:line="240" w:lineRule="auto"/>
              <w:jc w:val="center"/>
              <w:rPr>
                <w:rFonts w:cs="Times New Roman"/>
                <w:color w:val="000000"/>
              </w:rPr>
            </w:pPr>
            <w:r w:rsidRPr="00CC3B37">
              <w:rPr>
                <w:rFonts w:cs="Times New Roman"/>
                <w:color w:val="000000"/>
              </w:rPr>
              <w:t>13</w:t>
            </w:r>
          </w:p>
        </w:tc>
      </w:tr>
      <w:tr w:rsidR="00CC3B37" w:rsidRPr="00CC3B37" w14:paraId="131A3110" w14:textId="77777777" w:rsidTr="00832C5D">
        <w:trPr>
          <w:trHeight w:hRule="exact" w:val="432"/>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C222151" w14:textId="2198148B" w:rsidR="00CC3B37" w:rsidRPr="00CC3B37" w:rsidRDefault="002F6B28" w:rsidP="00CC3B37">
            <w:pPr>
              <w:spacing w:line="240" w:lineRule="auto"/>
              <w:jc w:val="center"/>
              <w:rPr>
                <w:rFonts w:cs="Times New Roman"/>
                <w:color w:val="000000"/>
              </w:rPr>
            </w:pPr>
            <w:r>
              <w:rPr>
                <w:rFonts w:cs="Times New Roman"/>
                <w:color w:val="000000"/>
              </w:rPr>
              <w:t>BS 4</w:t>
            </w:r>
          </w:p>
        </w:tc>
        <w:tc>
          <w:tcPr>
            <w:tcW w:w="1300" w:type="dxa"/>
            <w:tcBorders>
              <w:top w:val="nil"/>
              <w:left w:val="nil"/>
              <w:bottom w:val="single" w:sz="4" w:space="0" w:color="auto"/>
              <w:right w:val="single" w:sz="4" w:space="0" w:color="auto"/>
            </w:tcBorders>
            <w:shd w:val="clear" w:color="auto" w:fill="auto"/>
            <w:noWrap/>
            <w:vAlign w:val="center"/>
            <w:hideMark/>
          </w:tcPr>
          <w:p w14:paraId="5464FAA3" w14:textId="77777777" w:rsidR="00CC3B37" w:rsidRPr="00CC3B37" w:rsidRDefault="00CC3B37" w:rsidP="00CC3B37">
            <w:pPr>
              <w:spacing w:line="240" w:lineRule="auto"/>
              <w:jc w:val="center"/>
              <w:rPr>
                <w:rFonts w:cs="Times New Roman"/>
                <w:color w:val="000000"/>
              </w:rPr>
            </w:pPr>
            <w:r w:rsidRPr="00CC3B37">
              <w:rPr>
                <w:rFonts w:cs="Times New Roman"/>
                <w:color w:val="000000"/>
              </w:rPr>
              <w:t>51</w:t>
            </w:r>
          </w:p>
        </w:tc>
        <w:tc>
          <w:tcPr>
            <w:tcW w:w="1300" w:type="dxa"/>
            <w:tcBorders>
              <w:top w:val="nil"/>
              <w:left w:val="nil"/>
              <w:bottom w:val="single" w:sz="4" w:space="0" w:color="auto"/>
              <w:right w:val="single" w:sz="4" w:space="0" w:color="auto"/>
            </w:tcBorders>
            <w:shd w:val="clear" w:color="auto" w:fill="auto"/>
            <w:noWrap/>
            <w:vAlign w:val="center"/>
            <w:hideMark/>
          </w:tcPr>
          <w:p w14:paraId="40F033BB" w14:textId="77777777" w:rsidR="00CC3B37" w:rsidRPr="00CC3B37" w:rsidRDefault="00CC3B37" w:rsidP="00CC3B37">
            <w:pPr>
              <w:spacing w:line="240" w:lineRule="auto"/>
              <w:jc w:val="center"/>
              <w:rPr>
                <w:rFonts w:cs="Times New Roman"/>
                <w:color w:val="000000"/>
              </w:rPr>
            </w:pPr>
            <w:r w:rsidRPr="00CC3B37">
              <w:rPr>
                <w:rFonts w:cs="Times New Roman"/>
                <w:color w:val="000000"/>
              </w:rPr>
              <w:t>35</w:t>
            </w:r>
          </w:p>
        </w:tc>
        <w:tc>
          <w:tcPr>
            <w:tcW w:w="1300" w:type="dxa"/>
            <w:tcBorders>
              <w:top w:val="nil"/>
              <w:left w:val="nil"/>
              <w:bottom w:val="single" w:sz="4" w:space="0" w:color="auto"/>
              <w:right w:val="single" w:sz="4" w:space="0" w:color="auto"/>
            </w:tcBorders>
            <w:shd w:val="clear" w:color="auto" w:fill="auto"/>
            <w:noWrap/>
            <w:vAlign w:val="center"/>
            <w:hideMark/>
          </w:tcPr>
          <w:p w14:paraId="59FD51B7" w14:textId="77777777" w:rsidR="00CC3B37" w:rsidRPr="00CC3B37" w:rsidRDefault="00CC3B37" w:rsidP="00CC3B37">
            <w:pPr>
              <w:spacing w:line="240" w:lineRule="auto"/>
              <w:jc w:val="center"/>
              <w:rPr>
                <w:rFonts w:cs="Times New Roman"/>
                <w:color w:val="000000"/>
              </w:rPr>
            </w:pPr>
            <w:r w:rsidRPr="00CC3B37">
              <w:rPr>
                <w:rFonts w:cs="Times New Roman"/>
                <w:color w:val="000000"/>
              </w:rPr>
              <w:t>8</w:t>
            </w:r>
          </w:p>
        </w:tc>
        <w:tc>
          <w:tcPr>
            <w:tcW w:w="1300" w:type="dxa"/>
            <w:tcBorders>
              <w:top w:val="nil"/>
              <w:left w:val="nil"/>
              <w:bottom w:val="single" w:sz="4" w:space="0" w:color="auto"/>
              <w:right w:val="single" w:sz="4" w:space="0" w:color="auto"/>
            </w:tcBorders>
            <w:shd w:val="clear" w:color="auto" w:fill="auto"/>
            <w:noWrap/>
            <w:vAlign w:val="center"/>
            <w:hideMark/>
          </w:tcPr>
          <w:p w14:paraId="6634CFF1" w14:textId="77777777" w:rsidR="00CC3B37" w:rsidRPr="00CC3B37" w:rsidRDefault="00CC3B37" w:rsidP="00CC3B37">
            <w:pPr>
              <w:spacing w:line="240" w:lineRule="auto"/>
              <w:jc w:val="center"/>
              <w:rPr>
                <w:rFonts w:cs="Times New Roman"/>
                <w:color w:val="000000"/>
              </w:rPr>
            </w:pPr>
            <w:r w:rsidRPr="00CC3B37">
              <w:rPr>
                <w:rFonts w:cs="Times New Roman"/>
                <w:color w:val="000000"/>
              </w:rPr>
              <w:t>5</w:t>
            </w:r>
          </w:p>
        </w:tc>
      </w:tr>
      <w:tr w:rsidR="00CC3B37" w:rsidRPr="00CC3B37" w14:paraId="529B99FB" w14:textId="77777777" w:rsidTr="00832C5D">
        <w:trPr>
          <w:trHeight w:hRule="exact" w:val="432"/>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ED8E47D" w14:textId="525CAAE9" w:rsidR="00CC3B37" w:rsidRPr="00CC3B37" w:rsidRDefault="002F6B28" w:rsidP="00CC3B37">
            <w:pPr>
              <w:spacing w:line="240" w:lineRule="auto"/>
              <w:jc w:val="center"/>
              <w:rPr>
                <w:rFonts w:cs="Times New Roman"/>
                <w:color w:val="000000"/>
              </w:rPr>
            </w:pPr>
            <w:r>
              <w:rPr>
                <w:rFonts w:cs="Times New Roman"/>
                <w:color w:val="000000"/>
              </w:rPr>
              <w:t>BS 5</w:t>
            </w:r>
          </w:p>
        </w:tc>
        <w:tc>
          <w:tcPr>
            <w:tcW w:w="1300" w:type="dxa"/>
            <w:tcBorders>
              <w:top w:val="nil"/>
              <w:left w:val="nil"/>
              <w:bottom w:val="single" w:sz="4" w:space="0" w:color="auto"/>
              <w:right w:val="single" w:sz="4" w:space="0" w:color="auto"/>
            </w:tcBorders>
            <w:shd w:val="clear" w:color="auto" w:fill="auto"/>
            <w:noWrap/>
            <w:vAlign w:val="center"/>
            <w:hideMark/>
          </w:tcPr>
          <w:p w14:paraId="11C279A9" w14:textId="77777777" w:rsidR="00CC3B37" w:rsidRPr="00CC3B37" w:rsidRDefault="00CC3B37" w:rsidP="00CC3B37">
            <w:pPr>
              <w:spacing w:line="240" w:lineRule="auto"/>
              <w:jc w:val="center"/>
              <w:rPr>
                <w:rFonts w:cs="Times New Roman"/>
                <w:color w:val="000000"/>
              </w:rPr>
            </w:pPr>
            <w:r w:rsidRPr="00CC3B37">
              <w:rPr>
                <w:rFonts w:cs="Times New Roman"/>
                <w:color w:val="000000"/>
              </w:rPr>
              <w:t>28</w:t>
            </w:r>
          </w:p>
        </w:tc>
        <w:tc>
          <w:tcPr>
            <w:tcW w:w="1300" w:type="dxa"/>
            <w:tcBorders>
              <w:top w:val="nil"/>
              <w:left w:val="nil"/>
              <w:bottom w:val="single" w:sz="4" w:space="0" w:color="auto"/>
              <w:right w:val="single" w:sz="4" w:space="0" w:color="auto"/>
            </w:tcBorders>
            <w:shd w:val="clear" w:color="auto" w:fill="auto"/>
            <w:noWrap/>
            <w:vAlign w:val="center"/>
            <w:hideMark/>
          </w:tcPr>
          <w:p w14:paraId="6CC211BF" w14:textId="77777777" w:rsidR="00CC3B37" w:rsidRPr="00CC3B37" w:rsidRDefault="00CC3B37" w:rsidP="00CC3B37">
            <w:pPr>
              <w:spacing w:line="240" w:lineRule="auto"/>
              <w:jc w:val="center"/>
              <w:rPr>
                <w:rFonts w:cs="Times New Roman"/>
                <w:color w:val="000000"/>
              </w:rPr>
            </w:pPr>
            <w:r w:rsidRPr="00CC3B37">
              <w:rPr>
                <w:rFonts w:cs="Times New Roman"/>
                <w:color w:val="000000"/>
              </w:rPr>
              <w:t>50</w:t>
            </w:r>
          </w:p>
        </w:tc>
        <w:tc>
          <w:tcPr>
            <w:tcW w:w="1300" w:type="dxa"/>
            <w:tcBorders>
              <w:top w:val="nil"/>
              <w:left w:val="nil"/>
              <w:bottom w:val="single" w:sz="4" w:space="0" w:color="auto"/>
              <w:right w:val="single" w:sz="4" w:space="0" w:color="auto"/>
            </w:tcBorders>
            <w:shd w:val="clear" w:color="auto" w:fill="auto"/>
            <w:noWrap/>
            <w:vAlign w:val="center"/>
            <w:hideMark/>
          </w:tcPr>
          <w:p w14:paraId="6C2FC5EB" w14:textId="77777777" w:rsidR="00CC3B37" w:rsidRPr="00CC3B37" w:rsidRDefault="00CC3B37" w:rsidP="00CC3B37">
            <w:pPr>
              <w:spacing w:line="240" w:lineRule="auto"/>
              <w:jc w:val="center"/>
              <w:rPr>
                <w:rFonts w:cs="Times New Roman"/>
                <w:color w:val="000000"/>
              </w:rPr>
            </w:pPr>
            <w:r w:rsidRPr="00CC3B37">
              <w:rPr>
                <w:rFonts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center"/>
            <w:hideMark/>
          </w:tcPr>
          <w:p w14:paraId="7FC8BA2F" w14:textId="77777777" w:rsidR="00CC3B37" w:rsidRPr="00CC3B37" w:rsidRDefault="00CC3B37" w:rsidP="00CC3B37">
            <w:pPr>
              <w:keepNext/>
              <w:spacing w:line="240" w:lineRule="auto"/>
              <w:jc w:val="center"/>
              <w:rPr>
                <w:rFonts w:cs="Times New Roman"/>
                <w:color w:val="000000"/>
              </w:rPr>
            </w:pPr>
            <w:r w:rsidRPr="00CC3B37">
              <w:rPr>
                <w:rFonts w:cs="Times New Roman"/>
                <w:color w:val="000000"/>
              </w:rPr>
              <w:t>5</w:t>
            </w:r>
          </w:p>
        </w:tc>
      </w:tr>
    </w:tbl>
    <w:p w14:paraId="3EBE9E67" w14:textId="77777777" w:rsidR="00CC3B37" w:rsidRDefault="00CC3B37" w:rsidP="00F8072F">
      <w:pPr>
        <w:pStyle w:val="NoSpacing"/>
      </w:pPr>
    </w:p>
    <w:p w14:paraId="4A30841F" w14:textId="249F3764" w:rsidR="009F70C9" w:rsidRPr="000655C0" w:rsidRDefault="00CC3B37" w:rsidP="009F70C9">
      <w:pPr>
        <w:pStyle w:val="NoSpacing"/>
      </w:pPr>
      <w:bookmarkStart w:id="107" w:name="_Ref119883328"/>
      <w:bookmarkStart w:id="108" w:name="_Toc121470310"/>
      <w:r>
        <w:t xml:space="preserve">Table </w:t>
      </w:r>
      <w:fldSimple w:instr=" SEQ Table \* ARABIC ">
        <w:r w:rsidR="002F3906">
          <w:rPr>
            <w:noProof/>
          </w:rPr>
          <w:t>3</w:t>
        </w:r>
      </w:fldSimple>
      <w:bookmarkEnd w:id="107"/>
      <w:r>
        <w:t xml:space="preserve"> - </w:t>
      </w:r>
      <w:r w:rsidRPr="00DF2BBA">
        <w:t xml:space="preserve">Mineralogy of Bone Spring sandstone samples used in this study </w:t>
      </w:r>
      <w:r w:rsidR="00F8072F">
        <w:t xml:space="preserve">to analyze relationship between surfactant adsorption and </w:t>
      </w:r>
      <w:r w:rsidR="00347B35">
        <w:t>mineralogy</w:t>
      </w:r>
      <w:r w:rsidR="00F8072F">
        <w:t>.</w:t>
      </w:r>
      <w:bookmarkEnd w:id="108"/>
    </w:p>
    <w:p w14:paraId="42BD2483" w14:textId="661ED161" w:rsidR="00E1011D" w:rsidRDefault="00287360" w:rsidP="00376C10">
      <w:pPr>
        <w:pStyle w:val="Heading2"/>
      </w:pPr>
      <w:bookmarkStart w:id="109" w:name="_Toc121470256"/>
      <w:r>
        <w:lastRenderedPageBreak/>
        <w:t xml:space="preserve">4.2 </w:t>
      </w:r>
      <w:r w:rsidR="00376C10">
        <w:t xml:space="preserve">Fluid </w:t>
      </w:r>
      <w:r w:rsidR="00A1628F">
        <w:t>Characterization</w:t>
      </w:r>
      <w:bookmarkEnd w:id="109"/>
    </w:p>
    <w:p w14:paraId="4BE55F0D" w14:textId="02CE8006" w:rsidR="00A1628F" w:rsidRPr="00A1628F" w:rsidRDefault="00A1628F" w:rsidP="00A1628F">
      <w:pPr>
        <w:pStyle w:val="Heading3"/>
      </w:pPr>
      <w:bookmarkStart w:id="110" w:name="_Toc121470257"/>
      <w:r>
        <w:t>4.2.1 Density Measurements</w:t>
      </w:r>
      <w:bookmarkEnd w:id="110"/>
    </w:p>
    <w:p w14:paraId="4E4ABA58" w14:textId="61BA3F5D" w:rsidR="002A2475" w:rsidRDefault="00CD24E4" w:rsidP="004B1D71">
      <w:pPr>
        <w:rPr>
          <w:rFonts w:eastAsiaTheme="minorHAnsi"/>
        </w:rPr>
      </w:pPr>
      <w:r>
        <w:rPr>
          <w:rFonts w:eastAsiaTheme="minorHAnsi"/>
        </w:rPr>
        <w:t xml:space="preserve">Three commercially available surfactants were tested at 2 </w:t>
      </w:r>
      <w:r w:rsidR="004A5269">
        <w:rPr>
          <w:rFonts w:eastAsiaTheme="minorHAnsi"/>
        </w:rPr>
        <w:t>gpt</w:t>
      </w:r>
      <w:r>
        <w:rPr>
          <w:rFonts w:eastAsiaTheme="minorHAnsi"/>
        </w:rPr>
        <w:t xml:space="preserve"> concertation along with</w:t>
      </w:r>
      <w:r w:rsidR="00846A3E">
        <w:rPr>
          <w:rFonts w:eastAsiaTheme="minorHAnsi"/>
        </w:rPr>
        <w:t xml:space="preserve"> produced</w:t>
      </w:r>
      <w:r>
        <w:rPr>
          <w:rFonts w:eastAsiaTheme="minorHAnsi"/>
        </w:rPr>
        <w:t xml:space="preserve"> brine</w:t>
      </w:r>
      <w:r w:rsidRPr="001A4F24">
        <w:rPr>
          <w:rFonts w:eastAsiaTheme="minorHAnsi"/>
        </w:rPr>
        <w:t>.</w:t>
      </w:r>
      <w:r w:rsidR="00DD6C78">
        <w:rPr>
          <w:rFonts w:eastAsiaTheme="minorHAnsi"/>
        </w:rPr>
        <w:t xml:space="preserve"> Surfactants description is </w:t>
      </w:r>
      <w:r w:rsidR="0057637D">
        <w:rPr>
          <w:rFonts w:eastAsiaTheme="minorHAnsi"/>
        </w:rPr>
        <w:t>given</w:t>
      </w:r>
      <w:r w:rsidR="00DD6C78">
        <w:rPr>
          <w:rFonts w:eastAsiaTheme="minorHAnsi"/>
        </w:rPr>
        <w:t xml:space="preserve"> in</w:t>
      </w:r>
      <w:r w:rsidRPr="001A4F24">
        <w:rPr>
          <w:rFonts w:eastAsiaTheme="minorHAnsi"/>
        </w:rPr>
        <w:t xml:space="preserve"> </w:t>
      </w:r>
      <w:r w:rsidR="001A4F24" w:rsidRPr="001A4F24">
        <w:rPr>
          <w:rFonts w:eastAsiaTheme="minorHAnsi"/>
        </w:rPr>
        <w:fldChar w:fldCharType="begin"/>
      </w:r>
      <w:r w:rsidR="001A4F24" w:rsidRPr="001A4F24">
        <w:rPr>
          <w:rFonts w:eastAsiaTheme="minorHAnsi"/>
        </w:rPr>
        <w:instrText xml:space="preserve"> REF _Ref118792849 \h  \* MERGEFORMAT </w:instrText>
      </w:r>
      <w:r w:rsidR="001A4F24" w:rsidRPr="001A4F24">
        <w:rPr>
          <w:rFonts w:eastAsiaTheme="minorHAnsi"/>
        </w:rPr>
      </w:r>
      <w:r w:rsidR="001A4F24" w:rsidRPr="001A4F24">
        <w:rPr>
          <w:rFonts w:eastAsiaTheme="minorHAnsi"/>
        </w:rPr>
        <w:fldChar w:fldCharType="separate"/>
      </w:r>
      <w:r w:rsidR="002F3906" w:rsidRPr="0024131B">
        <w:t xml:space="preserve">Table </w:t>
      </w:r>
      <w:r w:rsidR="002F3906">
        <w:rPr>
          <w:noProof/>
        </w:rPr>
        <w:t>4</w:t>
      </w:r>
      <w:r w:rsidR="001A4F24" w:rsidRPr="001A4F24">
        <w:rPr>
          <w:rFonts w:eastAsiaTheme="minorHAnsi"/>
        </w:rPr>
        <w:fldChar w:fldCharType="end"/>
      </w:r>
      <w:r>
        <w:rPr>
          <w:rFonts w:eastAsiaTheme="minorHAnsi"/>
        </w:rPr>
        <w:t xml:space="preserve">. These surfactants were explicitly designed to be stable in reservoirs with high TDS and high temperature with low IFT to increase oil </w:t>
      </w:r>
      <w:r w:rsidRPr="001A4F24">
        <w:rPr>
          <w:rFonts w:eastAsiaTheme="minorHAnsi"/>
        </w:rPr>
        <w:t xml:space="preserve">recovery. </w:t>
      </w:r>
      <w:r w:rsidR="00A82FD4">
        <w:rPr>
          <w:rFonts w:eastAsiaTheme="minorHAnsi"/>
        </w:rPr>
        <w:t xml:space="preserve">Density of produced </w:t>
      </w:r>
      <w:r w:rsidR="00A82FD4" w:rsidRPr="00993808">
        <w:rPr>
          <w:rFonts w:eastAsiaTheme="minorHAnsi"/>
        </w:rPr>
        <w:t>brine</w:t>
      </w:r>
      <w:r w:rsidR="00A82FD4">
        <w:rPr>
          <w:rFonts w:eastAsiaTheme="minorHAnsi"/>
        </w:rPr>
        <w:t xml:space="preserve">, crude </w:t>
      </w:r>
      <w:r w:rsidR="000813E5">
        <w:rPr>
          <w:rFonts w:eastAsiaTheme="minorHAnsi"/>
        </w:rPr>
        <w:t>oil,</w:t>
      </w:r>
      <w:r w:rsidR="00A82FD4">
        <w:rPr>
          <w:rFonts w:eastAsiaTheme="minorHAnsi"/>
        </w:rPr>
        <w:t xml:space="preserve"> and surfactant solutions at 2 gpt concentration are summarized in </w:t>
      </w:r>
      <w:r w:rsidR="00E25559">
        <w:rPr>
          <w:rFonts w:eastAsiaTheme="minorHAnsi"/>
        </w:rPr>
        <w:fldChar w:fldCharType="begin"/>
      </w:r>
      <w:r w:rsidR="00E25559">
        <w:rPr>
          <w:rFonts w:eastAsiaTheme="minorHAnsi"/>
        </w:rPr>
        <w:instrText xml:space="preserve"> REF _Ref119883474 \h </w:instrText>
      </w:r>
      <w:r w:rsidR="00E25559">
        <w:rPr>
          <w:rFonts w:eastAsiaTheme="minorHAnsi"/>
        </w:rPr>
      </w:r>
      <w:r w:rsidR="00E25559">
        <w:rPr>
          <w:rFonts w:eastAsiaTheme="minorHAnsi"/>
        </w:rPr>
        <w:fldChar w:fldCharType="separate"/>
      </w:r>
      <w:r w:rsidR="002F3906">
        <w:t xml:space="preserve">Table </w:t>
      </w:r>
      <w:r w:rsidR="002F3906">
        <w:rPr>
          <w:noProof/>
        </w:rPr>
        <w:t>5</w:t>
      </w:r>
      <w:r w:rsidR="00E25559">
        <w:rPr>
          <w:rFonts w:eastAsiaTheme="minorHAnsi"/>
        </w:rPr>
        <w:fldChar w:fldCharType="end"/>
      </w:r>
      <w:r w:rsidR="000813E5">
        <w:rPr>
          <w:rFonts w:eastAsiaTheme="minorHAnsi"/>
        </w:rPr>
        <w:t>.</w:t>
      </w:r>
    </w:p>
    <w:p w14:paraId="5811C7F0" w14:textId="77777777" w:rsidR="0024131B" w:rsidRDefault="0024131B" w:rsidP="0024131B">
      <w:pPr>
        <w:spacing w:line="240" w:lineRule="auto"/>
        <w:rPr>
          <w:rFonts w:eastAsiaTheme="minorHAnsi"/>
        </w:rPr>
      </w:pPr>
    </w:p>
    <w:tbl>
      <w:tblPr>
        <w:tblStyle w:val="TableGrid"/>
        <w:tblpPr w:leftFromText="180" w:rightFromText="180" w:vertAnchor="text" w:tblpXSpec="center" w:tblpY="1"/>
        <w:tblOverlap w:val="never"/>
        <w:tblW w:w="9355" w:type="dxa"/>
        <w:tblLayout w:type="fixed"/>
        <w:tblLook w:val="0620" w:firstRow="1" w:lastRow="0" w:firstColumn="0" w:lastColumn="0" w:noHBand="1" w:noVBand="1"/>
      </w:tblPr>
      <w:tblGrid>
        <w:gridCol w:w="1956"/>
        <w:gridCol w:w="2070"/>
        <w:gridCol w:w="3690"/>
        <w:gridCol w:w="1639"/>
      </w:tblGrid>
      <w:tr w:rsidR="0024131B" w:rsidRPr="00501295" w14:paraId="37150F30" w14:textId="77777777" w:rsidTr="00964EBA">
        <w:trPr>
          <w:trHeight w:val="432"/>
        </w:trPr>
        <w:tc>
          <w:tcPr>
            <w:tcW w:w="1956" w:type="dxa"/>
            <w:vAlign w:val="center"/>
          </w:tcPr>
          <w:p w14:paraId="64380EC5" w14:textId="270B75B8" w:rsidR="0024131B" w:rsidRPr="00501295" w:rsidRDefault="0024131B" w:rsidP="00D33799">
            <w:pPr>
              <w:pStyle w:val="Table"/>
            </w:pPr>
            <w:r w:rsidRPr="00501295">
              <w:t>Surfactant</w:t>
            </w:r>
            <w:r w:rsidR="00177F5F">
              <w:t xml:space="preserve"> </w:t>
            </w:r>
            <w:r w:rsidRPr="00501295">
              <w:t>Name</w:t>
            </w:r>
          </w:p>
        </w:tc>
        <w:tc>
          <w:tcPr>
            <w:tcW w:w="2070" w:type="dxa"/>
            <w:vAlign w:val="center"/>
          </w:tcPr>
          <w:p w14:paraId="559B8584" w14:textId="77777777" w:rsidR="0024131B" w:rsidRPr="00501295" w:rsidRDefault="0024131B" w:rsidP="00D33799">
            <w:pPr>
              <w:pStyle w:val="Table"/>
            </w:pPr>
            <w:r w:rsidRPr="00501295">
              <w:t>Surfactant Type</w:t>
            </w:r>
          </w:p>
        </w:tc>
        <w:tc>
          <w:tcPr>
            <w:tcW w:w="3690" w:type="dxa"/>
            <w:vAlign w:val="center"/>
          </w:tcPr>
          <w:p w14:paraId="4A5E03A7" w14:textId="77777777" w:rsidR="0024131B" w:rsidRPr="00501295" w:rsidRDefault="0024131B" w:rsidP="00D33799">
            <w:pPr>
              <w:pStyle w:val="Table"/>
            </w:pPr>
            <w:r w:rsidRPr="00501295">
              <w:t>Key Components</w:t>
            </w:r>
          </w:p>
        </w:tc>
        <w:tc>
          <w:tcPr>
            <w:tcW w:w="1639" w:type="dxa"/>
            <w:vAlign w:val="center"/>
          </w:tcPr>
          <w:p w14:paraId="086A331F" w14:textId="77777777" w:rsidR="00FE3532" w:rsidRDefault="0024131B" w:rsidP="00D33799">
            <w:pPr>
              <w:pStyle w:val="Table"/>
            </w:pPr>
            <w:r w:rsidRPr="00501295">
              <w:t xml:space="preserve">Concentration </w:t>
            </w:r>
          </w:p>
          <w:p w14:paraId="13BEEA53" w14:textId="34C51959" w:rsidR="0024131B" w:rsidRPr="00501295" w:rsidRDefault="0024131B" w:rsidP="00D33799">
            <w:pPr>
              <w:pStyle w:val="Table"/>
            </w:pPr>
            <w:r w:rsidRPr="00501295">
              <w:t>(wt %)</w:t>
            </w:r>
          </w:p>
        </w:tc>
      </w:tr>
      <w:tr w:rsidR="0024131B" w:rsidRPr="00501295" w14:paraId="044E20C5" w14:textId="77777777" w:rsidTr="00964EBA">
        <w:trPr>
          <w:trHeight w:hRule="exact" w:val="432"/>
        </w:trPr>
        <w:tc>
          <w:tcPr>
            <w:tcW w:w="1956" w:type="dxa"/>
            <w:vMerge w:val="restart"/>
            <w:vAlign w:val="center"/>
          </w:tcPr>
          <w:p w14:paraId="3DF47D74" w14:textId="77777777" w:rsidR="0024131B" w:rsidRPr="00501295" w:rsidRDefault="0024131B" w:rsidP="00D33799">
            <w:pPr>
              <w:pStyle w:val="Table"/>
            </w:pPr>
            <w:r w:rsidRPr="00501295">
              <w:t>Surfactant 1</w:t>
            </w:r>
          </w:p>
        </w:tc>
        <w:tc>
          <w:tcPr>
            <w:tcW w:w="2070" w:type="dxa"/>
            <w:vMerge w:val="restart"/>
            <w:vAlign w:val="center"/>
          </w:tcPr>
          <w:p w14:paraId="677D9CE3" w14:textId="77777777" w:rsidR="0024131B" w:rsidRPr="00501295" w:rsidRDefault="0024131B" w:rsidP="00D33799">
            <w:pPr>
              <w:pStyle w:val="Table"/>
            </w:pPr>
            <w:r w:rsidRPr="00501295">
              <w:t>Amphoteric</w:t>
            </w:r>
          </w:p>
        </w:tc>
        <w:tc>
          <w:tcPr>
            <w:tcW w:w="3690" w:type="dxa"/>
            <w:vAlign w:val="center"/>
          </w:tcPr>
          <w:p w14:paraId="58F890D2" w14:textId="77777777" w:rsidR="0024131B" w:rsidRPr="00501295" w:rsidRDefault="0024131B" w:rsidP="00D33799">
            <w:pPr>
              <w:pStyle w:val="Table"/>
            </w:pPr>
            <w:r w:rsidRPr="00501295">
              <w:t>Ethylene Glycol</w:t>
            </w:r>
          </w:p>
        </w:tc>
        <w:tc>
          <w:tcPr>
            <w:tcW w:w="1639" w:type="dxa"/>
            <w:vAlign w:val="center"/>
          </w:tcPr>
          <w:p w14:paraId="52D8B8C1" w14:textId="77777777" w:rsidR="0024131B" w:rsidRPr="00501295" w:rsidRDefault="0024131B" w:rsidP="00D33799">
            <w:pPr>
              <w:pStyle w:val="Table"/>
            </w:pPr>
            <w:r w:rsidRPr="00501295">
              <w:t>5 – 10</w:t>
            </w:r>
          </w:p>
        </w:tc>
      </w:tr>
      <w:tr w:rsidR="0024131B" w:rsidRPr="00501295" w14:paraId="6B24AA1F" w14:textId="77777777" w:rsidTr="00964EBA">
        <w:trPr>
          <w:trHeight w:hRule="exact" w:val="432"/>
        </w:trPr>
        <w:tc>
          <w:tcPr>
            <w:tcW w:w="1956" w:type="dxa"/>
            <w:vMerge/>
            <w:vAlign w:val="center"/>
          </w:tcPr>
          <w:p w14:paraId="444BCB7B" w14:textId="77777777" w:rsidR="0024131B" w:rsidRPr="00501295" w:rsidRDefault="0024131B" w:rsidP="00D33799">
            <w:pPr>
              <w:pStyle w:val="Table"/>
            </w:pPr>
          </w:p>
        </w:tc>
        <w:tc>
          <w:tcPr>
            <w:tcW w:w="2070" w:type="dxa"/>
            <w:vMerge/>
            <w:vAlign w:val="center"/>
          </w:tcPr>
          <w:p w14:paraId="2ACA0414" w14:textId="77777777" w:rsidR="0024131B" w:rsidRPr="00501295" w:rsidRDefault="0024131B" w:rsidP="00D33799">
            <w:pPr>
              <w:pStyle w:val="Table"/>
            </w:pPr>
          </w:p>
        </w:tc>
        <w:tc>
          <w:tcPr>
            <w:tcW w:w="3690" w:type="dxa"/>
            <w:vAlign w:val="center"/>
          </w:tcPr>
          <w:p w14:paraId="230B374D" w14:textId="77777777" w:rsidR="0024131B" w:rsidRPr="00501295" w:rsidRDefault="0024131B" w:rsidP="00D33799">
            <w:pPr>
              <w:pStyle w:val="Table"/>
            </w:pPr>
            <w:r w:rsidRPr="00501295">
              <w:t>Glycerol</w:t>
            </w:r>
          </w:p>
        </w:tc>
        <w:tc>
          <w:tcPr>
            <w:tcW w:w="1639" w:type="dxa"/>
            <w:vAlign w:val="center"/>
          </w:tcPr>
          <w:p w14:paraId="00555C1E" w14:textId="77777777" w:rsidR="0024131B" w:rsidRPr="00501295" w:rsidRDefault="0024131B" w:rsidP="00D33799">
            <w:pPr>
              <w:pStyle w:val="Table"/>
            </w:pPr>
            <w:r w:rsidRPr="00501295">
              <w:t>1 – 5</w:t>
            </w:r>
          </w:p>
        </w:tc>
      </w:tr>
      <w:tr w:rsidR="0024131B" w:rsidRPr="00501295" w14:paraId="34F912C1" w14:textId="77777777" w:rsidTr="00964EBA">
        <w:trPr>
          <w:trHeight w:hRule="exact" w:val="432"/>
        </w:trPr>
        <w:tc>
          <w:tcPr>
            <w:tcW w:w="1956" w:type="dxa"/>
            <w:vMerge/>
            <w:vAlign w:val="center"/>
          </w:tcPr>
          <w:p w14:paraId="789F5CBF" w14:textId="77777777" w:rsidR="0024131B" w:rsidRPr="00501295" w:rsidRDefault="0024131B" w:rsidP="00D33799">
            <w:pPr>
              <w:pStyle w:val="Table"/>
            </w:pPr>
          </w:p>
        </w:tc>
        <w:tc>
          <w:tcPr>
            <w:tcW w:w="2070" w:type="dxa"/>
            <w:vMerge/>
            <w:vAlign w:val="center"/>
          </w:tcPr>
          <w:p w14:paraId="14B60466" w14:textId="77777777" w:rsidR="0024131B" w:rsidRPr="00501295" w:rsidRDefault="0024131B" w:rsidP="00D33799">
            <w:pPr>
              <w:pStyle w:val="Table"/>
            </w:pPr>
          </w:p>
        </w:tc>
        <w:tc>
          <w:tcPr>
            <w:tcW w:w="3690" w:type="dxa"/>
            <w:vAlign w:val="center"/>
          </w:tcPr>
          <w:p w14:paraId="25D37E05" w14:textId="77777777" w:rsidR="0024131B" w:rsidRPr="00501295" w:rsidRDefault="0024131B" w:rsidP="00D33799">
            <w:pPr>
              <w:pStyle w:val="Table"/>
            </w:pPr>
            <w:r w:rsidRPr="00501295">
              <w:t>Sodium Chloride</w:t>
            </w:r>
          </w:p>
        </w:tc>
        <w:tc>
          <w:tcPr>
            <w:tcW w:w="1639" w:type="dxa"/>
            <w:vAlign w:val="center"/>
          </w:tcPr>
          <w:p w14:paraId="3D964BCD" w14:textId="77777777" w:rsidR="0024131B" w:rsidRPr="00501295" w:rsidRDefault="0024131B" w:rsidP="00D33799">
            <w:pPr>
              <w:pStyle w:val="Table"/>
            </w:pPr>
            <w:r w:rsidRPr="00501295">
              <w:t>1 – 5</w:t>
            </w:r>
          </w:p>
        </w:tc>
      </w:tr>
      <w:tr w:rsidR="0024131B" w:rsidRPr="00501295" w14:paraId="6B90CCA7" w14:textId="77777777" w:rsidTr="00964EBA">
        <w:trPr>
          <w:trHeight w:hRule="exact" w:val="432"/>
        </w:trPr>
        <w:tc>
          <w:tcPr>
            <w:tcW w:w="1956" w:type="dxa"/>
            <w:vMerge/>
            <w:vAlign w:val="center"/>
          </w:tcPr>
          <w:p w14:paraId="52515426" w14:textId="77777777" w:rsidR="0024131B" w:rsidRPr="00501295" w:rsidRDefault="0024131B" w:rsidP="00D33799">
            <w:pPr>
              <w:pStyle w:val="Table"/>
            </w:pPr>
          </w:p>
        </w:tc>
        <w:tc>
          <w:tcPr>
            <w:tcW w:w="2070" w:type="dxa"/>
            <w:vMerge/>
            <w:vAlign w:val="center"/>
          </w:tcPr>
          <w:p w14:paraId="15160E13" w14:textId="77777777" w:rsidR="0024131B" w:rsidRPr="00501295" w:rsidRDefault="0024131B" w:rsidP="00D33799">
            <w:pPr>
              <w:pStyle w:val="Table"/>
            </w:pPr>
          </w:p>
        </w:tc>
        <w:tc>
          <w:tcPr>
            <w:tcW w:w="3690" w:type="dxa"/>
            <w:vAlign w:val="center"/>
          </w:tcPr>
          <w:p w14:paraId="0A26A155" w14:textId="77777777" w:rsidR="0024131B" w:rsidRPr="00501295" w:rsidRDefault="0024131B" w:rsidP="00D33799">
            <w:pPr>
              <w:pStyle w:val="Table"/>
            </w:pPr>
            <w:r w:rsidRPr="00501295">
              <w:t>Proprietary Oxyalkylated alcohol</w:t>
            </w:r>
          </w:p>
        </w:tc>
        <w:tc>
          <w:tcPr>
            <w:tcW w:w="1639" w:type="dxa"/>
            <w:vAlign w:val="center"/>
          </w:tcPr>
          <w:p w14:paraId="0707F6B9" w14:textId="77777777" w:rsidR="0024131B" w:rsidRPr="00501295" w:rsidRDefault="0024131B" w:rsidP="00D33799">
            <w:pPr>
              <w:pStyle w:val="Table"/>
            </w:pPr>
            <w:r w:rsidRPr="00501295">
              <w:t>1 – 5</w:t>
            </w:r>
          </w:p>
        </w:tc>
      </w:tr>
      <w:tr w:rsidR="0024131B" w:rsidRPr="00501295" w14:paraId="7FEEBE9F" w14:textId="77777777" w:rsidTr="00964EBA">
        <w:trPr>
          <w:trHeight w:hRule="exact" w:val="432"/>
        </w:trPr>
        <w:tc>
          <w:tcPr>
            <w:tcW w:w="1956" w:type="dxa"/>
            <w:vMerge/>
            <w:vAlign w:val="center"/>
          </w:tcPr>
          <w:p w14:paraId="2D081FBA" w14:textId="77777777" w:rsidR="0024131B" w:rsidRPr="00501295" w:rsidRDefault="0024131B" w:rsidP="00D33799">
            <w:pPr>
              <w:pStyle w:val="Table"/>
            </w:pPr>
          </w:p>
        </w:tc>
        <w:tc>
          <w:tcPr>
            <w:tcW w:w="2070" w:type="dxa"/>
            <w:vMerge/>
            <w:vAlign w:val="center"/>
          </w:tcPr>
          <w:p w14:paraId="2BB5DC31" w14:textId="77777777" w:rsidR="0024131B" w:rsidRPr="00501295" w:rsidRDefault="0024131B" w:rsidP="00D33799">
            <w:pPr>
              <w:pStyle w:val="Table"/>
            </w:pPr>
          </w:p>
        </w:tc>
        <w:tc>
          <w:tcPr>
            <w:tcW w:w="3690" w:type="dxa"/>
            <w:vAlign w:val="center"/>
          </w:tcPr>
          <w:p w14:paraId="7ACD116C" w14:textId="77777777" w:rsidR="0024131B" w:rsidRPr="00501295" w:rsidRDefault="0024131B" w:rsidP="00D33799">
            <w:pPr>
              <w:pStyle w:val="Table"/>
            </w:pPr>
            <w:r w:rsidRPr="00501295">
              <w:t>Proprietary Alkyl Sultaine</w:t>
            </w:r>
          </w:p>
        </w:tc>
        <w:tc>
          <w:tcPr>
            <w:tcW w:w="1639" w:type="dxa"/>
            <w:vAlign w:val="center"/>
          </w:tcPr>
          <w:p w14:paraId="28226355" w14:textId="77777777" w:rsidR="0024131B" w:rsidRPr="00501295" w:rsidRDefault="0024131B" w:rsidP="00D33799">
            <w:pPr>
              <w:pStyle w:val="Table"/>
            </w:pPr>
            <w:r w:rsidRPr="00501295">
              <w:t>5 – 10</w:t>
            </w:r>
          </w:p>
        </w:tc>
      </w:tr>
      <w:tr w:rsidR="0024131B" w:rsidRPr="00501295" w14:paraId="6FA8808D" w14:textId="77777777" w:rsidTr="00964EBA">
        <w:trPr>
          <w:trHeight w:hRule="exact" w:val="432"/>
        </w:trPr>
        <w:tc>
          <w:tcPr>
            <w:tcW w:w="1956" w:type="dxa"/>
            <w:vMerge/>
            <w:vAlign w:val="center"/>
          </w:tcPr>
          <w:p w14:paraId="0513C656" w14:textId="77777777" w:rsidR="0024131B" w:rsidRPr="00501295" w:rsidRDefault="0024131B" w:rsidP="00D33799">
            <w:pPr>
              <w:pStyle w:val="Table"/>
            </w:pPr>
          </w:p>
        </w:tc>
        <w:tc>
          <w:tcPr>
            <w:tcW w:w="2070" w:type="dxa"/>
            <w:vMerge/>
            <w:vAlign w:val="center"/>
          </w:tcPr>
          <w:p w14:paraId="62AC8C5C" w14:textId="77777777" w:rsidR="0024131B" w:rsidRPr="00501295" w:rsidRDefault="0024131B" w:rsidP="00D33799">
            <w:pPr>
              <w:pStyle w:val="Table"/>
            </w:pPr>
          </w:p>
        </w:tc>
        <w:tc>
          <w:tcPr>
            <w:tcW w:w="3690" w:type="dxa"/>
            <w:vAlign w:val="center"/>
          </w:tcPr>
          <w:p w14:paraId="10918B54" w14:textId="77777777" w:rsidR="0024131B" w:rsidRPr="00501295" w:rsidRDefault="0024131B" w:rsidP="00D33799">
            <w:pPr>
              <w:pStyle w:val="Table"/>
            </w:pPr>
            <w:r w:rsidRPr="00501295">
              <w:t>Proprietary Organic Sulfonic Acid</w:t>
            </w:r>
          </w:p>
        </w:tc>
        <w:tc>
          <w:tcPr>
            <w:tcW w:w="1639" w:type="dxa"/>
            <w:vAlign w:val="center"/>
          </w:tcPr>
          <w:p w14:paraId="3A9ACA31" w14:textId="77777777" w:rsidR="0024131B" w:rsidRPr="00501295" w:rsidRDefault="0024131B" w:rsidP="00D33799">
            <w:pPr>
              <w:pStyle w:val="Table"/>
            </w:pPr>
            <w:r w:rsidRPr="00501295">
              <w:t>1 – 5</w:t>
            </w:r>
          </w:p>
        </w:tc>
      </w:tr>
      <w:tr w:rsidR="0024131B" w:rsidRPr="00501295" w14:paraId="0B18B8CE" w14:textId="77777777" w:rsidTr="00964EBA">
        <w:trPr>
          <w:trHeight w:hRule="exact" w:val="432"/>
        </w:trPr>
        <w:tc>
          <w:tcPr>
            <w:tcW w:w="1956" w:type="dxa"/>
            <w:vMerge w:val="restart"/>
            <w:vAlign w:val="center"/>
          </w:tcPr>
          <w:p w14:paraId="2E589BCF" w14:textId="77777777" w:rsidR="0024131B" w:rsidRPr="00501295" w:rsidRDefault="0024131B" w:rsidP="00D33799">
            <w:pPr>
              <w:pStyle w:val="Table"/>
            </w:pPr>
            <w:r w:rsidRPr="00501295">
              <w:t>Surfactant 2</w:t>
            </w:r>
          </w:p>
        </w:tc>
        <w:tc>
          <w:tcPr>
            <w:tcW w:w="2070" w:type="dxa"/>
            <w:vMerge w:val="restart"/>
            <w:vAlign w:val="center"/>
          </w:tcPr>
          <w:p w14:paraId="185E0DF9" w14:textId="77777777" w:rsidR="0024131B" w:rsidRPr="00501295" w:rsidRDefault="0024131B" w:rsidP="00D33799">
            <w:pPr>
              <w:pStyle w:val="Table"/>
            </w:pPr>
            <w:r w:rsidRPr="00501295">
              <w:t>Amphoteric</w:t>
            </w:r>
          </w:p>
        </w:tc>
        <w:tc>
          <w:tcPr>
            <w:tcW w:w="3690" w:type="dxa"/>
            <w:vAlign w:val="center"/>
          </w:tcPr>
          <w:p w14:paraId="6B4ABEA7" w14:textId="77777777" w:rsidR="0024131B" w:rsidRPr="00501295" w:rsidRDefault="0024131B" w:rsidP="00D33799">
            <w:pPr>
              <w:pStyle w:val="Table"/>
            </w:pPr>
            <w:r w:rsidRPr="00501295">
              <w:t>Proprietary Alkyl Sultaine</w:t>
            </w:r>
          </w:p>
        </w:tc>
        <w:tc>
          <w:tcPr>
            <w:tcW w:w="1639" w:type="dxa"/>
            <w:vAlign w:val="center"/>
          </w:tcPr>
          <w:p w14:paraId="2D810B86" w14:textId="77777777" w:rsidR="0024131B" w:rsidRPr="00501295" w:rsidRDefault="0024131B" w:rsidP="00D33799">
            <w:pPr>
              <w:pStyle w:val="Table"/>
            </w:pPr>
            <w:r w:rsidRPr="00501295">
              <w:t>10 – 30</w:t>
            </w:r>
          </w:p>
        </w:tc>
      </w:tr>
      <w:tr w:rsidR="0024131B" w:rsidRPr="00501295" w14:paraId="7E1E894E" w14:textId="77777777" w:rsidTr="00964EBA">
        <w:trPr>
          <w:trHeight w:hRule="exact" w:val="432"/>
        </w:trPr>
        <w:tc>
          <w:tcPr>
            <w:tcW w:w="1956" w:type="dxa"/>
            <w:vMerge/>
            <w:vAlign w:val="center"/>
          </w:tcPr>
          <w:p w14:paraId="4E767A32" w14:textId="77777777" w:rsidR="0024131B" w:rsidRPr="00501295" w:rsidRDefault="0024131B" w:rsidP="00D33799">
            <w:pPr>
              <w:pStyle w:val="Table"/>
            </w:pPr>
          </w:p>
        </w:tc>
        <w:tc>
          <w:tcPr>
            <w:tcW w:w="2070" w:type="dxa"/>
            <w:vMerge/>
            <w:vAlign w:val="center"/>
          </w:tcPr>
          <w:p w14:paraId="323AB552" w14:textId="77777777" w:rsidR="0024131B" w:rsidRPr="00501295" w:rsidRDefault="0024131B" w:rsidP="00D33799">
            <w:pPr>
              <w:pStyle w:val="Table"/>
            </w:pPr>
          </w:p>
        </w:tc>
        <w:tc>
          <w:tcPr>
            <w:tcW w:w="3690" w:type="dxa"/>
            <w:vAlign w:val="center"/>
          </w:tcPr>
          <w:p w14:paraId="114AC683" w14:textId="77777777" w:rsidR="0024131B" w:rsidRPr="00501295" w:rsidRDefault="0024131B" w:rsidP="00D33799">
            <w:pPr>
              <w:pStyle w:val="Table"/>
            </w:pPr>
            <w:r w:rsidRPr="00501295">
              <w:t>Ethylene Glycol</w:t>
            </w:r>
          </w:p>
        </w:tc>
        <w:tc>
          <w:tcPr>
            <w:tcW w:w="1639" w:type="dxa"/>
            <w:vAlign w:val="center"/>
          </w:tcPr>
          <w:p w14:paraId="7CAE3A25" w14:textId="77777777" w:rsidR="0024131B" w:rsidRPr="00501295" w:rsidRDefault="0024131B" w:rsidP="00D33799">
            <w:pPr>
              <w:pStyle w:val="Table"/>
            </w:pPr>
            <w:r w:rsidRPr="00501295">
              <w:t>10 – 30</w:t>
            </w:r>
          </w:p>
        </w:tc>
      </w:tr>
      <w:tr w:rsidR="0024131B" w:rsidRPr="00501295" w14:paraId="78963757" w14:textId="77777777" w:rsidTr="00964EBA">
        <w:trPr>
          <w:trHeight w:hRule="exact" w:val="432"/>
        </w:trPr>
        <w:tc>
          <w:tcPr>
            <w:tcW w:w="1956" w:type="dxa"/>
            <w:vMerge/>
            <w:vAlign w:val="center"/>
          </w:tcPr>
          <w:p w14:paraId="74866AAC" w14:textId="77777777" w:rsidR="0024131B" w:rsidRPr="00501295" w:rsidRDefault="0024131B" w:rsidP="00D33799">
            <w:pPr>
              <w:pStyle w:val="Table"/>
            </w:pPr>
          </w:p>
        </w:tc>
        <w:tc>
          <w:tcPr>
            <w:tcW w:w="2070" w:type="dxa"/>
            <w:vMerge/>
            <w:vAlign w:val="center"/>
          </w:tcPr>
          <w:p w14:paraId="63B733B4" w14:textId="77777777" w:rsidR="0024131B" w:rsidRPr="00501295" w:rsidRDefault="0024131B" w:rsidP="00D33799">
            <w:pPr>
              <w:pStyle w:val="Table"/>
            </w:pPr>
          </w:p>
        </w:tc>
        <w:tc>
          <w:tcPr>
            <w:tcW w:w="3690" w:type="dxa"/>
            <w:vAlign w:val="center"/>
          </w:tcPr>
          <w:p w14:paraId="06477DE6" w14:textId="77777777" w:rsidR="0024131B" w:rsidRPr="00501295" w:rsidRDefault="0024131B" w:rsidP="00D33799">
            <w:pPr>
              <w:pStyle w:val="Table"/>
            </w:pPr>
            <w:r w:rsidRPr="00501295">
              <w:t>Sodium Chloride</w:t>
            </w:r>
          </w:p>
        </w:tc>
        <w:tc>
          <w:tcPr>
            <w:tcW w:w="1639" w:type="dxa"/>
            <w:vAlign w:val="center"/>
          </w:tcPr>
          <w:p w14:paraId="7FB59D8B" w14:textId="77777777" w:rsidR="0024131B" w:rsidRPr="00501295" w:rsidRDefault="0024131B" w:rsidP="00D33799">
            <w:pPr>
              <w:pStyle w:val="Table"/>
            </w:pPr>
            <w:r w:rsidRPr="00501295">
              <w:t>1 – 5</w:t>
            </w:r>
          </w:p>
        </w:tc>
      </w:tr>
      <w:tr w:rsidR="0024131B" w:rsidRPr="00501295" w14:paraId="43205828" w14:textId="77777777" w:rsidTr="00964EBA">
        <w:trPr>
          <w:trHeight w:val="432"/>
        </w:trPr>
        <w:tc>
          <w:tcPr>
            <w:tcW w:w="1956" w:type="dxa"/>
            <w:vAlign w:val="center"/>
          </w:tcPr>
          <w:p w14:paraId="35D60974" w14:textId="77777777" w:rsidR="0024131B" w:rsidRPr="00501295" w:rsidRDefault="0024131B" w:rsidP="00D33799">
            <w:pPr>
              <w:pStyle w:val="Table"/>
            </w:pPr>
            <w:r w:rsidRPr="00501295">
              <w:t>Surfactant 3</w:t>
            </w:r>
          </w:p>
        </w:tc>
        <w:tc>
          <w:tcPr>
            <w:tcW w:w="2070" w:type="dxa"/>
            <w:vAlign w:val="center"/>
          </w:tcPr>
          <w:p w14:paraId="6F3582ED" w14:textId="77777777" w:rsidR="0024131B" w:rsidRPr="00501295" w:rsidRDefault="0024131B" w:rsidP="00D33799">
            <w:pPr>
              <w:pStyle w:val="Table"/>
            </w:pPr>
            <w:r w:rsidRPr="00501295">
              <w:t>Nonionic Biosurfactant</w:t>
            </w:r>
          </w:p>
        </w:tc>
        <w:tc>
          <w:tcPr>
            <w:tcW w:w="3690" w:type="dxa"/>
            <w:vAlign w:val="center"/>
          </w:tcPr>
          <w:p w14:paraId="72ECAB7D" w14:textId="77777777" w:rsidR="0024131B" w:rsidRPr="00501295" w:rsidRDefault="0024131B" w:rsidP="00D33799">
            <w:pPr>
              <w:pStyle w:val="Table"/>
            </w:pPr>
            <w:r w:rsidRPr="00501295">
              <w:t>Glycolipids</w:t>
            </w:r>
          </w:p>
        </w:tc>
        <w:tc>
          <w:tcPr>
            <w:tcW w:w="1639" w:type="dxa"/>
            <w:vAlign w:val="center"/>
          </w:tcPr>
          <w:p w14:paraId="7C7BE21A" w14:textId="77777777" w:rsidR="0024131B" w:rsidRPr="00501295" w:rsidRDefault="0024131B" w:rsidP="00D33799">
            <w:pPr>
              <w:pStyle w:val="Table"/>
            </w:pPr>
            <w:r w:rsidRPr="00501295">
              <w:t>25 – 75</w:t>
            </w:r>
          </w:p>
        </w:tc>
      </w:tr>
    </w:tbl>
    <w:p w14:paraId="7A0C0613" w14:textId="77777777" w:rsidR="0024131B" w:rsidRDefault="0024131B" w:rsidP="0024131B">
      <w:pPr>
        <w:spacing w:line="360" w:lineRule="auto"/>
        <w:jc w:val="center"/>
      </w:pPr>
    </w:p>
    <w:p w14:paraId="24A7425D" w14:textId="5F35A2FD" w:rsidR="00560BDB" w:rsidRDefault="0024131B" w:rsidP="000B7019">
      <w:pPr>
        <w:pStyle w:val="NoSpacing"/>
        <w:jc w:val="center"/>
        <w:rPr>
          <w:noProof/>
        </w:rPr>
      </w:pPr>
      <w:bookmarkStart w:id="111" w:name="_Ref118792849"/>
      <w:bookmarkStart w:id="112" w:name="_Toc121470311"/>
      <w:r w:rsidRPr="0024131B">
        <w:t xml:space="preserve">Table </w:t>
      </w:r>
      <w:fldSimple w:instr=" SEQ Table \* ARABIC ">
        <w:r w:rsidR="002F3906">
          <w:rPr>
            <w:noProof/>
          </w:rPr>
          <w:t>4</w:t>
        </w:r>
      </w:fldSimple>
      <w:bookmarkEnd w:id="111"/>
      <w:r w:rsidRPr="0024131B">
        <w:t xml:space="preserve"> - </w:t>
      </w:r>
      <w:r w:rsidRPr="0024131B">
        <w:rPr>
          <w:noProof/>
        </w:rPr>
        <w:t xml:space="preserve">Description of different </w:t>
      </w:r>
      <w:r w:rsidR="008E7E2A">
        <w:rPr>
          <w:noProof/>
        </w:rPr>
        <w:t>s</w:t>
      </w:r>
      <w:r w:rsidRPr="0024131B">
        <w:rPr>
          <w:noProof/>
        </w:rPr>
        <w:t>urfactants used in this study.</w:t>
      </w:r>
      <w:bookmarkEnd w:id="112"/>
    </w:p>
    <w:p w14:paraId="015F8393" w14:textId="484740F2" w:rsidR="00E74AFC" w:rsidRDefault="00E74AFC" w:rsidP="000B7019">
      <w:pPr>
        <w:pStyle w:val="NoSpacing"/>
        <w:jc w:val="center"/>
        <w:rPr>
          <w:noProof/>
        </w:rPr>
      </w:pPr>
    </w:p>
    <w:p w14:paraId="709353A3" w14:textId="5EFC83B5" w:rsidR="00E74AFC" w:rsidRDefault="00E74AFC" w:rsidP="000B7019">
      <w:pPr>
        <w:pStyle w:val="NoSpacing"/>
        <w:jc w:val="center"/>
        <w:rPr>
          <w:noProof/>
        </w:rPr>
      </w:pPr>
    </w:p>
    <w:p w14:paraId="18559B63" w14:textId="2736D645" w:rsidR="00E74AFC" w:rsidRDefault="00E74AFC" w:rsidP="000B7019">
      <w:pPr>
        <w:pStyle w:val="NoSpacing"/>
        <w:jc w:val="center"/>
        <w:rPr>
          <w:noProof/>
        </w:rPr>
      </w:pPr>
    </w:p>
    <w:p w14:paraId="7DC6DC78" w14:textId="5104EBC4" w:rsidR="00E74AFC" w:rsidRDefault="00E74AFC" w:rsidP="000B7019">
      <w:pPr>
        <w:pStyle w:val="NoSpacing"/>
        <w:jc w:val="center"/>
        <w:rPr>
          <w:noProof/>
        </w:rPr>
      </w:pPr>
    </w:p>
    <w:p w14:paraId="44D5A7ED" w14:textId="53981440" w:rsidR="00E74AFC" w:rsidRDefault="00E74AFC" w:rsidP="000B7019">
      <w:pPr>
        <w:pStyle w:val="NoSpacing"/>
        <w:jc w:val="center"/>
        <w:rPr>
          <w:noProof/>
        </w:rPr>
      </w:pPr>
    </w:p>
    <w:p w14:paraId="0C4DBD56" w14:textId="1D6536CE" w:rsidR="00E74AFC" w:rsidRDefault="00E74AFC" w:rsidP="000B7019">
      <w:pPr>
        <w:pStyle w:val="NoSpacing"/>
        <w:jc w:val="center"/>
        <w:rPr>
          <w:noProof/>
        </w:rPr>
      </w:pPr>
    </w:p>
    <w:p w14:paraId="4EF436E8" w14:textId="09EB335B" w:rsidR="00E74AFC" w:rsidRDefault="00E74AFC" w:rsidP="000B7019">
      <w:pPr>
        <w:pStyle w:val="NoSpacing"/>
        <w:jc w:val="center"/>
        <w:rPr>
          <w:noProof/>
        </w:rPr>
      </w:pPr>
    </w:p>
    <w:p w14:paraId="1F1DF211" w14:textId="5ADC3F01" w:rsidR="00E74AFC" w:rsidRDefault="00E74AFC" w:rsidP="000B7019">
      <w:pPr>
        <w:pStyle w:val="NoSpacing"/>
        <w:jc w:val="center"/>
        <w:rPr>
          <w:noProof/>
        </w:rPr>
      </w:pPr>
    </w:p>
    <w:p w14:paraId="4E69F87B" w14:textId="77777777" w:rsidR="00E74AFC" w:rsidRDefault="00E74AFC" w:rsidP="000B7019">
      <w:pPr>
        <w:pStyle w:val="NoSpacing"/>
        <w:jc w:val="center"/>
        <w:rPr>
          <w:noProof/>
        </w:rPr>
      </w:pPr>
    </w:p>
    <w:p w14:paraId="4F2F82FA" w14:textId="6CC08988" w:rsidR="00A82FD4" w:rsidRDefault="00A82FD4" w:rsidP="00475558">
      <w:pPr>
        <w:spacing w:line="360" w:lineRule="auto"/>
        <w:jc w:val="center"/>
        <w:rPr>
          <w:b/>
          <w:bCs/>
          <w:noProof/>
        </w:rPr>
      </w:pPr>
    </w:p>
    <w:tbl>
      <w:tblPr>
        <w:tblStyle w:val="TableGrid"/>
        <w:tblW w:w="0" w:type="auto"/>
        <w:jc w:val="center"/>
        <w:tblLook w:val="04A0" w:firstRow="1" w:lastRow="0" w:firstColumn="1" w:lastColumn="0" w:noHBand="0" w:noVBand="1"/>
      </w:tblPr>
      <w:tblGrid>
        <w:gridCol w:w="2515"/>
        <w:gridCol w:w="2520"/>
      </w:tblGrid>
      <w:tr w:rsidR="00A82FD4" w14:paraId="418077CD" w14:textId="77777777" w:rsidTr="000463DE">
        <w:trPr>
          <w:cantSplit/>
          <w:trHeight w:hRule="exact" w:val="432"/>
          <w:jc w:val="center"/>
        </w:trPr>
        <w:tc>
          <w:tcPr>
            <w:tcW w:w="2515" w:type="dxa"/>
            <w:vAlign w:val="center"/>
          </w:tcPr>
          <w:p w14:paraId="6DC94D06" w14:textId="35F8A270" w:rsidR="00A82FD4" w:rsidRDefault="00A82FD4" w:rsidP="000463DE">
            <w:pPr>
              <w:spacing w:line="240" w:lineRule="auto"/>
              <w:jc w:val="center"/>
              <w:rPr>
                <w:noProof/>
              </w:rPr>
            </w:pPr>
            <w:r>
              <w:rPr>
                <w:noProof/>
              </w:rPr>
              <w:lastRenderedPageBreak/>
              <w:t>Fluid Name</w:t>
            </w:r>
          </w:p>
        </w:tc>
        <w:tc>
          <w:tcPr>
            <w:tcW w:w="2520" w:type="dxa"/>
            <w:vAlign w:val="center"/>
          </w:tcPr>
          <w:p w14:paraId="5E9CD411" w14:textId="0A256075" w:rsidR="00A82FD4" w:rsidRDefault="00A82FD4" w:rsidP="000463DE">
            <w:pPr>
              <w:spacing w:line="240" w:lineRule="auto"/>
              <w:jc w:val="center"/>
              <w:rPr>
                <w:noProof/>
              </w:rPr>
            </w:pPr>
            <w:r>
              <w:rPr>
                <w:noProof/>
              </w:rPr>
              <w:t>Density (g/cc)</w:t>
            </w:r>
          </w:p>
        </w:tc>
      </w:tr>
      <w:tr w:rsidR="00A82FD4" w14:paraId="60A8130F" w14:textId="77777777" w:rsidTr="000463DE">
        <w:trPr>
          <w:cantSplit/>
          <w:trHeight w:hRule="exact" w:val="432"/>
          <w:jc w:val="center"/>
        </w:trPr>
        <w:tc>
          <w:tcPr>
            <w:tcW w:w="2515" w:type="dxa"/>
            <w:vAlign w:val="center"/>
          </w:tcPr>
          <w:p w14:paraId="7880D553" w14:textId="2F852B61" w:rsidR="00A82FD4" w:rsidRDefault="00A82FD4" w:rsidP="000463DE">
            <w:pPr>
              <w:spacing w:line="240" w:lineRule="auto"/>
              <w:jc w:val="center"/>
              <w:rPr>
                <w:noProof/>
              </w:rPr>
            </w:pPr>
            <w:r>
              <w:rPr>
                <w:noProof/>
              </w:rPr>
              <w:t>Crude Oil</w:t>
            </w:r>
          </w:p>
        </w:tc>
        <w:tc>
          <w:tcPr>
            <w:tcW w:w="2520" w:type="dxa"/>
            <w:vAlign w:val="center"/>
          </w:tcPr>
          <w:p w14:paraId="0184D9E7" w14:textId="2314F045" w:rsidR="00A82FD4" w:rsidRDefault="00A82FD4" w:rsidP="000463DE">
            <w:pPr>
              <w:spacing w:line="240" w:lineRule="auto"/>
              <w:jc w:val="center"/>
              <w:rPr>
                <w:noProof/>
              </w:rPr>
            </w:pPr>
            <w:r>
              <w:rPr>
                <w:noProof/>
              </w:rPr>
              <w:t>0</w:t>
            </w:r>
            <w:r w:rsidR="000A60DB">
              <w:rPr>
                <w:noProof/>
              </w:rPr>
              <w:t>.780</w:t>
            </w:r>
          </w:p>
        </w:tc>
      </w:tr>
      <w:tr w:rsidR="00A82FD4" w14:paraId="2782DB79" w14:textId="77777777" w:rsidTr="000463DE">
        <w:trPr>
          <w:cantSplit/>
          <w:trHeight w:hRule="exact" w:val="432"/>
          <w:jc w:val="center"/>
        </w:trPr>
        <w:tc>
          <w:tcPr>
            <w:tcW w:w="2515" w:type="dxa"/>
            <w:vAlign w:val="center"/>
          </w:tcPr>
          <w:p w14:paraId="2AF023BB" w14:textId="6371A804" w:rsidR="00A82FD4" w:rsidRDefault="00A82FD4" w:rsidP="000463DE">
            <w:pPr>
              <w:spacing w:line="240" w:lineRule="auto"/>
              <w:jc w:val="center"/>
              <w:rPr>
                <w:noProof/>
              </w:rPr>
            </w:pPr>
            <w:r>
              <w:rPr>
                <w:noProof/>
              </w:rPr>
              <w:t>Produced Brine</w:t>
            </w:r>
          </w:p>
        </w:tc>
        <w:tc>
          <w:tcPr>
            <w:tcW w:w="2520" w:type="dxa"/>
            <w:vAlign w:val="center"/>
          </w:tcPr>
          <w:p w14:paraId="599796D9" w14:textId="4B8BAB84" w:rsidR="00A82FD4" w:rsidRDefault="00A82FD4" w:rsidP="000463DE">
            <w:pPr>
              <w:spacing w:line="240" w:lineRule="auto"/>
              <w:jc w:val="center"/>
              <w:rPr>
                <w:noProof/>
              </w:rPr>
            </w:pPr>
            <w:r>
              <w:rPr>
                <w:noProof/>
              </w:rPr>
              <w:t>1.130</w:t>
            </w:r>
          </w:p>
        </w:tc>
      </w:tr>
      <w:tr w:rsidR="00A82FD4" w14:paraId="1520E7B8" w14:textId="77777777" w:rsidTr="000463DE">
        <w:trPr>
          <w:cantSplit/>
          <w:trHeight w:hRule="exact" w:val="432"/>
          <w:jc w:val="center"/>
        </w:trPr>
        <w:tc>
          <w:tcPr>
            <w:tcW w:w="2515" w:type="dxa"/>
            <w:vAlign w:val="center"/>
          </w:tcPr>
          <w:p w14:paraId="622A8639" w14:textId="19CE1E84" w:rsidR="00A82FD4" w:rsidRDefault="00A82FD4" w:rsidP="000463DE">
            <w:pPr>
              <w:spacing w:line="240" w:lineRule="auto"/>
              <w:jc w:val="center"/>
              <w:rPr>
                <w:noProof/>
              </w:rPr>
            </w:pPr>
            <w:r>
              <w:rPr>
                <w:noProof/>
              </w:rPr>
              <w:t>Surfactant 1</w:t>
            </w:r>
          </w:p>
        </w:tc>
        <w:tc>
          <w:tcPr>
            <w:tcW w:w="2520" w:type="dxa"/>
            <w:vAlign w:val="center"/>
          </w:tcPr>
          <w:p w14:paraId="146C2DAC" w14:textId="49D2616E" w:rsidR="00A82FD4" w:rsidRDefault="00A82FD4" w:rsidP="000463DE">
            <w:pPr>
              <w:spacing w:line="240" w:lineRule="auto"/>
              <w:jc w:val="center"/>
              <w:rPr>
                <w:noProof/>
              </w:rPr>
            </w:pPr>
            <w:r>
              <w:rPr>
                <w:noProof/>
              </w:rPr>
              <w:t>1.131</w:t>
            </w:r>
          </w:p>
        </w:tc>
      </w:tr>
      <w:tr w:rsidR="00A82FD4" w14:paraId="520AA1AB" w14:textId="77777777" w:rsidTr="000463DE">
        <w:trPr>
          <w:cantSplit/>
          <w:trHeight w:hRule="exact" w:val="432"/>
          <w:jc w:val="center"/>
        </w:trPr>
        <w:tc>
          <w:tcPr>
            <w:tcW w:w="2515" w:type="dxa"/>
            <w:vAlign w:val="center"/>
          </w:tcPr>
          <w:p w14:paraId="450310A0" w14:textId="7977BAA1" w:rsidR="00A82FD4" w:rsidRDefault="00A82FD4" w:rsidP="000463DE">
            <w:pPr>
              <w:spacing w:line="240" w:lineRule="auto"/>
              <w:jc w:val="center"/>
              <w:rPr>
                <w:noProof/>
              </w:rPr>
            </w:pPr>
            <w:r>
              <w:rPr>
                <w:noProof/>
              </w:rPr>
              <w:t>Surfactant 2</w:t>
            </w:r>
          </w:p>
        </w:tc>
        <w:tc>
          <w:tcPr>
            <w:tcW w:w="2520" w:type="dxa"/>
            <w:vAlign w:val="center"/>
          </w:tcPr>
          <w:p w14:paraId="21A1AA2F" w14:textId="6A54B709" w:rsidR="00A82FD4" w:rsidRDefault="00A82FD4" w:rsidP="000463DE">
            <w:pPr>
              <w:spacing w:line="240" w:lineRule="auto"/>
              <w:jc w:val="center"/>
              <w:rPr>
                <w:noProof/>
              </w:rPr>
            </w:pPr>
            <w:r>
              <w:rPr>
                <w:noProof/>
              </w:rPr>
              <w:t>1.132</w:t>
            </w:r>
          </w:p>
        </w:tc>
      </w:tr>
      <w:tr w:rsidR="00A82FD4" w14:paraId="23287214" w14:textId="77777777" w:rsidTr="000463DE">
        <w:trPr>
          <w:cantSplit/>
          <w:trHeight w:hRule="exact" w:val="432"/>
          <w:jc w:val="center"/>
        </w:trPr>
        <w:tc>
          <w:tcPr>
            <w:tcW w:w="2515" w:type="dxa"/>
            <w:vAlign w:val="center"/>
          </w:tcPr>
          <w:p w14:paraId="66C9600D" w14:textId="009DA5BF" w:rsidR="00A82FD4" w:rsidRDefault="00A82FD4" w:rsidP="000463DE">
            <w:pPr>
              <w:spacing w:line="240" w:lineRule="auto"/>
              <w:jc w:val="center"/>
              <w:rPr>
                <w:noProof/>
              </w:rPr>
            </w:pPr>
            <w:r>
              <w:rPr>
                <w:noProof/>
              </w:rPr>
              <w:t>Surfactant 3</w:t>
            </w:r>
          </w:p>
        </w:tc>
        <w:tc>
          <w:tcPr>
            <w:tcW w:w="2520" w:type="dxa"/>
            <w:vAlign w:val="center"/>
          </w:tcPr>
          <w:p w14:paraId="5676B5C7" w14:textId="4B688374" w:rsidR="00A82FD4" w:rsidRDefault="00A82FD4" w:rsidP="000463DE">
            <w:pPr>
              <w:keepNext/>
              <w:spacing w:line="240" w:lineRule="auto"/>
              <w:jc w:val="center"/>
              <w:rPr>
                <w:noProof/>
              </w:rPr>
            </w:pPr>
            <w:r>
              <w:rPr>
                <w:noProof/>
              </w:rPr>
              <w:t>1.138</w:t>
            </w:r>
          </w:p>
        </w:tc>
      </w:tr>
    </w:tbl>
    <w:p w14:paraId="002D0101" w14:textId="77777777" w:rsidR="000813E5" w:rsidRDefault="000813E5" w:rsidP="000813E5">
      <w:pPr>
        <w:pStyle w:val="Caption"/>
      </w:pPr>
    </w:p>
    <w:p w14:paraId="31692902" w14:textId="5DF117AC" w:rsidR="00A82FD4" w:rsidRPr="00475558" w:rsidRDefault="000813E5" w:rsidP="000813E5">
      <w:pPr>
        <w:pStyle w:val="NoSpacing"/>
        <w:rPr>
          <w:bCs/>
          <w:noProof/>
        </w:rPr>
      </w:pPr>
      <w:bookmarkStart w:id="113" w:name="_Ref119883474"/>
      <w:bookmarkStart w:id="114" w:name="_Toc121470312"/>
      <w:r>
        <w:t xml:space="preserve">Table </w:t>
      </w:r>
      <w:fldSimple w:instr=" SEQ Table \* ARABIC ">
        <w:r w:rsidR="002F3906">
          <w:rPr>
            <w:noProof/>
          </w:rPr>
          <w:t>5</w:t>
        </w:r>
      </w:fldSimple>
      <w:bookmarkEnd w:id="113"/>
      <w:r>
        <w:t xml:space="preserve"> - Density of crude oil</w:t>
      </w:r>
      <w:r w:rsidR="000A60DB">
        <w:t xml:space="preserve"> at 145</w:t>
      </w:r>
      <w:r w:rsidR="000A60DB" w:rsidRPr="000A60DB">
        <w:rPr>
          <w:vertAlign w:val="superscript"/>
        </w:rPr>
        <w:t>o</w:t>
      </w:r>
      <w:r w:rsidR="000A60DB">
        <w:t xml:space="preserve">F along with </w:t>
      </w:r>
      <w:r>
        <w:rPr>
          <w:rFonts w:eastAsiaTheme="minorHAnsi"/>
        </w:rPr>
        <w:t xml:space="preserve">produced </w:t>
      </w:r>
      <w:r w:rsidRPr="00993808">
        <w:rPr>
          <w:rFonts w:eastAsiaTheme="minorHAnsi"/>
        </w:rPr>
        <w:t>brine</w:t>
      </w:r>
      <w:r>
        <w:rPr>
          <w:rFonts w:eastAsiaTheme="minorHAnsi"/>
        </w:rPr>
        <w:t>, and surfactant solutions at 2 gpt concentration</w:t>
      </w:r>
      <w:r w:rsidR="000A60DB">
        <w:rPr>
          <w:rFonts w:eastAsiaTheme="minorHAnsi"/>
        </w:rPr>
        <w:t xml:space="preserve"> and</w:t>
      </w:r>
      <w:r w:rsidR="00E85BF8">
        <w:rPr>
          <w:rFonts w:eastAsiaTheme="minorHAnsi"/>
        </w:rPr>
        <w:t xml:space="preserve"> 70</w:t>
      </w:r>
      <w:r w:rsidR="00E85BF8" w:rsidRPr="00E85BF8">
        <w:rPr>
          <w:rFonts w:eastAsiaTheme="minorHAnsi"/>
          <w:vertAlign w:val="superscript"/>
        </w:rPr>
        <w:t>o</w:t>
      </w:r>
      <w:r w:rsidR="00E85BF8">
        <w:rPr>
          <w:rFonts w:eastAsiaTheme="minorHAnsi"/>
        </w:rPr>
        <w:t>F</w:t>
      </w:r>
      <w:r w:rsidR="000A60DB">
        <w:rPr>
          <w:rFonts w:eastAsiaTheme="minorHAnsi"/>
        </w:rPr>
        <w:t>.</w:t>
      </w:r>
      <w:bookmarkEnd w:id="114"/>
    </w:p>
    <w:p w14:paraId="6B530A5E" w14:textId="666D4647" w:rsidR="00560BDB" w:rsidRDefault="00560BDB" w:rsidP="00560BDB">
      <w:pPr>
        <w:pStyle w:val="NoSpacing"/>
        <w:rPr>
          <w:bCs/>
        </w:rPr>
      </w:pPr>
    </w:p>
    <w:p w14:paraId="08E7DC49" w14:textId="43A65308" w:rsidR="00CD24E4" w:rsidRDefault="00501295" w:rsidP="00A1628F">
      <w:pPr>
        <w:pStyle w:val="Heading3"/>
        <w:numPr>
          <w:ilvl w:val="0"/>
          <w:numId w:val="0"/>
        </w:numPr>
      </w:pPr>
      <w:bookmarkStart w:id="115" w:name="_Toc121470258"/>
      <w:r>
        <w:t>4.</w:t>
      </w:r>
      <w:r w:rsidR="00A1628F">
        <w:t>2.2</w:t>
      </w:r>
      <w:r>
        <w:t xml:space="preserve"> Surfactant Stability Tests</w:t>
      </w:r>
      <w:bookmarkEnd w:id="115"/>
    </w:p>
    <w:p w14:paraId="6BF4AFB0" w14:textId="01665CA1" w:rsidR="00C30891" w:rsidRDefault="007E7A6A" w:rsidP="00C30891">
      <w:r>
        <w:t xml:space="preserve">Results from surfactant stability tests performed </w:t>
      </w:r>
      <w:r w:rsidR="00562CE9">
        <w:t>on</w:t>
      </w:r>
      <w:r>
        <w:t xml:space="preserve"> three surfactant solutions </w:t>
      </w:r>
      <w:r>
        <w:rPr>
          <w:rFonts w:eastAsiaTheme="minorHAnsi"/>
        </w:rPr>
        <w:t>prepared by mixing surfactants with produced brine at 2 gpt concentration</w:t>
      </w:r>
      <w:r w:rsidR="00562CE9">
        <w:t xml:space="preserve"> </w:t>
      </w:r>
      <w:r>
        <w:t>shows that surfactants are stable as the solution remained transparent after 3 days at ambient condition (70</w:t>
      </w:r>
      <w:r w:rsidRPr="002D2763">
        <w:rPr>
          <w:vertAlign w:val="superscript"/>
        </w:rPr>
        <w:t>o</w:t>
      </w:r>
      <w:r>
        <w:t>F) and reservoir temperature (145</w:t>
      </w:r>
      <w:r w:rsidRPr="002D2763">
        <w:rPr>
          <w:vertAlign w:val="superscript"/>
        </w:rPr>
        <w:t>o</w:t>
      </w:r>
      <w:r>
        <w:t>F)</w:t>
      </w:r>
      <w:r w:rsidR="006B08E5">
        <w:t xml:space="preserve">. </w:t>
      </w:r>
      <w:r w:rsidR="006B08E5">
        <w:fldChar w:fldCharType="begin"/>
      </w:r>
      <w:r w:rsidR="006B08E5">
        <w:instrText xml:space="preserve"> REF _Ref118793629 \h </w:instrText>
      </w:r>
      <w:r w:rsidR="006B08E5">
        <w:fldChar w:fldCharType="separate"/>
      </w:r>
      <w:r w:rsidR="002F3906" w:rsidRPr="00DF2BBA">
        <w:t xml:space="preserve">Figure </w:t>
      </w:r>
      <w:r w:rsidR="002F3906">
        <w:rPr>
          <w:noProof/>
        </w:rPr>
        <w:t>12</w:t>
      </w:r>
      <w:r w:rsidR="006B08E5">
        <w:fldChar w:fldCharType="end"/>
      </w:r>
      <w:r w:rsidR="006B08E5">
        <w:t xml:space="preserve"> </w:t>
      </w:r>
      <w:r>
        <w:t xml:space="preserve">shows the transparent solutions for three surfactants at 2 gpt concertation, with </w:t>
      </w:r>
      <w:r w:rsidR="00562CE9">
        <w:t xml:space="preserve">a </w:t>
      </w:r>
      <w:r>
        <w:t>blank sample having brine.</w:t>
      </w:r>
    </w:p>
    <w:p w14:paraId="094BFDF8" w14:textId="77777777" w:rsidR="006B08E5" w:rsidRDefault="006B08E5" w:rsidP="006B08E5">
      <w:pPr>
        <w:pStyle w:val="NoSpacing"/>
        <w:keepNext/>
      </w:pPr>
      <w:r w:rsidRPr="006B08E5">
        <w:rPr>
          <w:noProof/>
        </w:rPr>
        <w:drawing>
          <wp:inline distT="0" distB="0" distL="0" distR="0" wp14:anchorId="563583F6" wp14:editId="4B5F3EB7">
            <wp:extent cx="5943600" cy="2777017"/>
            <wp:effectExtent l="0" t="0" r="0" b="4445"/>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pic:nvPicPr>
                  <pic:blipFill rotWithShape="1">
                    <a:blip r:embed="rId24"/>
                    <a:srcRect t="5932"/>
                    <a:stretch/>
                  </pic:blipFill>
                  <pic:spPr bwMode="auto">
                    <a:xfrm>
                      <a:off x="0" y="0"/>
                      <a:ext cx="5943600" cy="2777017"/>
                    </a:xfrm>
                    <a:prstGeom prst="rect">
                      <a:avLst/>
                    </a:prstGeom>
                    <a:ln>
                      <a:noFill/>
                    </a:ln>
                    <a:extLst>
                      <a:ext uri="{53640926-AAD7-44D8-BBD7-CCE9431645EC}">
                        <a14:shadowObscured xmlns:a14="http://schemas.microsoft.com/office/drawing/2010/main"/>
                      </a:ext>
                    </a:extLst>
                  </pic:spPr>
                </pic:pic>
              </a:graphicData>
            </a:graphic>
          </wp:inline>
        </w:drawing>
      </w:r>
    </w:p>
    <w:p w14:paraId="5B0A5225" w14:textId="5EB0775F" w:rsidR="006B08E5" w:rsidRPr="00DF2BBA" w:rsidRDefault="006B08E5" w:rsidP="00560BDB">
      <w:pPr>
        <w:pStyle w:val="NoSpacing"/>
      </w:pPr>
      <w:bookmarkStart w:id="116" w:name="_Ref118793629"/>
      <w:bookmarkStart w:id="117" w:name="_Toc121470286"/>
      <w:r w:rsidRPr="00DF2BBA">
        <w:t xml:space="preserve">Figure </w:t>
      </w:r>
      <w:fldSimple w:instr=" SEQ Figure \* ARABIC ">
        <w:r w:rsidR="002F3906">
          <w:rPr>
            <w:noProof/>
          </w:rPr>
          <w:t>12</w:t>
        </w:r>
      </w:fldSimple>
      <w:bookmarkEnd w:id="116"/>
      <w:r w:rsidRPr="00DF2BBA">
        <w:t xml:space="preserve"> - Surfactant stability tests shows surfactants are stable at 2 gpt concentration as the solutions remained transparent after 3 days at 70</w:t>
      </w:r>
      <w:r w:rsidRPr="00DF2BBA">
        <w:rPr>
          <w:vertAlign w:val="superscript"/>
        </w:rPr>
        <w:t>o</w:t>
      </w:r>
      <w:r w:rsidRPr="00DF2BBA">
        <w:t>F and 145</w:t>
      </w:r>
      <w:r w:rsidRPr="00DF2BBA">
        <w:rPr>
          <w:vertAlign w:val="superscript"/>
        </w:rPr>
        <w:t>o</w:t>
      </w:r>
      <w:r w:rsidRPr="00DF2BBA">
        <w:t>F.</w:t>
      </w:r>
      <w:bookmarkEnd w:id="117"/>
    </w:p>
    <w:p w14:paraId="3F63D55B" w14:textId="77777777" w:rsidR="00560BDB" w:rsidRPr="00560BDB" w:rsidRDefault="00560BDB" w:rsidP="00560BDB">
      <w:pPr>
        <w:pStyle w:val="NoSpacing"/>
        <w:rPr>
          <w:bCs/>
        </w:rPr>
      </w:pPr>
    </w:p>
    <w:p w14:paraId="1B7D6001" w14:textId="4BCFA3A3" w:rsidR="000E626C" w:rsidRPr="000E626C" w:rsidRDefault="000E626C" w:rsidP="0007043B">
      <w:pPr>
        <w:pStyle w:val="Heading3"/>
      </w:pPr>
      <w:bookmarkStart w:id="118" w:name="_Toc121470259"/>
      <w:r w:rsidRPr="000E626C">
        <w:lastRenderedPageBreak/>
        <w:t>4.2.3 pH Measurements</w:t>
      </w:r>
      <w:bookmarkEnd w:id="118"/>
    </w:p>
    <w:p w14:paraId="57A043E8" w14:textId="34862E7D" w:rsidR="00E60476" w:rsidRDefault="00E60476" w:rsidP="000E626C">
      <w:r>
        <w:t xml:space="preserve">pH measurement results </w:t>
      </w:r>
      <w:r w:rsidR="003C7B82">
        <w:t xml:space="preserve">of </w:t>
      </w:r>
      <w:r w:rsidR="00C37555">
        <w:t>pr</w:t>
      </w:r>
      <w:r w:rsidR="003C7B82">
        <w:t xml:space="preserve">oduced </w:t>
      </w:r>
      <w:r w:rsidR="00C37555">
        <w:t>b</w:t>
      </w:r>
      <w:r w:rsidR="003C7B82">
        <w:t>rine</w:t>
      </w:r>
      <w:r w:rsidR="00496CE5">
        <w:t xml:space="preserve"> </w:t>
      </w:r>
      <w:r w:rsidR="003C7B82">
        <w:t xml:space="preserve">and surfactant solutions </w:t>
      </w:r>
      <w:r>
        <w:t xml:space="preserve">are shown in </w:t>
      </w:r>
      <w:r w:rsidR="00DF2BBA">
        <w:fldChar w:fldCharType="begin"/>
      </w:r>
      <w:r w:rsidR="00DF2BBA">
        <w:instrText xml:space="preserve"> REF _Ref118823312 \h </w:instrText>
      </w:r>
      <w:r w:rsidR="00DF2BBA">
        <w:fldChar w:fldCharType="separate"/>
      </w:r>
      <w:r w:rsidR="002F3906" w:rsidRPr="00165B1D">
        <w:t xml:space="preserve">Figure </w:t>
      </w:r>
      <w:r w:rsidR="002F3906">
        <w:rPr>
          <w:noProof/>
        </w:rPr>
        <w:t>13</w:t>
      </w:r>
      <w:r w:rsidR="00DF2BBA">
        <w:fldChar w:fldCharType="end"/>
      </w:r>
      <w:r>
        <w:t xml:space="preserve">. Results show that produced brine </w:t>
      </w:r>
      <w:r w:rsidR="00234D7A">
        <w:t>ha</w:t>
      </w:r>
      <w:r w:rsidR="006E6172">
        <w:t>s</w:t>
      </w:r>
      <w:r w:rsidR="003C7B82">
        <w:t xml:space="preserve"> neutral pH</w:t>
      </w:r>
      <w:r w:rsidR="00CE3339">
        <w:t>,</w:t>
      </w:r>
      <w:r w:rsidR="00BE66C0">
        <w:t xml:space="preserve"> and even after </w:t>
      </w:r>
      <w:r w:rsidR="008E1750">
        <w:t>adding surfactants at 2 gpt concentration</w:t>
      </w:r>
      <w:r w:rsidR="007F388D">
        <w:t>,</w:t>
      </w:r>
      <w:r w:rsidR="008E1750">
        <w:t xml:space="preserve"> the solution pH still remains neutral. </w:t>
      </w:r>
      <w:r w:rsidR="00EF39B2">
        <w:t xml:space="preserve">This is important as pH of the solution </w:t>
      </w:r>
      <w:r w:rsidR="00234D7A">
        <w:t>affects</w:t>
      </w:r>
      <w:r w:rsidR="00EF39B2">
        <w:t xml:space="preserve"> net charge on</w:t>
      </w:r>
      <w:r w:rsidR="005F2D28">
        <w:t xml:space="preserve"> the</w:t>
      </w:r>
      <w:r w:rsidR="00EF39B2">
        <w:t xml:space="preserve"> clay surface and charge on </w:t>
      </w:r>
      <w:r w:rsidR="009B7E8C">
        <w:t xml:space="preserve">the </w:t>
      </w:r>
      <w:r w:rsidR="00EF39B2" w:rsidRPr="00314C3F">
        <w:t xml:space="preserve">hydrophilic </w:t>
      </w:r>
      <w:r w:rsidR="00EF39B2">
        <w:t>head of amphoteric surfactant</w:t>
      </w:r>
      <w:r w:rsidR="00F10EAB">
        <w:t xml:space="preserve">. Since the </w:t>
      </w:r>
      <w:r w:rsidR="007F388D">
        <w:t>surfactant solution is neutral</w:t>
      </w:r>
      <w:r w:rsidR="00F10EAB">
        <w:t xml:space="preserve">, </w:t>
      </w:r>
      <w:r w:rsidR="00520D61">
        <w:t>for this study</w:t>
      </w:r>
      <w:r w:rsidR="00A43D34">
        <w:t>,</w:t>
      </w:r>
      <w:r w:rsidR="00520D61">
        <w:t xml:space="preserve"> </w:t>
      </w:r>
      <w:r w:rsidR="00F10EAB">
        <w:t>we assume that</w:t>
      </w:r>
      <w:r w:rsidR="00194325">
        <w:t xml:space="preserve"> sandstone</w:t>
      </w:r>
      <w:r w:rsidR="00F10EAB">
        <w:t xml:space="preserve"> </w:t>
      </w:r>
      <w:r w:rsidR="00AA3DC3">
        <w:t>have</w:t>
      </w:r>
      <w:r w:rsidR="00F10EAB">
        <w:t xml:space="preserve"> </w:t>
      </w:r>
      <w:r w:rsidR="00A43D34">
        <w:t xml:space="preserve">a </w:t>
      </w:r>
      <w:r w:rsidR="00F10EAB">
        <w:t>negative</w:t>
      </w:r>
      <w:r w:rsidR="00AA3DC3">
        <w:t xml:space="preserve"> surface</w:t>
      </w:r>
      <w:r w:rsidR="00F10EAB">
        <w:t xml:space="preserve"> charge</w:t>
      </w:r>
      <w:r w:rsidR="00194325">
        <w:t xml:space="preserve"> </w:t>
      </w:r>
      <w:r w:rsidR="00F27D60">
        <w:t xml:space="preserve">due to clay </w:t>
      </w:r>
      <w:r w:rsidR="00F27D60" w:rsidRPr="00234D7A">
        <w:t>minerals</w:t>
      </w:r>
      <w:r w:rsidR="00E224EE" w:rsidRPr="00234D7A">
        <w:t xml:space="preserve"> </w:t>
      </w:r>
      <w:r w:rsidR="00194325" w:rsidRPr="00234D7A">
        <w:t>(Lee et al. 2019)</w:t>
      </w:r>
      <w:r w:rsidR="00AA3DC3" w:rsidRPr="00234D7A">
        <w:t>.</w:t>
      </w:r>
    </w:p>
    <w:p w14:paraId="22657C82" w14:textId="77777777" w:rsidR="00DF2BBA" w:rsidRDefault="00855ED8" w:rsidP="0052600D">
      <w:pPr>
        <w:keepNext/>
        <w:jc w:val="center"/>
      </w:pPr>
      <w:r>
        <w:rPr>
          <w:noProof/>
        </w:rPr>
        <w:drawing>
          <wp:inline distT="0" distB="0" distL="0" distR="0" wp14:anchorId="4B41A0E3" wp14:editId="41736499">
            <wp:extent cx="5394960" cy="2651760"/>
            <wp:effectExtent l="0" t="0" r="2540" b="2540"/>
            <wp:docPr id="18" name="Chart 18">
              <a:extLst xmlns:a="http://schemas.openxmlformats.org/drawingml/2006/main">
                <a:ext uri="{FF2B5EF4-FFF2-40B4-BE49-F238E27FC236}">
                  <a16:creationId xmlns:a16="http://schemas.microsoft.com/office/drawing/2014/main" id="{C5C7A1F4-44AC-FA4A-B23F-90B08D3C9D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AFC7D7F" w14:textId="3EB42758" w:rsidR="00855ED8" w:rsidRPr="00165B1D" w:rsidRDefault="00DF2BBA" w:rsidP="00165B1D">
      <w:pPr>
        <w:pStyle w:val="NoSpacing"/>
      </w:pPr>
      <w:bookmarkStart w:id="119" w:name="_Ref118823312"/>
      <w:bookmarkStart w:id="120" w:name="_Toc121470287"/>
      <w:r w:rsidRPr="00165B1D">
        <w:t xml:space="preserve">Figure </w:t>
      </w:r>
      <w:fldSimple w:instr=" SEQ Figure \* ARABIC ">
        <w:r w:rsidR="002F3906">
          <w:rPr>
            <w:noProof/>
          </w:rPr>
          <w:t>13</w:t>
        </w:r>
      </w:fldSimple>
      <w:bookmarkEnd w:id="119"/>
      <w:r w:rsidRPr="00165B1D">
        <w:t xml:space="preserve"> - IFT measurement of produced brine and three surfactants at 2 gpt concentration.</w:t>
      </w:r>
      <w:bookmarkEnd w:id="120"/>
    </w:p>
    <w:p w14:paraId="29258ED1" w14:textId="77777777" w:rsidR="00DF2BBA" w:rsidRDefault="00DF2BBA" w:rsidP="00DF2BBA">
      <w:pPr>
        <w:pStyle w:val="NoSpacing"/>
      </w:pPr>
    </w:p>
    <w:p w14:paraId="6B9AC432" w14:textId="6D4A3141" w:rsidR="00855ED8" w:rsidRDefault="00F20203" w:rsidP="00F20203">
      <w:pPr>
        <w:pStyle w:val="Heading3"/>
      </w:pPr>
      <w:bookmarkStart w:id="121" w:name="_Toc121470260"/>
      <w:r>
        <w:t>4.2.4 ICP Analysis</w:t>
      </w:r>
      <w:r w:rsidR="003951EE">
        <w:t>: Before Imbibition Experiments</w:t>
      </w:r>
      <w:bookmarkEnd w:id="121"/>
    </w:p>
    <w:p w14:paraId="068E244F" w14:textId="04826DC1" w:rsidR="00475558" w:rsidRPr="00176981" w:rsidRDefault="001E41FA" w:rsidP="0096488C">
      <w:r>
        <w:t xml:space="preserve">Major constituents of produced brine and surfactant solutions </w:t>
      </w:r>
      <w:r w:rsidR="00475558">
        <w:t xml:space="preserve">measured using ICP analysis </w:t>
      </w:r>
      <w:r w:rsidR="0096488C">
        <w:t xml:space="preserve">are shown in </w:t>
      </w:r>
      <w:r w:rsidR="00DF2BBA">
        <w:fldChar w:fldCharType="begin"/>
      </w:r>
      <w:r w:rsidR="00DF2BBA">
        <w:instrText xml:space="preserve"> REF _Ref118823370 \h </w:instrText>
      </w:r>
      <w:r w:rsidR="00DF2BBA">
        <w:fldChar w:fldCharType="separate"/>
      </w:r>
      <w:r w:rsidR="002F3906" w:rsidRPr="00165B1D">
        <w:t xml:space="preserve">Figure </w:t>
      </w:r>
      <w:r w:rsidR="002F3906">
        <w:rPr>
          <w:noProof/>
        </w:rPr>
        <w:t>14</w:t>
      </w:r>
      <w:r w:rsidR="00DF2BBA">
        <w:fldChar w:fldCharType="end"/>
      </w:r>
      <w:r w:rsidR="0096488C">
        <w:t xml:space="preserve">. </w:t>
      </w:r>
      <w:r w:rsidR="00A82FD4">
        <w:rPr>
          <w:rFonts w:eastAsiaTheme="minorHAnsi"/>
        </w:rPr>
        <w:fldChar w:fldCharType="begin"/>
      </w:r>
      <w:r w:rsidR="00A82FD4">
        <w:instrText xml:space="preserve"> REF _Ref118869253 \h </w:instrText>
      </w:r>
      <w:r w:rsidR="00A82FD4">
        <w:rPr>
          <w:rFonts w:eastAsiaTheme="minorHAnsi"/>
        </w:rPr>
      </w:r>
      <w:r w:rsidR="00A82FD4">
        <w:rPr>
          <w:rFonts w:eastAsiaTheme="minorHAnsi"/>
        </w:rPr>
        <w:fldChar w:fldCharType="separate"/>
      </w:r>
      <w:r w:rsidR="002F3906" w:rsidRPr="00475558">
        <w:t xml:space="preserve">Table </w:t>
      </w:r>
      <w:r w:rsidR="002F3906">
        <w:rPr>
          <w:noProof/>
        </w:rPr>
        <w:t>6</w:t>
      </w:r>
      <w:r w:rsidR="00A82FD4">
        <w:rPr>
          <w:rFonts w:eastAsiaTheme="minorHAnsi"/>
        </w:rPr>
        <w:fldChar w:fldCharType="end"/>
      </w:r>
      <w:r w:rsidR="00A82FD4">
        <w:rPr>
          <w:rFonts w:eastAsiaTheme="minorHAnsi"/>
        </w:rPr>
        <w:t xml:space="preserve"> </w:t>
      </w:r>
      <w:r w:rsidR="00475558" w:rsidRPr="001A4F24">
        <w:rPr>
          <w:rFonts w:eastAsiaTheme="minorHAnsi"/>
        </w:rPr>
        <w:t>summarizes</w:t>
      </w:r>
      <w:r w:rsidR="00475558">
        <w:rPr>
          <w:rFonts w:eastAsiaTheme="minorHAnsi"/>
        </w:rPr>
        <w:t xml:space="preserve"> </w:t>
      </w:r>
      <w:r w:rsidR="00A43D34">
        <w:rPr>
          <w:rFonts w:eastAsiaTheme="minorHAnsi"/>
        </w:rPr>
        <w:t xml:space="preserve">the </w:t>
      </w:r>
      <w:r w:rsidR="00475558">
        <w:rPr>
          <w:rFonts w:eastAsiaTheme="minorHAnsi"/>
        </w:rPr>
        <w:t>ion analysis of produced brine with TDS of 237,705 ppm.</w:t>
      </w:r>
    </w:p>
    <w:p w14:paraId="782465A9" w14:textId="275D00C7" w:rsidR="0096488C" w:rsidRDefault="0096488C" w:rsidP="00855ED8">
      <w:pPr>
        <w:spacing w:line="240" w:lineRule="auto"/>
      </w:pPr>
    </w:p>
    <w:p w14:paraId="35F399DA" w14:textId="3A90E4DC" w:rsidR="0096488C" w:rsidRDefault="00C51258" w:rsidP="0052600D">
      <w:pPr>
        <w:spacing w:line="240" w:lineRule="auto"/>
        <w:jc w:val="center"/>
      </w:pPr>
      <w:r>
        <w:rPr>
          <w:noProof/>
        </w:rPr>
        <w:lastRenderedPageBreak/>
        <w:drawing>
          <wp:inline distT="0" distB="0" distL="0" distR="0" wp14:anchorId="63A89653" wp14:editId="757CC59A">
            <wp:extent cx="6138472" cy="3759181"/>
            <wp:effectExtent l="0" t="0" r="0" b="635"/>
            <wp:docPr id="63" name="Picture 63" descr="Graphical user interface, 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chart, bar chart, waterfall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47881" cy="3764943"/>
                    </a:xfrm>
                    <a:prstGeom prst="rect">
                      <a:avLst/>
                    </a:prstGeom>
                  </pic:spPr>
                </pic:pic>
              </a:graphicData>
            </a:graphic>
          </wp:inline>
        </w:drawing>
      </w:r>
    </w:p>
    <w:p w14:paraId="40F33366" w14:textId="1D812A18" w:rsidR="00DF2BBA" w:rsidRDefault="00DF2BBA" w:rsidP="00DF2BBA">
      <w:pPr>
        <w:keepNext/>
        <w:spacing w:line="240" w:lineRule="auto"/>
        <w:jc w:val="center"/>
      </w:pPr>
    </w:p>
    <w:p w14:paraId="47327B67" w14:textId="63A3CF63" w:rsidR="005173AA" w:rsidRDefault="00DF2BBA" w:rsidP="00165B1D">
      <w:pPr>
        <w:pStyle w:val="NoSpacing"/>
      </w:pPr>
      <w:bookmarkStart w:id="122" w:name="_Ref118823370"/>
      <w:bookmarkStart w:id="123" w:name="_Toc121470288"/>
      <w:r w:rsidRPr="00165B1D">
        <w:t xml:space="preserve">Figure </w:t>
      </w:r>
      <w:fldSimple w:instr=" SEQ Figure \* ARABIC ">
        <w:r w:rsidR="002F3906">
          <w:rPr>
            <w:noProof/>
          </w:rPr>
          <w:t>14</w:t>
        </w:r>
      </w:fldSimple>
      <w:bookmarkEnd w:id="122"/>
      <w:r w:rsidR="00300CB1" w:rsidRPr="00165B1D">
        <w:t xml:space="preserve"> - ICP analysis of produced brine and surfactant solution at 2 gpt</w:t>
      </w:r>
      <w:r w:rsidR="0078546E">
        <w:t xml:space="preserve"> concentration</w:t>
      </w:r>
      <w:r w:rsidR="00300CB1" w:rsidRPr="00165B1D">
        <w:t xml:space="preserve"> showing major</w:t>
      </w:r>
      <w:r w:rsidR="009B2F5A">
        <w:t xml:space="preserve"> ion</w:t>
      </w:r>
      <w:r w:rsidR="00300CB1" w:rsidRPr="00165B1D">
        <w:t xml:space="preserve"> constituents.</w:t>
      </w:r>
      <w:bookmarkEnd w:id="123"/>
      <w:r w:rsidR="00300CB1" w:rsidRPr="00165B1D">
        <w:t xml:space="preserve"> </w:t>
      </w:r>
    </w:p>
    <w:p w14:paraId="36180CB2" w14:textId="77777777" w:rsidR="00475558" w:rsidRPr="00165B1D" w:rsidRDefault="00475558" w:rsidP="00165B1D">
      <w:pPr>
        <w:pStyle w:val="NoSpacing"/>
      </w:pPr>
    </w:p>
    <w:p w14:paraId="5602764A" w14:textId="7C4DA38B" w:rsidR="0096488C" w:rsidRDefault="0096488C" w:rsidP="0096488C">
      <w:pPr>
        <w:spacing w:line="240" w:lineRule="auto"/>
        <w:jc w:val="center"/>
      </w:pPr>
    </w:p>
    <w:tbl>
      <w:tblPr>
        <w:tblStyle w:val="TableGrid"/>
        <w:tblW w:w="0" w:type="auto"/>
        <w:jc w:val="center"/>
        <w:tblLook w:val="04A0" w:firstRow="1" w:lastRow="0" w:firstColumn="1" w:lastColumn="0" w:noHBand="0" w:noVBand="1"/>
      </w:tblPr>
      <w:tblGrid>
        <w:gridCol w:w="1728"/>
        <w:gridCol w:w="3037"/>
      </w:tblGrid>
      <w:tr w:rsidR="00475558" w:rsidRPr="004A5269" w14:paraId="0A101C26" w14:textId="77777777" w:rsidTr="0052600D">
        <w:trPr>
          <w:cantSplit/>
          <w:trHeight w:hRule="exact" w:val="432"/>
          <w:jc w:val="center"/>
        </w:trPr>
        <w:tc>
          <w:tcPr>
            <w:tcW w:w="1728" w:type="dxa"/>
            <w:shd w:val="clear" w:color="auto" w:fill="auto"/>
            <w:vAlign w:val="center"/>
          </w:tcPr>
          <w:p w14:paraId="003BE620" w14:textId="77777777" w:rsidR="00475558" w:rsidRPr="004A5269" w:rsidRDefault="00475558" w:rsidP="00E53257">
            <w:pPr>
              <w:spacing w:line="240" w:lineRule="auto"/>
              <w:jc w:val="center"/>
              <w:rPr>
                <w:rFonts w:cs="Times New Roman"/>
                <w:noProof/>
              </w:rPr>
            </w:pPr>
            <w:r w:rsidRPr="004A5269">
              <w:rPr>
                <w:rFonts w:cs="Times New Roman"/>
                <w:noProof/>
              </w:rPr>
              <w:t>Ion</w:t>
            </w:r>
          </w:p>
        </w:tc>
        <w:tc>
          <w:tcPr>
            <w:tcW w:w="3037" w:type="dxa"/>
            <w:shd w:val="clear" w:color="auto" w:fill="auto"/>
            <w:vAlign w:val="center"/>
          </w:tcPr>
          <w:p w14:paraId="14F80623" w14:textId="77777777" w:rsidR="00475558" w:rsidRPr="004A5269" w:rsidRDefault="00475558" w:rsidP="00E53257">
            <w:pPr>
              <w:spacing w:line="240" w:lineRule="auto"/>
              <w:jc w:val="center"/>
              <w:rPr>
                <w:rFonts w:cs="Times New Roman"/>
                <w:noProof/>
              </w:rPr>
            </w:pPr>
            <w:r w:rsidRPr="004A5269">
              <w:rPr>
                <w:rFonts w:cs="Times New Roman"/>
                <w:noProof/>
              </w:rPr>
              <w:t>Concentration (ppm)</w:t>
            </w:r>
          </w:p>
        </w:tc>
      </w:tr>
      <w:tr w:rsidR="00475558" w:rsidRPr="004A5269" w14:paraId="5D2C0A29" w14:textId="77777777" w:rsidTr="0052600D">
        <w:trPr>
          <w:cantSplit/>
          <w:trHeight w:hRule="exact" w:val="432"/>
          <w:jc w:val="center"/>
        </w:trPr>
        <w:tc>
          <w:tcPr>
            <w:tcW w:w="1728" w:type="dxa"/>
            <w:shd w:val="clear" w:color="auto" w:fill="auto"/>
            <w:vAlign w:val="center"/>
          </w:tcPr>
          <w:p w14:paraId="27149ED3" w14:textId="77777777" w:rsidR="00475558" w:rsidRPr="004A5269" w:rsidRDefault="00475558" w:rsidP="00E53257">
            <w:pPr>
              <w:spacing w:line="240" w:lineRule="auto"/>
              <w:jc w:val="center"/>
              <w:rPr>
                <w:rFonts w:cs="Times New Roman"/>
                <w:noProof/>
              </w:rPr>
            </w:pPr>
            <w:r w:rsidRPr="004A5269">
              <w:rPr>
                <w:rFonts w:cs="Times New Roman"/>
                <w:noProof/>
              </w:rPr>
              <w:t>Na</w:t>
            </w:r>
            <w:r w:rsidRPr="00E735F2">
              <w:rPr>
                <w:rFonts w:cs="Times New Roman"/>
                <w:noProof/>
                <w:vertAlign w:val="superscript"/>
              </w:rPr>
              <w:t>+</w:t>
            </w:r>
          </w:p>
        </w:tc>
        <w:tc>
          <w:tcPr>
            <w:tcW w:w="3037" w:type="dxa"/>
            <w:shd w:val="clear" w:color="auto" w:fill="auto"/>
            <w:vAlign w:val="center"/>
          </w:tcPr>
          <w:p w14:paraId="5D1DD973" w14:textId="77777777" w:rsidR="00475558" w:rsidRPr="004A5269" w:rsidRDefault="00475558" w:rsidP="00E53257">
            <w:pPr>
              <w:spacing w:line="240" w:lineRule="auto"/>
              <w:jc w:val="center"/>
              <w:rPr>
                <w:rFonts w:cs="Times New Roman"/>
                <w:noProof/>
              </w:rPr>
            </w:pPr>
            <w:r w:rsidRPr="004A5269">
              <w:rPr>
                <w:rFonts w:cs="Times New Roman"/>
                <w:noProof/>
              </w:rPr>
              <w:t>81210</w:t>
            </w:r>
          </w:p>
        </w:tc>
      </w:tr>
      <w:tr w:rsidR="00475558" w:rsidRPr="004A5269" w14:paraId="2C0E2634" w14:textId="77777777" w:rsidTr="0052600D">
        <w:trPr>
          <w:cantSplit/>
          <w:trHeight w:hRule="exact" w:val="432"/>
          <w:jc w:val="center"/>
        </w:trPr>
        <w:tc>
          <w:tcPr>
            <w:tcW w:w="1728" w:type="dxa"/>
            <w:shd w:val="clear" w:color="auto" w:fill="auto"/>
            <w:vAlign w:val="center"/>
          </w:tcPr>
          <w:p w14:paraId="7D8EAA9F" w14:textId="77777777" w:rsidR="00475558" w:rsidRPr="004A5269" w:rsidRDefault="00475558" w:rsidP="00E53257">
            <w:pPr>
              <w:spacing w:line="240" w:lineRule="auto"/>
              <w:jc w:val="center"/>
              <w:rPr>
                <w:rFonts w:cs="Times New Roman"/>
                <w:noProof/>
              </w:rPr>
            </w:pPr>
            <w:r w:rsidRPr="004A5269">
              <w:rPr>
                <w:rFonts w:cs="Times New Roman"/>
                <w:noProof/>
              </w:rPr>
              <w:t>K</w:t>
            </w:r>
            <w:r w:rsidRPr="00E735F2">
              <w:rPr>
                <w:rFonts w:cs="Times New Roman"/>
                <w:noProof/>
                <w:vertAlign w:val="superscript"/>
              </w:rPr>
              <w:t>+</w:t>
            </w:r>
          </w:p>
        </w:tc>
        <w:tc>
          <w:tcPr>
            <w:tcW w:w="3037" w:type="dxa"/>
            <w:shd w:val="clear" w:color="auto" w:fill="auto"/>
            <w:vAlign w:val="center"/>
          </w:tcPr>
          <w:p w14:paraId="65348CE5" w14:textId="77777777" w:rsidR="00475558" w:rsidRPr="004A5269" w:rsidRDefault="00475558" w:rsidP="00E53257">
            <w:pPr>
              <w:spacing w:line="240" w:lineRule="auto"/>
              <w:jc w:val="center"/>
              <w:rPr>
                <w:rFonts w:cs="Times New Roman"/>
                <w:noProof/>
              </w:rPr>
            </w:pPr>
            <w:r w:rsidRPr="004A5269">
              <w:rPr>
                <w:rFonts w:cs="Times New Roman"/>
                <w:noProof/>
              </w:rPr>
              <w:t>1664</w:t>
            </w:r>
          </w:p>
        </w:tc>
      </w:tr>
      <w:tr w:rsidR="00475558" w:rsidRPr="004A5269" w14:paraId="2F8BF31C" w14:textId="77777777" w:rsidTr="0052600D">
        <w:trPr>
          <w:cantSplit/>
          <w:trHeight w:hRule="exact" w:val="432"/>
          <w:jc w:val="center"/>
        </w:trPr>
        <w:tc>
          <w:tcPr>
            <w:tcW w:w="1728" w:type="dxa"/>
            <w:shd w:val="clear" w:color="auto" w:fill="auto"/>
            <w:vAlign w:val="center"/>
          </w:tcPr>
          <w:p w14:paraId="35DC59C8" w14:textId="77777777" w:rsidR="00475558" w:rsidRPr="004A5269" w:rsidRDefault="00475558" w:rsidP="00E53257">
            <w:pPr>
              <w:spacing w:line="240" w:lineRule="auto"/>
              <w:jc w:val="center"/>
              <w:rPr>
                <w:rFonts w:cs="Times New Roman"/>
                <w:noProof/>
              </w:rPr>
            </w:pPr>
            <w:r w:rsidRPr="004A5269">
              <w:rPr>
                <w:rFonts w:cs="Times New Roman"/>
                <w:noProof/>
              </w:rPr>
              <w:t>Ca</w:t>
            </w:r>
            <w:r w:rsidRPr="00E735F2">
              <w:rPr>
                <w:rFonts w:cs="Times New Roman"/>
                <w:noProof/>
                <w:vertAlign w:val="superscript"/>
              </w:rPr>
              <w:t>2+</w:t>
            </w:r>
          </w:p>
        </w:tc>
        <w:tc>
          <w:tcPr>
            <w:tcW w:w="3037" w:type="dxa"/>
            <w:shd w:val="clear" w:color="auto" w:fill="auto"/>
            <w:vAlign w:val="center"/>
          </w:tcPr>
          <w:p w14:paraId="616D0CAB" w14:textId="77777777" w:rsidR="00475558" w:rsidRPr="004A5269" w:rsidRDefault="00475558" w:rsidP="00E53257">
            <w:pPr>
              <w:spacing w:line="240" w:lineRule="auto"/>
              <w:jc w:val="center"/>
              <w:rPr>
                <w:rFonts w:cs="Times New Roman"/>
                <w:noProof/>
              </w:rPr>
            </w:pPr>
            <w:r w:rsidRPr="004A5269">
              <w:rPr>
                <w:rFonts w:cs="Times New Roman"/>
                <w:noProof/>
              </w:rPr>
              <w:t>10251</w:t>
            </w:r>
          </w:p>
        </w:tc>
      </w:tr>
      <w:tr w:rsidR="00475558" w:rsidRPr="004A5269" w14:paraId="67C87847" w14:textId="77777777" w:rsidTr="0052600D">
        <w:trPr>
          <w:cantSplit/>
          <w:trHeight w:hRule="exact" w:val="432"/>
          <w:jc w:val="center"/>
        </w:trPr>
        <w:tc>
          <w:tcPr>
            <w:tcW w:w="1728" w:type="dxa"/>
            <w:shd w:val="clear" w:color="auto" w:fill="auto"/>
            <w:vAlign w:val="center"/>
          </w:tcPr>
          <w:p w14:paraId="26FA3DBC" w14:textId="77777777" w:rsidR="00475558" w:rsidRPr="004A5269" w:rsidRDefault="00475558" w:rsidP="00E53257">
            <w:pPr>
              <w:spacing w:line="240" w:lineRule="auto"/>
              <w:jc w:val="center"/>
              <w:rPr>
                <w:rFonts w:cs="Times New Roman"/>
                <w:noProof/>
              </w:rPr>
            </w:pPr>
            <w:r w:rsidRPr="004A5269">
              <w:rPr>
                <w:rFonts w:cs="Times New Roman"/>
                <w:noProof/>
              </w:rPr>
              <w:t>Mg</w:t>
            </w:r>
            <w:r w:rsidRPr="00E735F2">
              <w:rPr>
                <w:rFonts w:cs="Times New Roman"/>
                <w:noProof/>
                <w:vertAlign w:val="superscript"/>
              </w:rPr>
              <w:t>2+</w:t>
            </w:r>
          </w:p>
        </w:tc>
        <w:tc>
          <w:tcPr>
            <w:tcW w:w="3037" w:type="dxa"/>
            <w:shd w:val="clear" w:color="auto" w:fill="auto"/>
            <w:vAlign w:val="center"/>
          </w:tcPr>
          <w:p w14:paraId="691F107D" w14:textId="77777777" w:rsidR="00475558" w:rsidRPr="004A5269" w:rsidRDefault="00475558" w:rsidP="00E53257">
            <w:pPr>
              <w:spacing w:line="240" w:lineRule="auto"/>
              <w:jc w:val="center"/>
              <w:rPr>
                <w:rFonts w:cs="Times New Roman"/>
                <w:noProof/>
              </w:rPr>
            </w:pPr>
            <w:r w:rsidRPr="004A5269">
              <w:rPr>
                <w:rFonts w:cs="Times New Roman"/>
                <w:noProof/>
              </w:rPr>
              <w:t>1478</w:t>
            </w:r>
          </w:p>
        </w:tc>
      </w:tr>
      <w:tr w:rsidR="00475558" w:rsidRPr="004A5269" w14:paraId="25A8C95B" w14:textId="77777777" w:rsidTr="0052600D">
        <w:trPr>
          <w:cantSplit/>
          <w:trHeight w:hRule="exact" w:val="432"/>
          <w:jc w:val="center"/>
        </w:trPr>
        <w:tc>
          <w:tcPr>
            <w:tcW w:w="1728" w:type="dxa"/>
            <w:shd w:val="clear" w:color="auto" w:fill="auto"/>
            <w:vAlign w:val="center"/>
          </w:tcPr>
          <w:p w14:paraId="10BB3914" w14:textId="77777777" w:rsidR="00475558" w:rsidRPr="004A5269" w:rsidRDefault="00475558" w:rsidP="00E53257">
            <w:pPr>
              <w:spacing w:line="240" w:lineRule="auto"/>
              <w:jc w:val="center"/>
              <w:rPr>
                <w:rFonts w:cs="Times New Roman"/>
                <w:noProof/>
              </w:rPr>
            </w:pPr>
            <w:r w:rsidRPr="004A5269">
              <w:rPr>
                <w:rFonts w:cs="Times New Roman"/>
                <w:noProof/>
              </w:rPr>
              <w:t>Cl</w:t>
            </w:r>
            <w:r w:rsidRPr="00E735F2">
              <w:rPr>
                <w:rFonts w:cs="Times New Roman"/>
                <w:noProof/>
                <w:vertAlign w:val="superscript"/>
              </w:rPr>
              <w:t>-</w:t>
            </w:r>
          </w:p>
        </w:tc>
        <w:tc>
          <w:tcPr>
            <w:tcW w:w="3037" w:type="dxa"/>
            <w:shd w:val="clear" w:color="auto" w:fill="auto"/>
            <w:vAlign w:val="center"/>
          </w:tcPr>
          <w:p w14:paraId="79895C59" w14:textId="77777777" w:rsidR="00475558" w:rsidRPr="004A5269" w:rsidRDefault="00475558" w:rsidP="00E53257">
            <w:pPr>
              <w:keepNext/>
              <w:spacing w:line="240" w:lineRule="auto"/>
              <w:jc w:val="center"/>
              <w:rPr>
                <w:rFonts w:cs="Times New Roman"/>
                <w:noProof/>
              </w:rPr>
            </w:pPr>
            <w:r w:rsidRPr="004A5269">
              <w:rPr>
                <w:rFonts w:cs="Times New Roman"/>
                <w:noProof/>
              </w:rPr>
              <w:t>142826</w:t>
            </w:r>
          </w:p>
        </w:tc>
      </w:tr>
      <w:tr w:rsidR="00475558" w:rsidRPr="004A5269" w14:paraId="360C6683" w14:textId="77777777" w:rsidTr="0052600D">
        <w:trPr>
          <w:cantSplit/>
          <w:trHeight w:hRule="exact" w:val="432"/>
          <w:jc w:val="center"/>
        </w:trPr>
        <w:tc>
          <w:tcPr>
            <w:tcW w:w="1728" w:type="dxa"/>
            <w:shd w:val="clear" w:color="auto" w:fill="auto"/>
            <w:vAlign w:val="center"/>
          </w:tcPr>
          <w:p w14:paraId="574167D2" w14:textId="77777777" w:rsidR="00475558" w:rsidRPr="004A5269" w:rsidRDefault="00475558" w:rsidP="00E53257">
            <w:pPr>
              <w:spacing w:line="240" w:lineRule="auto"/>
              <w:jc w:val="center"/>
              <w:rPr>
                <w:rFonts w:cs="Times New Roman"/>
                <w:noProof/>
              </w:rPr>
            </w:pPr>
            <w:r>
              <w:rPr>
                <w:rFonts w:cs="Times New Roman"/>
                <w:noProof/>
              </w:rPr>
              <w:t>SO</w:t>
            </w:r>
            <w:r w:rsidRPr="004A5269">
              <w:rPr>
                <w:rFonts w:cs="Times New Roman"/>
                <w:noProof/>
                <w:vertAlign w:val="subscript"/>
              </w:rPr>
              <w:t>4</w:t>
            </w:r>
            <w:r w:rsidRPr="00E735F2">
              <w:rPr>
                <w:rFonts w:cs="Times New Roman"/>
                <w:noProof/>
                <w:vertAlign w:val="superscript"/>
              </w:rPr>
              <w:t>2-</w:t>
            </w:r>
          </w:p>
        </w:tc>
        <w:tc>
          <w:tcPr>
            <w:tcW w:w="3037" w:type="dxa"/>
            <w:shd w:val="clear" w:color="auto" w:fill="auto"/>
            <w:vAlign w:val="center"/>
          </w:tcPr>
          <w:p w14:paraId="0338D33C" w14:textId="77777777" w:rsidR="00475558" w:rsidRPr="004A5269" w:rsidRDefault="00475558" w:rsidP="00E53257">
            <w:pPr>
              <w:keepNext/>
              <w:spacing w:line="240" w:lineRule="auto"/>
              <w:jc w:val="center"/>
              <w:rPr>
                <w:rFonts w:cs="Times New Roman"/>
                <w:noProof/>
              </w:rPr>
            </w:pPr>
            <w:r>
              <w:rPr>
                <w:rFonts w:cs="Times New Roman"/>
                <w:noProof/>
              </w:rPr>
              <w:t>206</w:t>
            </w:r>
          </w:p>
        </w:tc>
      </w:tr>
      <w:tr w:rsidR="00475558" w:rsidRPr="004A5269" w14:paraId="0929A3CB" w14:textId="77777777" w:rsidTr="0052600D">
        <w:trPr>
          <w:cantSplit/>
          <w:trHeight w:hRule="exact" w:val="432"/>
          <w:jc w:val="center"/>
        </w:trPr>
        <w:tc>
          <w:tcPr>
            <w:tcW w:w="1728" w:type="dxa"/>
            <w:shd w:val="clear" w:color="auto" w:fill="auto"/>
            <w:vAlign w:val="center"/>
          </w:tcPr>
          <w:p w14:paraId="14C56E89" w14:textId="77777777" w:rsidR="00475558" w:rsidRDefault="00475558" w:rsidP="00E53257">
            <w:pPr>
              <w:spacing w:line="240" w:lineRule="auto"/>
              <w:jc w:val="center"/>
              <w:rPr>
                <w:rFonts w:cs="Times New Roman"/>
                <w:noProof/>
              </w:rPr>
            </w:pPr>
            <w:r>
              <w:rPr>
                <w:rFonts w:cs="Times New Roman"/>
                <w:noProof/>
              </w:rPr>
              <w:t>HCO</w:t>
            </w:r>
            <w:r w:rsidRPr="004A5269">
              <w:rPr>
                <w:rFonts w:cs="Times New Roman"/>
                <w:noProof/>
                <w:vertAlign w:val="subscript"/>
              </w:rPr>
              <w:t>3</w:t>
            </w:r>
          </w:p>
        </w:tc>
        <w:tc>
          <w:tcPr>
            <w:tcW w:w="3037" w:type="dxa"/>
            <w:shd w:val="clear" w:color="auto" w:fill="auto"/>
            <w:vAlign w:val="center"/>
          </w:tcPr>
          <w:p w14:paraId="752E3810" w14:textId="77777777" w:rsidR="00475558" w:rsidRPr="004A5269" w:rsidRDefault="00475558" w:rsidP="00E53257">
            <w:pPr>
              <w:keepNext/>
              <w:spacing w:line="240" w:lineRule="auto"/>
              <w:jc w:val="center"/>
              <w:rPr>
                <w:rFonts w:cs="Times New Roman"/>
                <w:noProof/>
              </w:rPr>
            </w:pPr>
            <w:r>
              <w:rPr>
                <w:rFonts w:cs="Times New Roman"/>
                <w:noProof/>
              </w:rPr>
              <w:t>70</w:t>
            </w:r>
          </w:p>
        </w:tc>
      </w:tr>
      <w:tr w:rsidR="00475558" w:rsidRPr="004A5269" w14:paraId="59ADD499" w14:textId="77777777" w:rsidTr="0052600D">
        <w:trPr>
          <w:cantSplit/>
          <w:trHeight w:hRule="exact" w:val="432"/>
          <w:jc w:val="center"/>
        </w:trPr>
        <w:tc>
          <w:tcPr>
            <w:tcW w:w="1728" w:type="dxa"/>
            <w:shd w:val="clear" w:color="auto" w:fill="auto"/>
            <w:vAlign w:val="center"/>
          </w:tcPr>
          <w:p w14:paraId="1D7D5E77" w14:textId="77777777" w:rsidR="00475558" w:rsidRDefault="00475558" w:rsidP="00E53257">
            <w:pPr>
              <w:spacing w:line="240" w:lineRule="auto"/>
              <w:jc w:val="center"/>
              <w:rPr>
                <w:rFonts w:cs="Times New Roman"/>
                <w:noProof/>
              </w:rPr>
            </w:pPr>
            <w:r>
              <w:rPr>
                <w:rFonts w:cs="Times New Roman"/>
                <w:noProof/>
              </w:rPr>
              <w:t>TDS</w:t>
            </w:r>
          </w:p>
        </w:tc>
        <w:tc>
          <w:tcPr>
            <w:tcW w:w="3037" w:type="dxa"/>
            <w:shd w:val="clear" w:color="auto" w:fill="auto"/>
            <w:vAlign w:val="center"/>
          </w:tcPr>
          <w:p w14:paraId="6D9DCC27" w14:textId="77777777" w:rsidR="00475558" w:rsidRDefault="00475558" w:rsidP="00E53257">
            <w:pPr>
              <w:keepNext/>
              <w:spacing w:line="240" w:lineRule="auto"/>
              <w:jc w:val="center"/>
              <w:rPr>
                <w:rFonts w:cs="Times New Roman"/>
                <w:noProof/>
              </w:rPr>
            </w:pPr>
            <w:r>
              <w:rPr>
                <w:rFonts w:cs="Times New Roman"/>
                <w:noProof/>
              </w:rPr>
              <w:t>237,705</w:t>
            </w:r>
          </w:p>
        </w:tc>
      </w:tr>
    </w:tbl>
    <w:p w14:paraId="2CEF6BF8" w14:textId="77777777" w:rsidR="00475558" w:rsidRDefault="00475558" w:rsidP="00475558">
      <w:pPr>
        <w:pStyle w:val="NoSpacing"/>
        <w:jc w:val="center"/>
      </w:pPr>
    </w:p>
    <w:p w14:paraId="0626B79C" w14:textId="37BE519F" w:rsidR="00475558" w:rsidRPr="00475558" w:rsidRDefault="00475558" w:rsidP="00475558">
      <w:pPr>
        <w:pStyle w:val="NoSpacing"/>
        <w:jc w:val="center"/>
      </w:pPr>
      <w:bookmarkStart w:id="124" w:name="_Ref118869253"/>
      <w:bookmarkStart w:id="125" w:name="_Toc121470313"/>
      <w:r w:rsidRPr="00475558">
        <w:t xml:space="preserve">Table </w:t>
      </w:r>
      <w:fldSimple w:instr=" SEQ Table \* ARABIC ">
        <w:r w:rsidR="002F3906">
          <w:rPr>
            <w:noProof/>
          </w:rPr>
          <w:t>6</w:t>
        </w:r>
      </w:fldSimple>
      <w:bookmarkEnd w:id="124"/>
      <w:r w:rsidRPr="00475558">
        <w:t xml:space="preserve"> - Ion analysis of produced brine.</w:t>
      </w:r>
      <w:bookmarkEnd w:id="125"/>
    </w:p>
    <w:p w14:paraId="4987F7D8" w14:textId="165E8509" w:rsidR="00475558" w:rsidRDefault="00475558" w:rsidP="00475558">
      <w:pPr>
        <w:pStyle w:val="Caption"/>
      </w:pPr>
    </w:p>
    <w:p w14:paraId="7E7FC83D" w14:textId="46207961" w:rsidR="00501295" w:rsidRPr="00470405" w:rsidRDefault="006B08E5" w:rsidP="00491FF4">
      <w:pPr>
        <w:pStyle w:val="Heading3"/>
        <w:numPr>
          <w:ilvl w:val="0"/>
          <w:numId w:val="0"/>
        </w:numPr>
      </w:pPr>
      <w:bookmarkStart w:id="126" w:name="_Toc121470261"/>
      <w:r w:rsidRPr="00470405">
        <w:lastRenderedPageBreak/>
        <w:t>4.</w:t>
      </w:r>
      <w:r w:rsidR="00B15518" w:rsidRPr="00470405">
        <w:t xml:space="preserve">2.3 </w:t>
      </w:r>
      <w:r w:rsidR="00C8120F" w:rsidRPr="00470405">
        <w:t>Critical Micelle Concentration Measurements</w:t>
      </w:r>
      <w:bookmarkEnd w:id="126"/>
    </w:p>
    <w:p w14:paraId="7677E1D0" w14:textId="4430F5E5" w:rsidR="004E368A" w:rsidRPr="00922F81" w:rsidRDefault="00922F81" w:rsidP="0096488C">
      <w:pPr>
        <w:rPr>
          <w:rFonts w:eastAsiaTheme="minorHAnsi"/>
        </w:rPr>
      </w:pPr>
      <w:r>
        <w:t>Surface tension at variable concentration</w:t>
      </w:r>
      <w:r w:rsidR="00A43D34">
        <w:t>s</w:t>
      </w:r>
      <w:r>
        <w:t xml:space="preserve"> for </w:t>
      </w:r>
      <w:r w:rsidR="004E368A">
        <w:t xml:space="preserve">CMC measurement </w:t>
      </w:r>
      <w:r w:rsidR="003275A5">
        <w:rPr>
          <w:rFonts w:eastAsiaTheme="minorHAnsi"/>
        </w:rPr>
        <w:t xml:space="preserve">under ambient conditions </w:t>
      </w:r>
      <w:r w:rsidR="004E368A">
        <w:rPr>
          <w:rFonts w:eastAsiaTheme="minorHAnsi"/>
        </w:rPr>
        <w:t xml:space="preserve">are shown in </w:t>
      </w:r>
      <w:r>
        <w:rPr>
          <w:rFonts w:eastAsiaTheme="minorHAnsi"/>
        </w:rPr>
        <w:fldChar w:fldCharType="begin"/>
      </w:r>
      <w:r>
        <w:rPr>
          <w:rFonts w:eastAsiaTheme="minorHAnsi"/>
        </w:rPr>
        <w:instrText xml:space="preserve"> REF _Ref118917334 \h </w:instrText>
      </w:r>
      <w:r>
        <w:rPr>
          <w:rFonts w:eastAsiaTheme="minorHAnsi"/>
        </w:rPr>
      </w:r>
      <w:r>
        <w:rPr>
          <w:rFonts w:eastAsiaTheme="minorHAnsi"/>
        </w:rPr>
        <w:fldChar w:fldCharType="separate"/>
      </w:r>
      <w:r w:rsidR="002F3906">
        <w:t xml:space="preserve">Figure </w:t>
      </w:r>
      <w:r w:rsidR="002F3906">
        <w:rPr>
          <w:noProof/>
        </w:rPr>
        <w:t>15</w:t>
      </w:r>
      <w:r>
        <w:rPr>
          <w:rFonts w:eastAsiaTheme="minorHAnsi"/>
        </w:rPr>
        <w:fldChar w:fldCharType="end"/>
      </w:r>
      <w:r w:rsidR="004E368A">
        <w:rPr>
          <w:rFonts w:eastAsiaTheme="minorHAnsi"/>
        </w:rPr>
        <w:t xml:space="preserve">. </w:t>
      </w:r>
      <w:r w:rsidR="00756C06">
        <w:rPr>
          <w:rFonts w:eastAsiaTheme="minorHAnsi"/>
        </w:rPr>
        <w:t xml:space="preserve">CMC </w:t>
      </w:r>
      <w:r>
        <w:rPr>
          <w:rFonts w:eastAsiaTheme="minorHAnsi"/>
        </w:rPr>
        <w:t>measurements</w:t>
      </w:r>
      <w:r w:rsidR="00756C06">
        <w:rPr>
          <w:rFonts w:eastAsiaTheme="minorHAnsi"/>
        </w:rPr>
        <w:t xml:space="preserve"> in </w:t>
      </w:r>
      <w:r>
        <w:rPr>
          <w:rFonts w:eastAsiaTheme="minorHAnsi"/>
        </w:rPr>
        <w:fldChar w:fldCharType="begin"/>
      </w:r>
      <w:r>
        <w:rPr>
          <w:rFonts w:eastAsiaTheme="minorHAnsi"/>
        </w:rPr>
        <w:instrText xml:space="preserve"> REF _Ref118917317 \h </w:instrText>
      </w:r>
      <w:r>
        <w:rPr>
          <w:rFonts w:eastAsiaTheme="minorHAnsi"/>
        </w:rPr>
      </w:r>
      <w:r>
        <w:rPr>
          <w:rFonts w:eastAsiaTheme="minorHAnsi"/>
        </w:rPr>
        <w:fldChar w:fldCharType="separate"/>
      </w:r>
      <w:r w:rsidR="002F3906">
        <w:t xml:space="preserve">Table </w:t>
      </w:r>
      <w:r w:rsidR="002F3906">
        <w:rPr>
          <w:noProof/>
        </w:rPr>
        <w:t>7</w:t>
      </w:r>
      <w:r>
        <w:rPr>
          <w:rFonts w:eastAsiaTheme="minorHAnsi"/>
        </w:rPr>
        <w:fldChar w:fldCharType="end"/>
      </w:r>
      <w:r>
        <w:rPr>
          <w:rFonts w:eastAsiaTheme="minorHAnsi"/>
        </w:rPr>
        <w:t xml:space="preserve"> show</w:t>
      </w:r>
      <w:r w:rsidR="00221E54">
        <w:rPr>
          <w:rFonts w:eastAsiaTheme="minorHAnsi"/>
        </w:rPr>
        <w:t xml:space="preserve">s </w:t>
      </w:r>
      <w:r>
        <w:rPr>
          <w:rFonts w:eastAsiaTheme="minorHAnsi"/>
        </w:rPr>
        <w:t xml:space="preserve">that </w:t>
      </w:r>
      <w:r w:rsidR="00862536">
        <w:rPr>
          <w:rFonts w:eastAsiaTheme="minorHAnsi"/>
        </w:rPr>
        <w:t>at 2 gpt concentration</w:t>
      </w:r>
      <w:r w:rsidR="00221E54">
        <w:rPr>
          <w:rFonts w:eastAsiaTheme="minorHAnsi"/>
        </w:rPr>
        <w:t>,</w:t>
      </w:r>
      <w:r w:rsidR="00862536">
        <w:rPr>
          <w:rFonts w:eastAsiaTheme="minorHAnsi"/>
        </w:rPr>
        <w:t xml:space="preserve"> we are higher than the CMC</w:t>
      </w:r>
      <w:r w:rsidR="006A7DC9">
        <w:rPr>
          <w:rFonts w:eastAsiaTheme="minorHAnsi"/>
        </w:rPr>
        <w:t>,</w:t>
      </w:r>
      <w:r w:rsidR="00862536">
        <w:rPr>
          <w:rFonts w:eastAsiaTheme="minorHAnsi"/>
        </w:rPr>
        <w:t xml:space="preserve"> and surfactant solutions should show </w:t>
      </w:r>
      <w:r w:rsidR="006A7DC9">
        <w:rPr>
          <w:rFonts w:eastAsiaTheme="minorHAnsi"/>
        </w:rPr>
        <w:t xml:space="preserve">a </w:t>
      </w:r>
      <w:r w:rsidR="00862536">
        <w:rPr>
          <w:rFonts w:eastAsiaTheme="minorHAnsi"/>
        </w:rPr>
        <w:t>maximum reduction in IFT</w:t>
      </w:r>
      <w:r w:rsidR="006163BA">
        <w:rPr>
          <w:rFonts w:eastAsiaTheme="minorHAnsi"/>
        </w:rPr>
        <w:t>.</w:t>
      </w:r>
    </w:p>
    <w:p w14:paraId="00339733" w14:textId="74F3DABA" w:rsidR="00B82016" w:rsidRDefault="00551010" w:rsidP="00B82016">
      <w:pPr>
        <w:keepNext/>
      </w:pPr>
      <w:r>
        <w:rPr>
          <w:noProof/>
        </w:rPr>
        <w:drawing>
          <wp:inline distT="0" distB="0" distL="0" distR="0" wp14:anchorId="4A1AF78C" wp14:editId="23BA5867">
            <wp:extent cx="5943600" cy="3590290"/>
            <wp:effectExtent l="0" t="0" r="0" b="381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590290"/>
                    </a:xfrm>
                    <a:prstGeom prst="rect">
                      <a:avLst/>
                    </a:prstGeom>
                  </pic:spPr>
                </pic:pic>
              </a:graphicData>
            </a:graphic>
          </wp:inline>
        </w:drawing>
      </w:r>
    </w:p>
    <w:p w14:paraId="6D69F239" w14:textId="06800A7F" w:rsidR="004E368A" w:rsidRDefault="00B82016" w:rsidP="006C7FA4">
      <w:pPr>
        <w:pStyle w:val="NoSpacing"/>
      </w:pPr>
      <w:bookmarkStart w:id="127" w:name="_Ref118917334"/>
      <w:bookmarkStart w:id="128" w:name="_Toc121470289"/>
      <w:r>
        <w:t xml:space="preserve">Figure </w:t>
      </w:r>
      <w:fldSimple w:instr=" SEQ Figure \* ARABIC ">
        <w:r w:rsidR="002F3906">
          <w:rPr>
            <w:noProof/>
          </w:rPr>
          <w:t>15</w:t>
        </w:r>
      </w:fldSimple>
      <w:bookmarkEnd w:id="127"/>
      <w:r>
        <w:t xml:space="preserve"> </w:t>
      </w:r>
      <w:r w:rsidR="006C7FA4">
        <w:t>-</w:t>
      </w:r>
      <w:r>
        <w:t xml:space="preserve"> </w:t>
      </w:r>
      <w:r w:rsidR="006C7FA4">
        <w:t xml:space="preserve">Surface </w:t>
      </w:r>
      <w:r w:rsidR="008B02BA">
        <w:t>t</w:t>
      </w:r>
      <w:r w:rsidR="006C7FA4">
        <w:t xml:space="preserve">ension </w:t>
      </w:r>
      <w:r w:rsidR="008B02BA">
        <w:t>at variable</w:t>
      </w:r>
      <w:r w:rsidR="006C7FA4">
        <w:t xml:space="preserve"> </w:t>
      </w:r>
      <w:r w:rsidR="008B02BA">
        <w:t>s</w:t>
      </w:r>
      <w:r w:rsidR="006C7FA4">
        <w:t xml:space="preserve">urfactant </w:t>
      </w:r>
      <w:r w:rsidR="008B02BA">
        <w:t>c</w:t>
      </w:r>
      <w:r w:rsidR="006C7FA4">
        <w:t xml:space="preserve">oncentration </w:t>
      </w:r>
      <w:r w:rsidR="001E7AD9">
        <w:t xml:space="preserve">for </w:t>
      </w:r>
      <w:r>
        <w:t>CMC measurement</w:t>
      </w:r>
      <w:r w:rsidR="00922F81">
        <w:t>.</w:t>
      </w:r>
      <w:bookmarkEnd w:id="128"/>
    </w:p>
    <w:p w14:paraId="0356AB74" w14:textId="77777777" w:rsidR="008B02BA" w:rsidRDefault="008B02BA" w:rsidP="006C7FA4">
      <w:pPr>
        <w:pStyle w:val="NoSpacing"/>
      </w:pPr>
    </w:p>
    <w:p w14:paraId="1499D49C" w14:textId="6C7E2209" w:rsidR="00756C06" w:rsidRDefault="00756C06" w:rsidP="00B82016">
      <w:pPr>
        <w:pStyle w:val="NoSpacing"/>
        <w:jc w:val="center"/>
      </w:pPr>
    </w:p>
    <w:tbl>
      <w:tblPr>
        <w:tblStyle w:val="TableGrid"/>
        <w:tblW w:w="0" w:type="auto"/>
        <w:jc w:val="center"/>
        <w:tblLook w:val="04A0" w:firstRow="1" w:lastRow="0" w:firstColumn="1" w:lastColumn="0" w:noHBand="0" w:noVBand="1"/>
      </w:tblPr>
      <w:tblGrid>
        <w:gridCol w:w="2520"/>
        <w:gridCol w:w="2245"/>
      </w:tblGrid>
      <w:tr w:rsidR="0074179D" w14:paraId="229A319D" w14:textId="77777777" w:rsidTr="00F62690">
        <w:trPr>
          <w:trHeight w:hRule="exact" w:val="432"/>
          <w:jc w:val="center"/>
        </w:trPr>
        <w:tc>
          <w:tcPr>
            <w:tcW w:w="2520" w:type="dxa"/>
            <w:vAlign w:val="center"/>
          </w:tcPr>
          <w:p w14:paraId="750AF4D3" w14:textId="6118B486" w:rsidR="0074179D" w:rsidRPr="0074179D" w:rsidRDefault="0074179D" w:rsidP="00097698">
            <w:pPr>
              <w:pStyle w:val="NoSpacing"/>
              <w:jc w:val="center"/>
              <w:rPr>
                <w:b w:val="0"/>
                <w:bCs/>
              </w:rPr>
            </w:pPr>
            <w:r w:rsidRPr="0074179D">
              <w:rPr>
                <w:b w:val="0"/>
                <w:bCs/>
              </w:rPr>
              <w:t>Fluid</w:t>
            </w:r>
            <w:r w:rsidR="00B87F2D">
              <w:rPr>
                <w:b w:val="0"/>
                <w:bCs/>
              </w:rPr>
              <w:t xml:space="preserve"> Name</w:t>
            </w:r>
          </w:p>
        </w:tc>
        <w:tc>
          <w:tcPr>
            <w:tcW w:w="2245" w:type="dxa"/>
            <w:vAlign w:val="center"/>
          </w:tcPr>
          <w:p w14:paraId="405F49AC" w14:textId="435D1D55" w:rsidR="0074179D" w:rsidRPr="0074179D" w:rsidRDefault="0074179D" w:rsidP="00097698">
            <w:pPr>
              <w:pStyle w:val="NoSpacing"/>
              <w:jc w:val="center"/>
              <w:rPr>
                <w:b w:val="0"/>
                <w:bCs/>
              </w:rPr>
            </w:pPr>
            <w:r w:rsidRPr="0074179D">
              <w:rPr>
                <w:b w:val="0"/>
                <w:bCs/>
              </w:rPr>
              <w:t>CMC (g</w:t>
            </w:r>
            <w:r w:rsidR="00072764">
              <w:rPr>
                <w:b w:val="0"/>
                <w:bCs/>
              </w:rPr>
              <w:t>pt</w:t>
            </w:r>
            <w:r w:rsidRPr="0074179D">
              <w:rPr>
                <w:b w:val="0"/>
                <w:bCs/>
              </w:rPr>
              <w:t>)</w:t>
            </w:r>
          </w:p>
        </w:tc>
      </w:tr>
      <w:tr w:rsidR="0074179D" w14:paraId="34A52F7A" w14:textId="77777777" w:rsidTr="00F62690">
        <w:trPr>
          <w:trHeight w:hRule="exact" w:val="432"/>
          <w:jc w:val="center"/>
        </w:trPr>
        <w:tc>
          <w:tcPr>
            <w:tcW w:w="2520" w:type="dxa"/>
            <w:vAlign w:val="center"/>
          </w:tcPr>
          <w:p w14:paraId="106E1D9E" w14:textId="10866F4D" w:rsidR="0074179D" w:rsidRPr="0074179D" w:rsidRDefault="0074179D" w:rsidP="00097698">
            <w:pPr>
              <w:pStyle w:val="NoSpacing"/>
              <w:jc w:val="center"/>
              <w:rPr>
                <w:b w:val="0"/>
                <w:bCs/>
              </w:rPr>
            </w:pPr>
            <w:r>
              <w:rPr>
                <w:b w:val="0"/>
                <w:bCs/>
              </w:rPr>
              <w:t>Surfactant 1</w:t>
            </w:r>
          </w:p>
        </w:tc>
        <w:tc>
          <w:tcPr>
            <w:tcW w:w="2245" w:type="dxa"/>
            <w:vAlign w:val="center"/>
          </w:tcPr>
          <w:p w14:paraId="6B72F81C" w14:textId="4E285F6E" w:rsidR="0074179D" w:rsidRPr="0074179D" w:rsidRDefault="00310863" w:rsidP="00097698">
            <w:pPr>
              <w:pStyle w:val="NoSpacing"/>
              <w:jc w:val="center"/>
              <w:rPr>
                <w:b w:val="0"/>
                <w:bCs/>
              </w:rPr>
            </w:pPr>
            <w:r>
              <w:rPr>
                <w:b w:val="0"/>
                <w:bCs/>
              </w:rPr>
              <w:t>0.12</w:t>
            </w:r>
          </w:p>
        </w:tc>
      </w:tr>
      <w:tr w:rsidR="0074179D" w14:paraId="2C9E36AF" w14:textId="77777777" w:rsidTr="00F62690">
        <w:trPr>
          <w:trHeight w:hRule="exact" w:val="432"/>
          <w:jc w:val="center"/>
        </w:trPr>
        <w:tc>
          <w:tcPr>
            <w:tcW w:w="2520" w:type="dxa"/>
            <w:vAlign w:val="center"/>
          </w:tcPr>
          <w:p w14:paraId="401B24FA" w14:textId="6B921609" w:rsidR="0074179D" w:rsidRPr="0074179D" w:rsidRDefault="0074179D" w:rsidP="00097698">
            <w:pPr>
              <w:pStyle w:val="NoSpacing"/>
              <w:jc w:val="center"/>
              <w:rPr>
                <w:b w:val="0"/>
                <w:bCs/>
              </w:rPr>
            </w:pPr>
            <w:r>
              <w:rPr>
                <w:b w:val="0"/>
                <w:bCs/>
              </w:rPr>
              <w:t>Surfactant 2</w:t>
            </w:r>
          </w:p>
        </w:tc>
        <w:tc>
          <w:tcPr>
            <w:tcW w:w="2245" w:type="dxa"/>
            <w:vAlign w:val="center"/>
          </w:tcPr>
          <w:p w14:paraId="6C665380" w14:textId="5FE0F2A4" w:rsidR="0074179D" w:rsidRPr="0074179D" w:rsidRDefault="00310863" w:rsidP="00097698">
            <w:pPr>
              <w:pStyle w:val="NoSpacing"/>
              <w:jc w:val="center"/>
              <w:rPr>
                <w:b w:val="0"/>
                <w:bCs/>
              </w:rPr>
            </w:pPr>
            <w:r>
              <w:rPr>
                <w:b w:val="0"/>
                <w:bCs/>
              </w:rPr>
              <w:t>0.04</w:t>
            </w:r>
          </w:p>
        </w:tc>
      </w:tr>
      <w:tr w:rsidR="0074179D" w14:paraId="14723E10" w14:textId="77777777" w:rsidTr="00F62690">
        <w:trPr>
          <w:trHeight w:hRule="exact" w:val="432"/>
          <w:jc w:val="center"/>
        </w:trPr>
        <w:tc>
          <w:tcPr>
            <w:tcW w:w="2520" w:type="dxa"/>
            <w:vAlign w:val="center"/>
          </w:tcPr>
          <w:p w14:paraId="4CA4A1AE" w14:textId="4A73EF04" w:rsidR="0074179D" w:rsidRPr="0074179D" w:rsidRDefault="0074179D" w:rsidP="00097698">
            <w:pPr>
              <w:pStyle w:val="NoSpacing"/>
              <w:jc w:val="center"/>
              <w:rPr>
                <w:b w:val="0"/>
                <w:bCs/>
              </w:rPr>
            </w:pPr>
            <w:r>
              <w:rPr>
                <w:b w:val="0"/>
                <w:bCs/>
              </w:rPr>
              <w:t>Surfactant 3</w:t>
            </w:r>
          </w:p>
        </w:tc>
        <w:tc>
          <w:tcPr>
            <w:tcW w:w="2245" w:type="dxa"/>
            <w:vAlign w:val="center"/>
          </w:tcPr>
          <w:p w14:paraId="62DB5C56" w14:textId="11F62C6B" w:rsidR="0074179D" w:rsidRPr="0074179D" w:rsidRDefault="00310863" w:rsidP="00097698">
            <w:pPr>
              <w:pStyle w:val="NoSpacing"/>
              <w:keepNext/>
              <w:jc w:val="center"/>
              <w:rPr>
                <w:b w:val="0"/>
                <w:bCs/>
              </w:rPr>
            </w:pPr>
            <w:r>
              <w:rPr>
                <w:b w:val="0"/>
                <w:bCs/>
              </w:rPr>
              <w:t>0.26</w:t>
            </w:r>
          </w:p>
        </w:tc>
      </w:tr>
    </w:tbl>
    <w:p w14:paraId="1EF9865D" w14:textId="77777777" w:rsidR="008B02BA" w:rsidRDefault="008B02BA" w:rsidP="006C7FA4">
      <w:pPr>
        <w:pStyle w:val="NoSpacing"/>
      </w:pPr>
    </w:p>
    <w:p w14:paraId="3DECAA68" w14:textId="1D7BF822" w:rsidR="00E53257" w:rsidRDefault="006C7FA4" w:rsidP="008B02BA">
      <w:pPr>
        <w:pStyle w:val="NoSpacing"/>
        <w:jc w:val="center"/>
      </w:pPr>
      <w:bookmarkStart w:id="129" w:name="_Ref118917317"/>
      <w:bookmarkStart w:id="130" w:name="_Toc121470314"/>
      <w:r>
        <w:t xml:space="preserve">Table </w:t>
      </w:r>
      <w:fldSimple w:instr=" SEQ Table \* ARABIC ">
        <w:r w:rsidR="002F3906">
          <w:rPr>
            <w:noProof/>
          </w:rPr>
          <w:t>7</w:t>
        </w:r>
      </w:fldSimple>
      <w:bookmarkEnd w:id="129"/>
      <w:r>
        <w:t xml:space="preserve"> </w:t>
      </w:r>
      <w:r w:rsidR="008B02BA">
        <w:t>-</w:t>
      </w:r>
      <w:r>
        <w:t xml:space="preserve"> </w:t>
      </w:r>
      <w:r w:rsidR="008B02BA">
        <w:t>CMC measurements</w:t>
      </w:r>
      <w:r w:rsidR="00862536">
        <w:t xml:space="preserve"> of surfactants used in this study</w:t>
      </w:r>
      <w:r w:rsidR="008B02BA">
        <w:t>.</w:t>
      </w:r>
      <w:bookmarkEnd w:id="130"/>
    </w:p>
    <w:p w14:paraId="47CCD181" w14:textId="6A2F0806" w:rsidR="00B82016" w:rsidRPr="00C11140" w:rsidRDefault="00E53257" w:rsidP="00C11140">
      <w:pPr>
        <w:spacing w:line="240" w:lineRule="auto"/>
        <w:jc w:val="left"/>
        <w:rPr>
          <w:rFonts w:cs="Times New Roman"/>
          <w:b/>
        </w:rPr>
      </w:pPr>
      <w:r>
        <w:br w:type="page"/>
      </w:r>
    </w:p>
    <w:p w14:paraId="209BE80D" w14:textId="32C48A23" w:rsidR="00B24A2E" w:rsidRDefault="00A1628F" w:rsidP="0007043B">
      <w:pPr>
        <w:pStyle w:val="Heading3"/>
      </w:pPr>
      <w:bookmarkStart w:id="131" w:name="_Toc121470262"/>
      <w:r>
        <w:lastRenderedPageBreak/>
        <w:t>4.</w:t>
      </w:r>
      <w:r w:rsidR="0007043B">
        <w:t>2.4</w:t>
      </w:r>
      <w:r>
        <w:t xml:space="preserve"> Interfacial Tension Measurements</w:t>
      </w:r>
      <w:bookmarkEnd w:id="131"/>
      <w:r>
        <w:t xml:space="preserve"> </w:t>
      </w:r>
    </w:p>
    <w:p w14:paraId="0877FF36" w14:textId="663FA9EF" w:rsidR="00A23339" w:rsidRDefault="00565C41" w:rsidP="007311C0">
      <w:pPr>
        <w:rPr>
          <w:rFonts w:eastAsiaTheme="minorHAnsi"/>
        </w:rPr>
      </w:pPr>
      <w:r>
        <w:t xml:space="preserve">Results from fluid/fluid interactions between crude oil and </w:t>
      </w:r>
      <w:bookmarkStart w:id="132" w:name="OLE_LINK2"/>
      <w:r>
        <w:t>surfactants at</w:t>
      </w:r>
      <w:r>
        <w:rPr>
          <w:rFonts w:eastAsiaTheme="minorHAnsi"/>
        </w:rPr>
        <w:t xml:space="preserve"> 2 gpt concentration</w:t>
      </w:r>
      <w:r w:rsidR="006A7DC9">
        <w:rPr>
          <w:rFonts w:eastAsiaTheme="minorHAnsi"/>
        </w:rPr>
        <w:t>,</w:t>
      </w:r>
      <w:r>
        <w:rPr>
          <w:rFonts w:eastAsiaTheme="minorHAnsi"/>
        </w:rPr>
        <w:t xml:space="preserve"> along with </w:t>
      </w:r>
      <w:r w:rsidR="00862536">
        <w:rPr>
          <w:rFonts w:eastAsiaTheme="minorHAnsi"/>
        </w:rPr>
        <w:t xml:space="preserve">produced </w:t>
      </w:r>
      <w:r>
        <w:rPr>
          <w:rFonts w:eastAsiaTheme="minorHAnsi"/>
        </w:rPr>
        <w:t>brine</w:t>
      </w:r>
      <w:r w:rsidR="006A7DC9">
        <w:rPr>
          <w:rFonts w:eastAsiaTheme="minorHAnsi"/>
        </w:rPr>
        <w:t>,</w:t>
      </w:r>
      <w:r>
        <w:rPr>
          <w:rFonts w:eastAsiaTheme="minorHAnsi"/>
        </w:rPr>
        <w:t xml:space="preserve"> </w:t>
      </w:r>
      <w:bookmarkEnd w:id="132"/>
      <w:r>
        <w:rPr>
          <w:rFonts w:eastAsiaTheme="minorHAnsi"/>
        </w:rPr>
        <w:t xml:space="preserve">are shown </w:t>
      </w:r>
      <w:r w:rsidRPr="00AA53DB">
        <w:rPr>
          <w:rFonts w:eastAsiaTheme="minorHAnsi"/>
        </w:rPr>
        <w:t>in</w:t>
      </w:r>
      <w:r w:rsidR="00AA53DB" w:rsidRPr="00AA53DB">
        <w:rPr>
          <w:rFonts w:eastAsiaTheme="minorHAnsi"/>
        </w:rPr>
        <w:t xml:space="preserve"> </w:t>
      </w:r>
      <w:r w:rsidR="00AA53DB" w:rsidRPr="00AA53DB">
        <w:rPr>
          <w:rFonts w:eastAsiaTheme="minorHAnsi"/>
        </w:rPr>
        <w:fldChar w:fldCharType="begin"/>
      </w:r>
      <w:r w:rsidR="00AA53DB" w:rsidRPr="00AA53DB">
        <w:rPr>
          <w:rFonts w:eastAsiaTheme="minorHAnsi"/>
        </w:rPr>
        <w:instrText xml:space="preserve"> REF _Ref118796055 \h  \* MERGEFORMAT </w:instrText>
      </w:r>
      <w:r w:rsidR="00AA53DB" w:rsidRPr="00AA53DB">
        <w:rPr>
          <w:rFonts w:eastAsiaTheme="minorHAnsi"/>
        </w:rPr>
      </w:r>
      <w:r w:rsidR="00AA53DB" w:rsidRPr="00AA53DB">
        <w:rPr>
          <w:rFonts w:eastAsiaTheme="minorHAnsi"/>
        </w:rPr>
        <w:fldChar w:fldCharType="separate"/>
      </w:r>
      <w:r w:rsidR="002F3906" w:rsidRPr="00165B1D">
        <w:t xml:space="preserve">Figure </w:t>
      </w:r>
      <w:r w:rsidR="002F3906">
        <w:rPr>
          <w:noProof/>
        </w:rPr>
        <w:t>16</w:t>
      </w:r>
      <w:r w:rsidR="00AA53DB" w:rsidRPr="00AA53DB">
        <w:rPr>
          <w:rFonts w:eastAsiaTheme="minorHAnsi"/>
        </w:rPr>
        <w:fldChar w:fldCharType="end"/>
      </w:r>
      <w:r w:rsidR="00AA53DB" w:rsidRPr="00AA53DB">
        <w:rPr>
          <w:rFonts w:eastAsiaTheme="minorHAnsi"/>
        </w:rPr>
        <w:t xml:space="preserve">. </w:t>
      </w:r>
      <w:r w:rsidRPr="00AA53DB">
        <w:rPr>
          <w:rFonts w:eastAsiaTheme="minorHAnsi"/>
        </w:rPr>
        <w:t>The original IFT between crude oil and brine was 17.3 mN/m. Then as surfactants were added to the brine</w:t>
      </w:r>
      <w:r>
        <w:rPr>
          <w:rFonts w:eastAsiaTheme="minorHAnsi"/>
        </w:rPr>
        <w:t>, IFT was reduced moderately to 3.6 and 4.4 mN/m for amphoteric surfactants, while biosurfactant showed the most reduction in IFT to 0.7 mN/m.</w:t>
      </w:r>
      <w:r w:rsidR="00E735F2">
        <w:rPr>
          <w:rFonts w:eastAsiaTheme="minorHAnsi"/>
        </w:rPr>
        <w:t xml:space="preserve"> </w:t>
      </w:r>
      <w:r w:rsidR="00862536">
        <w:rPr>
          <w:rFonts w:eastAsiaTheme="minorHAnsi"/>
        </w:rPr>
        <w:t xml:space="preserve">With CMC values </w:t>
      </w:r>
      <w:r w:rsidR="00527E7D">
        <w:rPr>
          <w:rFonts w:eastAsiaTheme="minorHAnsi"/>
        </w:rPr>
        <w:t>lower than 2 gpt concentration</w:t>
      </w:r>
      <w:r w:rsidR="006A7DC9">
        <w:rPr>
          <w:rFonts w:eastAsiaTheme="minorHAnsi"/>
        </w:rPr>
        <w:t>,</w:t>
      </w:r>
      <w:r w:rsidR="00527E7D">
        <w:rPr>
          <w:rFonts w:eastAsiaTheme="minorHAnsi"/>
        </w:rPr>
        <w:t xml:space="preserve"> we can say this is the maximum reduction in IFT possible using these surfactants at such a high TDS.</w:t>
      </w:r>
    </w:p>
    <w:p w14:paraId="761E1477" w14:textId="77777777" w:rsidR="00AA53DB" w:rsidRDefault="00565C41" w:rsidP="002117A7">
      <w:pPr>
        <w:pStyle w:val="NoSpacing"/>
        <w:jc w:val="center"/>
        <w:rPr>
          <w:b w:val="0"/>
          <w:bCs/>
        </w:rPr>
      </w:pPr>
      <w:r>
        <w:rPr>
          <w:noProof/>
        </w:rPr>
        <w:drawing>
          <wp:inline distT="0" distB="0" distL="0" distR="0" wp14:anchorId="57F61313" wp14:editId="02E722EB">
            <wp:extent cx="5394960" cy="2651760"/>
            <wp:effectExtent l="0" t="0" r="0" b="0"/>
            <wp:docPr id="9" name="Chart 9">
              <a:extLst xmlns:a="http://schemas.openxmlformats.org/drawingml/2006/main">
                <a:ext uri="{FF2B5EF4-FFF2-40B4-BE49-F238E27FC236}">
                  <a16:creationId xmlns:a16="http://schemas.microsoft.com/office/drawing/2014/main" id="{ACE427E1-7E18-D74F-8795-94BE55A62C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47F0974" w14:textId="77777777" w:rsidR="00AA53DB" w:rsidRDefault="00AA53DB" w:rsidP="001203D4">
      <w:pPr>
        <w:pStyle w:val="NoSpacing"/>
        <w:rPr>
          <w:b w:val="0"/>
          <w:bCs/>
        </w:rPr>
      </w:pPr>
    </w:p>
    <w:p w14:paraId="4A67EE65" w14:textId="0214BF81" w:rsidR="001203D4" w:rsidRPr="00165B1D" w:rsidRDefault="009A0CF6" w:rsidP="00165B1D">
      <w:pPr>
        <w:pStyle w:val="NoSpacing"/>
      </w:pPr>
      <w:bookmarkStart w:id="133" w:name="_Ref118796055"/>
      <w:bookmarkStart w:id="134" w:name="_Toc121470290"/>
      <w:r w:rsidRPr="00165B1D">
        <w:t xml:space="preserve">Figure </w:t>
      </w:r>
      <w:fldSimple w:instr=" SEQ Figure \* ARABIC ">
        <w:r w:rsidR="002F3906">
          <w:rPr>
            <w:noProof/>
          </w:rPr>
          <w:t>16</w:t>
        </w:r>
      </w:fldSimple>
      <w:bookmarkEnd w:id="133"/>
      <w:r w:rsidRPr="00165B1D">
        <w:t xml:space="preserve"> - IFT measurement of produced brine and surfactants at 2 gpt concentration.</w:t>
      </w:r>
      <w:bookmarkEnd w:id="134"/>
    </w:p>
    <w:p w14:paraId="058DB94F" w14:textId="556B6F96" w:rsidR="00521E84" w:rsidRDefault="00521E84" w:rsidP="0007043B">
      <w:pPr>
        <w:pStyle w:val="NoSpacing"/>
      </w:pPr>
    </w:p>
    <w:p w14:paraId="6DA629B2" w14:textId="194069D9" w:rsidR="0007043B" w:rsidRDefault="006304B0" w:rsidP="00FE5A93">
      <w:pPr>
        <w:pStyle w:val="Heading2"/>
        <w:numPr>
          <w:ilvl w:val="0"/>
          <w:numId w:val="0"/>
        </w:numPr>
      </w:pPr>
      <w:bookmarkStart w:id="135" w:name="_Toc121470263"/>
      <w:r>
        <w:t>4.3 Contact Angle Measurements</w:t>
      </w:r>
      <w:bookmarkEnd w:id="135"/>
    </w:p>
    <w:p w14:paraId="44D7A568" w14:textId="5F7B9142" w:rsidR="0059632C" w:rsidRDefault="00521E84" w:rsidP="00A32857">
      <w:pPr>
        <w:rPr>
          <w:rFonts w:eastAsiaTheme="minorHAnsi"/>
        </w:rPr>
      </w:pPr>
      <w:r>
        <w:t>Results from contact angle measurements between rock samples and surfactants at</w:t>
      </w:r>
      <w:r>
        <w:rPr>
          <w:rFonts w:eastAsiaTheme="minorHAnsi"/>
        </w:rPr>
        <w:t xml:space="preserve"> 2 gpt concentration</w:t>
      </w:r>
      <w:r w:rsidR="006A7DC9">
        <w:rPr>
          <w:rFonts w:eastAsiaTheme="minorHAnsi"/>
        </w:rPr>
        <w:t>,</w:t>
      </w:r>
      <w:r>
        <w:rPr>
          <w:rFonts w:eastAsiaTheme="minorHAnsi"/>
        </w:rPr>
        <w:t xml:space="preserve"> along with </w:t>
      </w:r>
      <w:r w:rsidR="005A46EF">
        <w:rPr>
          <w:rFonts w:eastAsiaTheme="minorHAnsi"/>
        </w:rPr>
        <w:t xml:space="preserve">produced </w:t>
      </w:r>
      <w:r>
        <w:rPr>
          <w:rFonts w:eastAsiaTheme="minorHAnsi"/>
        </w:rPr>
        <w:t>brine</w:t>
      </w:r>
      <w:r w:rsidR="006A7DC9">
        <w:rPr>
          <w:rFonts w:eastAsiaTheme="minorHAnsi"/>
        </w:rPr>
        <w:t>,</w:t>
      </w:r>
      <w:r>
        <w:rPr>
          <w:rFonts w:eastAsiaTheme="minorHAnsi"/>
        </w:rPr>
        <w:t xml:space="preserve"> are shown in </w:t>
      </w:r>
      <w:r w:rsidR="000307E1" w:rsidRPr="00805B0C">
        <w:rPr>
          <w:rFonts w:eastAsiaTheme="minorHAnsi"/>
        </w:rPr>
        <w:fldChar w:fldCharType="begin"/>
      </w:r>
      <w:r w:rsidR="000307E1" w:rsidRPr="00805B0C">
        <w:rPr>
          <w:rFonts w:eastAsiaTheme="minorHAnsi"/>
        </w:rPr>
        <w:instrText xml:space="preserve"> REF _Ref118795970 \h </w:instrText>
      </w:r>
      <w:r w:rsidR="00805B0C" w:rsidRPr="00805B0C">
        <w:rPr>
          <w:rFonts w:eastAsiaTheme="minorHAnsi"/>
        </w:rPr>
        <w:instrText xml:space="preserve"> \* MERGEFORMAT </w:instrText>
      </w:r>
      <w:r w:rsidR="000307E1" w:rsidRPr="00805B0C">
        <w:rPr>
          <w:rFonts w:eastAsiaTheme="minorHAnsi"/>
        </w:rPr>
      </w:r>
      <w:r w:rsidR="000307E1" w:rsidRPr="00805B0C">
        <w:rPr>
          <w:rFonts w:eastAsiaTheme="minorHAnsi"/>
        </w:rPr>
        <w:fldChar w:fldCharType="separate"/>
      </w:r>
      <w:r w:rsidR="002F3906" w:rsidRPr="007B3CA2">
        <w:t xml:space="preserve">Figure </w:t>
      </w:r>
      <w:r w:rsidR="002F3906">
        <w:rPr>
          <w:noProof/>
        </w:rPr>
        <w:t>17</w:t>
      </w:r>
      <w:r w:rsidR="000307E1" w:rsidRPr="00805B0C">
        <w:rPr>
          <w:rFonts w:eastAsiaTheme="minorHAnsi"/>
        </w:rPr>
        <w:fldChar w:fldCharType="end"/>
      </w:r>
      <w:r>
        <w:rPr>
          <w:rFonts w:eastAsiaTheme="minorHAnsi"/>
        </w:rPr>
        <w:t xml:space="preserve">. Base case wettability measurement after saturation with crude oil shows that the rock samples are oil-and-intermediate wet with contact angles ranging from 92 to 110 degrees. After determining initial wettability, rock samples were imbibed with </w:t>
      </w:r>
      <w:r w:rsidR="005A46EF">
        <w:rPr>
          <w:rFonts w:eastAsiaTheme="minorHAnsi"/>
        </w:rPr>
        <w:t xml:space="preserve">produced </w:t>
      </w:r>
      <w:r>
        <w:rPr>
          <w:rFonts w:eastAsiaTheme="minorHAnsi"/>
        </w:rPr>
        <w:t xml:space="preserve">brine and surfactants at 2 gpt concentration. </w:t>
      </w:r>
      <w:r w:rsidR="0017345E">
        <w:rPr>
          <w:rFonts w:eastAsiaTheme="minorHAnsi"/>
        </w:rPr>
        <w:t>M</w:t>
      </w:r>
      <w:r>
        <w:rPr>
          <w:rFonts w:eastAsiaTheme="minorHAnsi"/>
        </w:rPr>
        <w:t xml:space="preserve">easurements post imbibition shows that with </w:t>
      </w:r>
      <w:r w:rsidR="005233BC">
        <w:rPr>
          <w:rFonts w:eastAsiaTheme="minorHAnsi"/>
        </w:rPr>
        <w:t xml:space="preserve">produced </w:t>
      </w:r>
      <w:r>
        <w:rPr>
          <w:rFonts w:eastAsiaTheme="minorHAnsi"/>
        </w:rPr>
        <w:t xml:space="preserve">brine, the contact angle remains approximately 94 </w:t>
      </w:r>
      <w:r>
        <w:rPr>
          <w:rFonts w:eastAsiaTheme="minorHAnsi"/>
        </w:rPr>
        <w:lastRenderedPageBreak/>
        <w:t>degrees which shows that the sample is still intermediate wet</w:t>
      </w:r>
      <w:r w:rsidR="0059632C">
        <w:rPr>
          <w:rFonts w:eastAsiaTheme="minorHAnsi"/>
        </w:rPr>
        <w:t xml:space="preserve">. </w:t>
      </w:r>
      <w:r w:rsidR="00250F4B">
        <w:rPr>
          <w:rFonts w:eastAsiaTheme="minorHAnsi"/>
        </w:rPr>
        <w:t xml:space="preserve">All the surfactants </w:t>
      </w:r>
      <w:r w:rsidR="0059632C">
        <w:rPr>
          <w:rFonts w:eastAsiaTheme="minorHAnsi"/>
        </w:rPr>
        <w:t>reduce</w:t>
      </w:r>
      <w:r w:rsidR="004B4517">
        <w:rPr>
          <w:rFonts w:eastAsiaTheme="minorHAnsi"/>
        </w:rPr>
        <w:t>d</w:t>
      </w:r>
      <w:r w:rsidR="0059632C">
        <w:rPr>
          <w:rFonts w:eastAsiaTheme="minorHAnsi"/>
        </w:rPr>
        <w:t xml:space="preserve"> contact angle</w:t>
      </w:r>
      <w:r w:rsidR="00250F4B">
        <w:rPr>
          <w:rFonts w:eastAsiaTheme="minorHAnsi"/>
        </w:rPr>
        <w:t xml:space="preserve"> </w:t>
      </w:r>
      <w:r w:rsidR="0059632C">
        <w:rPr>
          <w:rFonts w:eastAsiaTheme="minorHAnsi"/>
        </w:rPr>
        <w:t>and m</w:t>
      </w:r>
      <w:r w:rsidR="004B4517">
        <w:rPr>
          <w:rFonts w:eastAsiaTheme="minorHAnsi"/>
        </w:rPr>
        <w:t>ade</w:t>
      </w:r>
      <w:r w:rsidR="0059632C">
        <w:rPr>
          <w:rFonts w:eastAsiaTheme="minorHAnsi"/>
        </w:rPr>
        <w:t xml:space="preserve"> the samples water wet</w:t>
      </w:r>
      <w:r w:rsidR="00C93639">
        <w:rPr>
          <w:rFonts w:eastAsiaTheme="minorHAnsi"/>
        </w:rPr>
        <w:t>,</w:t>
      </w:r>
      <w:r w:rsidR="0059632C">
        <w:rPr>
          <w:rFonts w:eastAsiaTheme="minorHAnsi"/>
        </w:rPr>
        <w:t xml:space="preserve"> </w:t>
      </w:r>
      <w:r w:rsidR="00250F4B">
        <w:rPr>
          <w:rFonts w:eastAsiaTheme="minorHAnsi"/>
        </w:rPr>
        <w:t xml:space="preserve">but biosurfactant </w:t>
      </w:r>
      <w:r w:rsidR="00871921">
        <w:rPr>
          <w:rFonts w:eastAsiaTheme="minorHAnsi"/>
        </w:rPr>
        <w:t>was</w:t>
      </w:r>
      <w:r w:rsidR="00250F4B">
        <w:rPr>
          <w:rFonts w:eastAsiaTheme="minorHAnsi"/>
        </w:rPr>
        <w:t xml:space="preserve"> the most effective</w:t>
      </w:r>
      <w:r w:rsidR="0059632C">
        <w:rPr>
          <w:rFonts w:eastAsiaTheme="minorHAnsi"/>
        </w:rPr>
        <w:t>.</w:t>
      </w:r>
      <w:r w:rsidR="00250F4B">
        <w:rPr>
          <w:rFonts w:eastAsiaTheme="minorHAnsi"/>
        </w:rPr>
        <w:t xml:space="preserve"> </w:t>
      </w:r>
    </w:p>
    <w:p w14:paraId="051AF396" w14:textId="21803EB6" w:rsidR="00A32857" w:rsidRPr="0059632C" w:rsidRDefault="00D9158E" w:rsidP="0059632C">
      <w:pPr>
        <w:ind w:firstLine="720"/>
        <w:rPr>
          <w:rFonts w:eastAsiaTheme="minorHAnsi"/>
        </w:rPr>
      </w:pPr>
      <w:r>
        <w:rPr>
          <w:rFonts w:eastAsiaTheme="minorHAnsi"/>
          <w:szCs w:val="20"/>
        </w:rPr>
        <w:t>B</w:t>
      </w:r>
      <w:r w:rsidR="00B74F02" w:rsidRPr="00B74F02">
        <w:rPr>
          <w:rFonts w:eastAsiaTheme="minorHAnsi"/>
          <w:szCs w:val="20"/>
        </w:rPr>
        <w:t xml:space="preserve">asic crude oil components </w:t>
      </w:r>
      <w:r w:rsidR="006A7DC9">
        <w:rPr>
          <w:rFonts w:eastAsiaTheme="minorHAnsi"/>
          <w:szCs w:val="20"/>
        </w:rPr>
        <w:t>get</w:t>
      </w:r>
      <w:r w:rsidR="00B74F02" w:rsidRPr="00B74F02">
        <w:rPr>
          <w:rFonts w:eastAsiaTheme="minorHAnsi"/>
          <w:szCs w:val="20"/>
        </w:rPr>
        <w:t xml:space="preserve"> strongly adsorbed on sandstone samples as they have negatively charged surface active agents</w:t>
      </w:r>
      <w:r>
        <w:rPr>
          <w:rFonts w:eastAsiaTheme="minorHAnsi"/>
          <w:szCs w:val="20"/>
        </w:rPr>
        <w:t xml:space="preserve"> (</w:t>
      </w:r>
      <w:r w:rsidRPr="00B74F02">
        <w:rPr>
          <w:rFonts w:eastAsiaTheme="minorHAnsi"/>
        </w:rPr>
        <w:t>Doust et al., 2011</w:t>
      </w:r>
      <w:r>
        <w:rPr>
          <w:rFonts w:eastAsiaTheme="minorHAnsi"/>
        </w:rPr>
        <w:t>)</w:t>
      </w:r>
      <w:r w:rsidR="00CF450E">
        <w:rPr>
          <w:rFonts w:eastAsiaTheme="minorHAnsi"/>
          <w:szCs w:val="20"/>
        </w:rPr>
        <w:t xml:space="preserve">. </w:t>
      </w:r>
      <w:r w:rsidR="00B74F02" w:rsidRPr="00B74F02">
        <w:rPr>
          <w:rFonts w:eastAsiaTheme="minorHAnsi"/>
          <w:szCs w:val="20"/>
        </w:rPr>
        <w:t xml:space="preserve">Initially, this made </w:t>
      </w:r>
      <w:r w:rsidR="009B02A3">
        <w:rPr>
          <w:rFonts w:eastAsiaTheme="minorHAnsi"/>
          <w:szCs w:val="20"/>
        </w:rPr>
        <w:t xml:space="preserve">all </w:t>
      </w:r>
      <w:r w:rsidR="00B74F02" w:rsidRPr="00B74F02">
        <w:rPr>
          <w:rFonts w:eastAsiaTheme="minorHAnsi"/>
          <w:szCs w:val="20"/>
        </w:rPr>
        <w:t>the samples oil</w:t>
      </w:r>
      <w:r w:rsidR="00CF450E">
        <w:rPr>
          <w:rFonts w:eastAsiaTheme="minorHAnsi"/>
          <w:szCs w:val="20"/>
        </w:rPr>
        <w:t>-</w:t>
      </w:r>
      <w:r w:rsidR="00B74F02" w:rsidRPr="00B74F02">
        <w:rPr>
          <w:rFonts w:eastAsiaTheme="minorHAnsi"/>
          <w:szCs w:val="20"/>
        </w:rPr>
        <w:t>and</w:t>
      </w:r>
      <w:r w:rsidR="00CF450E">
        <w:rPr>
          <w:rFonts w:eastAsiaTheme="minorHAnsi"/>
          <w:szCs w:val="20"/>
        </w:rPr>
        <w:t>-</w:t>
      </w:r>
      <w:r w:rsidR="00B74F02" w:rsidRPr="00B74F02">
        <w:rPr>
          <w:rFonts w:eastAsiaTheme="minorHAnsi"/>
          <w:szCs w:val="20"/>
        </w:rPr>
        <w:t>intermediate</w:t>
      </w:r>
      <w:r w:rsidR="00EC2AA6">
        <w:rPr>
          <w:rFonts w:eastAsiaTheme="minorHAnsi"/>
          <w:szCs w:val="20"/>
        </w:rPr>
        <w:t xml:space="preserve"> </w:t>
      </w:r>
      <w:r w:rsidR="00B74F02" w:rsidRPr="00B74F02">
        <w:rPr>
          <w:rFonts w:eastAsiaTheme="minorHAnsi"/>
          <w:szCs w:val="20"/>
        </w:rPr>
        <w:t xml:space="preserve">wet. </w:t>
      </w:r>
      <w:r w:rsidR="00B74F02" w:rsidRPr="00B74F02">
        <w:rPr>
          <w:rFonts w:eastAsiaTheme="minorHAnsi"/>
        </w:rPr>
        <w:t>A</w:t>
      </w:r>
      <w:r w:rsidR="00B74F02" w:rsidRPr="00B74F02">
        <w:rPr>
          <w:rFonts w:eastAsiaTheme="minorHAnsi"/>
          <w:szCs w:val="20"/>
        </w:rPr>
        <w:t>mphoteric surfactants</w:t>
      </w:r>
      <w:r w:rsidR="000E626C">
        <w:rPr>
          <w:rFonts w:eastAsiaTheme="minorHAnsi"/>
          <w:szCs w:val="20"/>
        </w:rPr>
        <w:t xml:space="preserve"> </w:t>
      </w:r>
      <w:r w:rsidR="00384CC7">
        <w:rPr>
          <w:rFonts w:eastAsiaTheme="minorHAnsi"/>
          <w:szCs w:val="20"/>
        </w:rPr>
        <w:t>with neutral pH</w:t>
      </w:r>
      <w:r w:rsidR="000E626C">
        <w:rPr>
          <w:rFonts w:eastAsiaTheme="minorHAnsi"/>
          <w:szCs w:val="20"/>
        </w:rPr>
        <w:t xml:space="preserve"> behave as </w:t>
      </w:r>
      <w:r w:rsidR="000E626C" w:rsidRPr="001043F6">
        <w:t xml:space="preserve">zwitterionic </w:t>
      </w:r>
      <w:r w:rsidR="000E626C">
        <w:t xml:space="preserve">with both positive and negative charges </w:t>
      </w:r>
      <w:r w:rsidR="000E626C" w:rsidRPr="00B74F02">
        <w:rPr>
          <w:rFonts w:eastAsiaTheme="minorHAnsi"/>
          <w:szCs w:val="20"/>
        </w:rPr>
        <w:t>on the hydrophilic head</w:t>
      </w:r>
      <w:r w:rsidR="000E626C">
        <w:t xml:space="preserve"> (</w:t>
      </w:r>
      <w:r w:rsidR="000E626C" w:rsidRPr="009959DC">
        <w:rPr>
          <w:sz w:val="23"/>
          <w:szCs w:val="23"/>
        </w:rPr>
        <w:t>Schramm 2000</w:t>
      </w:r>
      <w:r w:rsidR="000E626C">
        <w:rPr>
          <w:sz w:val="23"/>
          <w:szCs w:val="23"/>
        </w:rPr>
        <w:t xml:space="preserve">; </w:t>
      </w:r>
      <w:r w:rsidR="000E626C" w:rsidRPr="00314C3F">
        <w:t>Lake 1989</w:t>
      </w:r>
      <w:r w:rsidR="000E626C">
        <w:t>; Honciuc 2021</w:t>
      </w:r>
      <w:r w:rsidR="000E626C">
        <w:rPr>
          <w:sz w:val="23"/>
          <w:szCs w:val="23"/>
        </w:rPr>
        <w:t>)</w:t>
      </w:r>
      <w:r w:rsidR="00542186">
        <w:rPr>
          <w:rFonts w:eastAsiaTheme="minorHAnsi"/>
          <w:szCs w:val="20"/>
        </w:rPr>
        <w:t>.</w:t>
      </w:r>
      <w:r w:rsidR="00B74F02" w:rsidRPr="00B74F02">
        <w:rPr>
          <w:rFonts w:eastAsiaTheme="minorHAnsi"/>
          <w:szCs w:val="20"/>
        </w:rPr>
        <w:t xml:space="preserve"> </w:t>
      </w:r>
      <w:r w:rsidR="007C664E">
        <w:rPr>
          <w:rFonts w:eastAsiaTheme="minorHAnsi"/>
          <w:szCs w:val="20"/>
        </w:rPr>
        <w:t>Current measurements</w:t>
      </w:r>
      <w:r w:rsidR="00B74F02" w:rsidRPr="00B74F02">
        <w:rPr>
          <w:rFonts w:eastAsiaTheme="minorHAnsi"/>
          <w:szCs w:val="20"/>
        </w:rPr>
        <w:t xml:space="preserve"> indicate that</w:t>
      </w:r>
      <w:r w:rsidR="003A0EAA">
        <w:rPr>
          <w:rFonts w:eastAsiaTheme="minorHAnsi"/>
          <w:szCs w:val="20"/>
        </w:rPr>
        <w:t xml:space="preserve"> </w:t>
      </w:r>
      <w:r w:rsidR="006A7DC9">
        <w:rPr>
          <w:rFonts w:eastAsiaTheme="minorHAnsi"/>
          <w:szCs w:val="20"/>
        </w:rPr>
        <w:t xml:space="preserve">a </w:t>
      </w:r>
      <w:r w:rsidR="003A0EAA" w:rsidRPr="00B74F02">
        <w:rPr>
          <w:rFonts w:eastAsiaTheme="minorHAnsi"/>
          <w:szCs w:val="20"/>
        </w:rPr>
        <w:t>negative charge on the head</w:t>
      </w:r>
      <w:r w:rsidR="003A0EAA">
        <w:rPr>
          <w:rFonts w:eastAsiaTheme="minorHAnsi"/>
          <w:szCs w:val="20"/>
        </w:rPr>
        <w:t xml:space="preserve"> of</w:t>
      </w:r>
      <w:r w:rsidR="00B74F02" w:rsidRPr="00B74F02">
        <w:rPr>
          <w:rFonts w:eastAsiaTheme="minorHAnsi"/>
          <w:szCs w:val="20"/>
        </w:rPr>
        <w:t xml:space="preserve"> </w:t>
      </w:r>
      <w:r w:rsidR="00B74F02" w:rsidRPr="00B74F02">
        <w:rPr>
          <w:rFonts w:eastAsiaTheme="minorHAnsi"/>
        </w:rPr>
        <w:t>a</w:t>
      </w:r>
      <w:r w:rsidR="00B74F02" w:rsidRPr="00B74F02">
        <w:rPr>
          <w:rFonts w:eastAsiaTheme="minorHAnsi"/>
          <w:szCs w:val="20"/>
        </w:rPr>
        <w:t xml:space="preserve">mphoteric surfactants </w:t>
      </w:r>
      <w:r w:rsidR="00A32857">
        <w:rPr>
          <w:rFonts w:eastAsiaTheme="minorHAnsi"/>
          <w:szCs w:val="20"/>
        </w:rPr>
        <w:t>interacts with</w:t>
      </w:r>
      <w:r w:rsidR="00A32857" w:rsidRPr="00A32857">
        <w:rPr>
          <w:rFonts w:eastAsiaTheme="minorHAnsi"/>
          <w:szCs w:val="20"/>
        </w:rPr>
        <w:t xml:space="preserve"> </w:t>
      </w:r>
      <w:r w:rsidR="00A32857">
        <w:rPr>
          <w:rFonts w:eastAsiaTheme="minorHAnsi"/>
          <w:szCs w:val="20"/>
        </w:rPr>
        <w:t>positively charged oil molecules (</w:t>
      </w:r>
      <w:r w:rsidR="00A32857" w:rsidRPr="00B74F02">
        <w:rPr>
          <w:rFonts w:eastAsiaTheme="minorHAnsi"/>
          <w:szCs w:val="20"/>
        </w:rPr>
        <w:t>basic component of the adsorbed oil</w:t>
      </w:r>
      <w:r w:rsidR="00A32857">
        <w:rPr>
          <w:rFonts w:eastAsiaTheme="minorHAnsi"/>
          <w:szCs w:val="20"/>
        </w:rPr>
        <w:t xml:space="preserve">) and form an </w:t>
      </w:r>
      <w:r w:rsidR="00B74F02" w:rsidRPr="00B74F02">
        <w:rPr>
          <w:rFonts w:eastAsiaTheme="minorHAnsi"/>
          <w:szCs w:val="20"/>
        </w:rPr>
        <w:t>ion</w:t>
      </w:r>
      <w:r>
        <w:rPr>
          <w:rFonts w:eastAsiaTheme="minorHAnsi"/>
          <w:szCs w:val="20"/>
        </w:rPr>
        <w:t>-</w:t>
      </w:r>
      <w:r w:rsidR="00B74F02" w:rsidRPr="00B74F02">
        <w:rPr>
          <w:rFonts w:eastAsiaTheme="minorHAnsi"/>
          <w:szCs w:val="20"/>
        </w:rPr>
        <w:t>pair</w:t>
      </w:r>
      <w:r w:rsidR="006A7DC9">
        <w:rPr>
          <w:rFonts w:eastAsiaTheme="minorHAnsi"/>
          <w:szCs w:val="20"/>
        </w:rPr>
        <w:t>,</w:t>
      </w:r>
      <w:r w:rsidR="002E7989">
        <w:rPr>
          <w:rFonts w:eastAsiaTheme="minorHAnsi"/>
          <w:szCs w:val="20"/>
        </w:rPr>
        <w:t xml:space="preserve"> </w:t>
      </w:r>
      <w:r w:rsidR="007A0698">
        <w:rPr>
          <w:rFonts w:eastAsiaTheme="minorHAnsi"/>
          <w:szCs w:val="20"/>
        </w:rPr>
        <w:t xml:space="preserve">as shown in </w:t>
      </w:r>
      <w:r w:rsidR="006163BA">
        <w:rPr>
          <w:rFonts w:eastAsiaTheme="minorHAnsi"/>
          <w:szCs w:val="20"/>
        </w:rPr>
        <w:fldChar w:fldCharType="begin"/>
      </w:r>
      <w:r w:rsidR="006163BA">
        <w:rPr>
          <w:rFonts w:eastAsiaTheme="minorHAnsi"/>
          <w:szCs w:val="20"/>
        </w:rPr>
        <w:instrText xml:space="preserve"> REF _Ref118945316 \h </w:instrText>
      </w:r>
      <w:r w:rsidR="006163BA">
        <w:rPr>
          <w:rFonts w:eastAsiaTheme="minorHAnsi"/>
          <w:szCs w:val="20"/>
        </w:rPr>
      </w:r>
      <w:r w:rsidR="006163BA">
        <w:rPr>
          <w:rFonts w:eastAsiaTheme="minorHAnsi"/>
          <w:szCs w:val="20"/>
        </w:rPr>
        <w:fldChar w:fldCharType="separate"/>
      </w:r>
      <w:r w:rsidR="002F3906" w:rsidRPr="00C316A8">
        <w:t xml:space="preserve">Figure </w:t>
      </w:r>
      <w:r w:rsidR="002F3906">
        <w:rPr>
          <w:noProof/>
        </w:rPr>
        <w:t>18</w:t>
      </w:r>
      <w:r w:rsidR="006163BA">
        <w:rPr>
          <w:rFonts w:eastAsiaTheme="minorHAnsi"/>
          <w:szCs w:val="20"/>
        </w:rPr>
        <w:fldChar w:fldCharType="end"/>
      </w:r>
      <w:r w:rsidR="002E7989">
        <w:rPr>
          <w:rFonts w:eastAsiaTheme="minorHAnsi"/>
          <w:szCs w:val="20"/>
        </w:rPr>
        <w:t xml:space="preserve">. </w:t>
      </w:r>
      <w:r w:rsidR="00B74F02" w:rsidRPr="00B74F02">
        <w:rPr>
          <w:rFonts w:eastAsiaTheme="minorHAnsi"/>
          <w:szCs w:val="20"/>
        </w:rPr>
        <w:t xml:space="preserve">This leads to desorption of oil </w:t>
      </w:r>
      <w:r w:rsidR="00542186">
        <w:rPr>
          <w:rFonts w:eastAsiaTheme="minorHAnsi"/>
          <w:szCs w:val="20"/>
        </w:rPr>
        <w:t>from the rock surface</w:t>
      </w:r>
      <w:r w:rsidR="006A7DC9">
        <w:rPr>
          <w:rFonts w:eastAsiaTheme="minorHAnsi"/>
          <w:szCs w:val="20"/>
        </w:rPr>
        <w:t>,</w:t>
      </w:r>
      <w:r w:rsidR="00542186">
        <w:rPr>
          <w:rFonts w:eastAsiaTheme="minorHAnsi"/>
          <w:szCs w:val="20"/>
        </w:rPr>
        <w:t xml:space="preserve"> </w:t>
      </w:r>
      <w:r w:rsidR="00B74F02" w:rsidRPr="00B74F02">
        <w:rPr>
          <w:rFonts w:eastAsiaTheme="minorHAnsi"/>
          <w:szCs w:val="20"/>
        </w:rPr>
        <w:t>which ma</w:t>
      </w:r>
      <w:r w:rsidR="002E7989">
        <w:rPr>
          <w:rFonts w:eastAsiaTheme="minorHAnsi"/>
          <w:szCs w:val="20"/>
        </w:rPr>
        <w:t>kes</w:t>
      </w:r>
      <w:r w:rsidR="00B74F02" w:rsidRPr="00B74F02">
        <w:rPr>
          <w:rFonts w:eastAsiaTheme="minorHAnsi"/>
          <w:szCs w:val="20"/>
        </w:rPr>
        <w:t xml:space="preserve"> the sample water wet</w:t>
      </w:r>
      <w:r w:rsidR="003427A3">
        <w:rPr>
          <w:rFonts w:eastAsiaTheme="minorHAnsi"/>
          <w:szCs w:val="20"/>
        </w:rPr>
        <w:t xml:space="preserve"> (</w:t>
      </w:r>
      <w:r w:rsidR="003427A3" w:rsidRPr="002A33AA">
        <w:t xml:space="preserve">Standnes </w:t>
      </w:r>
      <w:r w:rsidR="003427A3">
        <w:t>&amp;</w:t>
      </w:r>
      <w:r w:rsidR="003427A3" w:rsidRPr="002A33AA">
        <w:t xml:space="preserve"> Austad</w:t>
      </w:r>
      <w:r w:rsidR="003427A3">
        <w:t xml:space="preserve"> </w:t>
      </w:r>
      <w:r w:rsidR="003427A3" w:rsidRPr="002A33AA">
        <w:t>2000</w:t>
      </w:r>
      <w:r w:rsidR="003427A3">
        <w:rPr>
          <w:rFonts w:eastAsiaTheme="minorHAnsi"/>
          <w:szCs w:val="20"/>
        </w:rPr>
        <w:t>)</w:t>
      </w:r>
      <w:r w:rsidR="007C664E">
        <w:rPr>
          <w:rFonts w:eastAsiaTheme="minorHAnsi"/>
          <w:szCs w:val="20"/>
        </w:rPr>
        <w:t>.</w:t>
      </w:r>
    </w:p>
    <w:p w14:paraId="367A118F" w14:textId="77777777" w:rsidR="00FD4CE0" w:rsidRDefault="006A7DC9" w:rsidP="00570716">
      <w:pPr>
        <w:ind w:firstLine="720"/>
        <w:rPr>
          <w:rFonts w:eastAsiaTheme="minorHAnsi"/>
          <w:szCs w:val="20"/>
        </w:rPr>
      </w:pPr>
      <w:r>
        <w:rPr>
          <w:rFonts w:eastAsiaTheme="minorHAnsi"/>
          <w:szCs w:val="20"/>
        </w:rPr>
        <w:t>Nonionic b</w:t>
      </w:r>
      <w:r w:rsidR="00542186" w:rsidRPr="00B74F02">
        <w:rPr>
          <w:rFonts w:eastAsiaTheme="minorHAnsi"/>
          <w:szCs w:val="20"/>
        </w:rPr>
        <w:t xml:space="preserve">iosurfactants have </w:t>
      </w:r>
      <w:r w:rsidR="00246EC3">
        <w:rPr>
          <w:rFonts w:eastAsiaTheme="minorHAnsi"/>
          <w:szCs w:val="20"/>
        </w:rPr>
        <w:t xml:space="preserve">a </w:t>
      </w:r>
      <w:r w:rsidR="00542186" w:rsidRPr="00B74F02">
        <w:rPr>
          <w:rFonts w:eastAsiaTheme="minorHAnsi"/>
          <w:szCs w:val="20"/>
        </w:rPr>
        <w:t>hydrophilic head with overall no charge</w:t>
      </w:r>
      <w:r w:rsidR="00542186">
        <w:rPr>
          <w:rFonts w:eastAsiaTheme="minorHAnsi"/>
          <w:szCs w:val="20"/>
        </w:rPr>
        <w:t xml:space="preserve">. </w:t>
      </w:r>
      <w:r w:rsidR="00B74F02" w:rsidRPr="00B74F02">
        <w:rPr>
          <w:rFonts w:eastAsiaTheme="minorHAnsi"/>
          <w:szCs w:val="20"/>
        </w:rPr>
        <w:t xml:space="preserve">There are no electrostatic interactions </w:t>
      </w:r>
      <w:r w:rsidR="00B74F02" w:rsidRPr="006A7DC9">
        <w:rPr>
          <w:rFonts w:eastAsiaTheme="minorHAnsi"/>
          <w:szCs w:val="20"/>
        </w:rPr>
        <w:t>between the surfactant and rock surface for biosurfactant, but it still makes the sample most water wet.</w:t>
      </w:r>
      <w:r w:rsidR="00570716" w:rsidRPr="006A7DC9">
        <w:rPr>
          <w:rFonts w:eastAsiaTheme="minorHAnsi"/>
          <w:szCs w:val="20"/>
        </w:rPr>
        <w:t xml:space="preserve"> </w:t>
      </w:r>
    </w:p>
    <w:p w14:paraId="4C34E00E" w14:textId="274D54DA" w:rsidR="00AA4ECE" w:rsidRPr="00570716" w:rsidRDefault="00AC74DF" w:rsidP="00570716">
      <w:pPr>
        <w:ind w:firstLine="720"/>
        <w:rPr>
          <w:rFonts w:eastAsiaTheme="minorHAnsi"/>
          <w:szCs w:val="20"/>
        </w:rPr>
      </w:pPr>
      <w:r w:rsidRPr="006A7DC9">
        <w:rPr>
          <w:rFonts w:eastAsiaTheme="minorHAnsi"/>
        </w:rPr>
        <w:t xml:space="preserve">Here </w:t>
      </w:r>
      <w:r w:rsidR="009B13D6" w:rsidRPr="006A7DC9">
        <w:rPr>
          <w:rFonts w:eastAsiaTheme="minorHAnsi"/>
        </w:rPr>
        <w:t>I</w:t>
      </w:r>
      <w:r w:rsidR="009B50F9" w:rsidRPr="006A7DC9">
        <w:rPr>
          <w:rFonts w:eastAsiaTheme="minorHAnsi"/>
        </w:rPr>
        <w:t xml:space="preserve"> hypothesize that </w:t>
      </w:r>
      <w:r w:rsidRPr="006A7DC9">
        <w:rPr>
          <w:rFonts w:eastAsiaTheme="minorHAnsi"/>
        </w:rPr>
        <w:t>with produced brine having high TDS, precipitation of divalent cations</w:t>
      </w:r>
      <w:r w:rsidR="009B50F9" w:rsidRPr="006A7DC9">
        <w:rPr>
          <w:rFonts w:eastAsiaTheme="minorHAnsi"/>
        </w:rPr>
        <w:t xml:space="preserve"> such as Ca</w:t>
      </w:r>
      <w:r w:rsidR="009B50F9" w:rsidRPr="006A7DC9">
        <w:rPr>
          <w:rFonts w:eastAsiaTheme="minorHAnsi"/>
          <w:vertAlign w:val="superscript"/>
        </w:rPr>
        <w:t>2+</w:t>
      </w:r>
      <w:r w:rsidRPr="006A7DC9">
        <w:rPr>
          <w:rFonts w:eastAsiaTheme="minorHAnsi"/>
        </w:rPr>
        <w:t xml:space="preserve"> takes place on </w:t>
      </w:r>
      <w:r w:rsidR="009B50F9" w:rsidRPr="006A7DC9">
        <w:rPr>
          <w:rFonts w:eastAsiaTheme="minorHAnsi"/>
        </w:rPr>
        <w:t xml:space="preserve">clay </w:t>
      </w:r>
      <w:r w:rsidR="00783A0F" w:rsidRPr="006A7DC9">
        <w:rPr>
          <w:rFonts w:eastAsiaTheme="minorHAnsi"/>
        </w:rPr>
        <w:t>surface</w:t>
      </w:r>
      <w:r w:rsidR="00246EC3">
        <w:rPr>
          <w:rFonts w:eastAsiaTheme="minorHAnsi"/>
        </w:rPr>
        <w:t>,</w:t>
      </w:r>
      <w:r w:rsidR="005A14AD" w:rsidRPr="006A7DC9">
        <w:rPr>
          <w:rFonts w:eastAsiaTheme="minorHAnsi"/>
        </w:rPr>
        <w:t xml:space="preserve"> </w:t>
      </w:r>
      <w:r w:rsidR="0067752E" w:rsidRPr="006A7DC9">
        <w:rPr>
          <w:rFonts w:eastAsiaTheme="minorHAnsi"/>
        </w:rPr>
        <w:t xml:space="preserve">as </w:t>
      </w:r>
      <w:r w:rsidR="00246EC3">
        <w:rPr>
          <w:rFonts w:eastAsiaTheme="minorHAnsi"/>
        </w:rPr>
        <w:t>shown</w:t>
      </w:r>
      <w:r w:rsidR="0067752E" w:rsidRPr="006A7DC9">
        <w:rPr>
          <w:rFonts w:eastAsiaTheme="minorHAnsi"/>
        </w:rPr>
        <w:t xml:space="preserve"> by </w:t>
      </w:r>
      <w:r w:rsidR="005A14AD" w:rsidRPr="006A7DC9">
        <w:rPr>
          <w:rFonts w:eastAsiaTheme="minorHAnsi"/>
        </w:rPr>
        <w:t>Liu</w:t>
      </w:r>
      <w:r w:rsidR="00570716" w:rsidRPr="006A7DC9">
        <w:rPr>
          <w:rFonts w:eastAsiaTheme="minorHAnsi"/>
        </w:rPr>
        <w:t xml:space="preserve"> et al.</w:t>
      </w:r>
      <w:r w:rsidR="005A14AD" w:rsidRPr="006A7DC9">
        <w:rPr>
          <w:rFonts w:eastAsiaTheme="minorHAnsi"/>
        </w:rPr>
        <w:t xml:space="preserve"> </w:t>
      </w:r>
      <w:r w:rsidR="00570716" w:rsidRPr="006A7DC9">
        <w:rPr>
          <w:rFonts w:eastAsiaTheme="minorHAnsi"/>
        </w:rPr>
        <w:t>2019</w:t>
      </w:r>
      <w:r w:rsidR="00D4751D" w:rsidRPr="006A7DC9">
        <w:rPr>
          <w:rFonts w:eastAsiaTheme="minorHAnsi"/>
        </w:rPr>
        <w:t xml:space="preserve"> in </w:t>
      </w:r>
      <w:r w:rsidR="006163BA">
        <w:rPr>
          <w:rFonts w:eastAsiaTheme="minorHAnsi"/>
        </w:rPr>
        <w:fldChar w:fldCharType="begin"/>
      </w:r>
      <w:r w:rsidR="006163BA">
        <w:rPr>
          <w:rFonts w:eastAsiaTheme="minorHAnsi"/>
        </w:rPr>
        <w:instrText xml:space="preserve"> REF _Ref118945336 \h </w:instrText>
      </w:r>
      <w:r w:rsidR="006163BA">
        <w:rPr>
          <w:rFonts w:eastAsiaTheme="minorHAnsi"/>
        </w:rPr>
      </w:r>
      <w:r w:rsidR="006163BA">
        <w:rPr>
          <w:rFonts w:eastAsiaTheme="minorHAnsi"/>
        </w:rPr>
        <w:fldChar w:fldCharType="separate"/>
      </w:r>
      <w:r w:rsidR="002F3906" w:rsidRPr="007B3CA2">
        <w:t xml:space="preserve">Figure </w:t>
      </w:r>
      <w:r w:rsidR="002F3906">
        <w:rPr>
          <w:noProof/>
        </w:rPr>
        <w:t>19</w:t>
      </w:r>
      <w:r w:rsidR="006163BA">
        <w:rPr>
          <w:rFonts w:eastAsiaTheme="minorHAnsi"/>
        </w:rPr>
        <w:fldChar w:fldCharType="end"/>
      </w:r>
      <w:r w:rsidR="009B50F9" w:rsidRPr="006A7DC9">
        <w:rPr>
          <w:rFonts w:eastAsiaTheme="minorHAnsi"/>
        </w:rPr>
        <w:t xml:space="preserve">. This </w:t>
      </w:r>
      <w:r w:rsidR="00570716" w:rsidRPr="006A7DC9">
        <w:rPr>
          <w:rFonts w:eastAsiaTheme="minorHAnsi"/>
        </w:rPr>
        <w:t>precipitation</w:t>
      </w:r>
      <w:r w:rsidR="009B50F9" w:rsidRPr="006A7DC9">
        <w:rPr>
          <w:rFonts w:eastAsiaTheme="minorHAnsi"/>
        </w:rPr>
        <w:t xml:space="preserve"> is higher in amphoteric surfactants </w:t>
      </w:r>
      <w:r w:rsidR="00570716" w:rsidRPr="006A7DC9">
        <w:rPr>
          <w:rFonts w:eastAsiaTheme="minorHAnsi"/>
        </w:rPr>
        <w:t xml:space="preserve">as compared to biosurfactants which </w:t>
      </w:r>
      <w:r w:rsidR="00246EC3">
        <w:rPr>
          <w:rFonts w:eastAsiaTheme="minorHAnsi"/>
        </w:rPr>
        <w:t>decreases</w:t>
      </w:r>
      <w:r w:rsidR="00570716" w:rsidRPr="006A7DC9">
        <w:rPr>
          <w:rFonts w:eastAsiaTheme="minorHAnsi"/>
        </w:rPr>
        <w:t xml:space="preserve"> the efficacy of amphoteric </w:t>
      </w:r>
      <w:r w:rsidR="00246EC3">
        <w:rPr>
          <w:rFonts w:eastAsiaTheme="minorHAnsi"/>
        </w:rPr>
        <w:t>surfactants</w:t>
      </w:r>
      <w:r w:rsidR="00570716" w:rsidRPr="006A7DC9">
        <w:rPr>
          <w:rFonts w:eastAsiaTheme="minorHAnsi"/>
        </w:rPr>
        <w:t xml:space="preserve"> to decrease contact angle.</w:t>
      </w:r>
    </w:p>
    <w:p w14:paraId="7E9CFA9C" w14:textId="77777777" w:rsidR="00AA4ECE" w:rsidRPr="00C33903" w:rsidRDefault="00AA4ECE" w:rsidP="00F97009">
      <w:pPr>
        <w:spacing w:line="240" w:lineRule="auto"/>
        <w:rPr>
          <w:rFonts w:eastAsiaTheme="minorHAnsi"/>
          <w:szCs w:val="20"/>
        </w:rPr>
      </w:pPr>
    </w:p>
    <w:p w14:paraId="463323F4" w14:textId="6FD9E481" w:rsidR="000307E1" w:rsidRDefault="00521E84" w:rsidP="00805B0C">
      <w:pPr>
        <w:pStyle w:val="NoSpacing"/>
        <w:keepNext/>
        <w:jc w:val="center"/>
      </w:pPr>
      <w:r w:rsidRPr="00BC40FE">
        <w:rPr>
          <w:noProof/>
        </w:rPr>
        <w:lastRenderedPageBreak/>
        <w:drawing>
          <wp:inline distT="0" distB="0" distL="0" distR="0" wp14:anchorId="54CA4D42" wp14:editId="783342F8">
            <wp:extent cx="5394960" cy="2834640"/>
            <wp:effectExtent l="0" t="0" r="0" b="0"/>
            <wp:docPr id="15" name="Chart 15">
              <a:extLst xmlns:a="http://schemas.openxmlformats.org/drawingml/2006/main">
                <a:ext uri="{FF2B5EF4-FFF2-40B4-BE49-F238E27FC236}">
                  <a16:creationId xmlns:a16="http://schemas.microsoft.com/office/drawing/2014/main" id="{FB6EF258-E7CC-C543-AF04-DC3E97F458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5202DDD" w14:textId="77777777" w:rsidR="007A0698" w:rsidRDefault="007A0698" w:rsidP="000307E1">
      <w:pPr>
        <w:pStyle w:val="NoSpacing"/>
        <w:keepNext/>
      </w:pPr>
    </w:p>
    <w:p w14:paraId="1A48B965" w14:textId="72FD2876" w:rsidR="00CC7683" w:rsidRDefault="000307E1" w:rsidP="001062FE">
      <w:pPr>
        <w:pStyle w:val="NoSpacing"/>
      </w:pPr>
      <w:bookmarkStart w:id="136" w:name="_Ref118795970"/>
      <w:bookmarkStart w:id="137" w:name="_Toc121470291"/>
      <w:r w:rsidRPr="007B3CA2">
        <w:t xml:space="preserve">Figure </w:t>
      </w:r>
      <w:fldSimple w:instr=" SEQ Figure \* ARABIC ">
        <w:r w:rsidR="002F3906">
          <w:rPr>
            <w:noProof/>
          </w:rPr>
          <w:t>17</w:t>
        </w:r>
      </w:fldSimple>
      <w:bookmarkEnd w:id="136"/>
      <w:r w:rsidR="007A0698" w:rsidRPr="007B3CA2">
        <w:t xml:space="preserve"> - Contact angle measurements between sandstone samples and surfactants at 2 gpt concentration along with produced</w:t>
      </w:r>
      <w:r w:rsidR="00165B1D">
        <w:t xml:space="preserve"> </w:t>
      </w:r>
      <w:r w:rsidR="007A0698" w:rsidRPr="007B3CA2">
        <w:t>brine used in this study. Measurements post oil saturation shows all the samples are oil-and-intermediate wet. After imbibition with brine, the sample remains intermediate wet. With surfactants, the samples become water wet.</w:t>
      </w:r>
      <w:bookmarkEnd w:id="137"/>
    </w:p>
    <w:p w14:paraId="4D54AA86" w14:textId="77777777" w:rsidR="008408A1" w:rsidRDefault="008408A1" w:rsidP="001062FE">
      <w:pPr>
        <w:pStyle w:val="NoSpacing"/>
      </w:pPr>
    </w:p>
    <w:p w14:paraId="406BF499" w14:textId="08935FBC" w:rsidR="00133494" w:rsidRDefault="00133494" w:rsidP="001062FE">
      <w:pPr>
        <w:pStyle w:val="NoSpacing"/>
      </w:pPr>
    </w:p>
    <w:p w14:paraId="18CC7415" w14:textId="77777777" w:rsidR="00133494" w:rsidRPr="007B3CA2" w:rsidRDefault="00133494" w:rsidP="001062FE">
      <w:pPr>
        <w:pStyle w:val="NoSpacing"/>
      </w:pPr>
    </w:p>
    <w:p w14:paraId="4A913CEF" w14:textId="72F609CF" w:rsidR="00857C56" w:rsidRDefault="007B4BB2" w:rsidP="00097698">
      <w:pPr>
        <w:keepNext/>
        <w:spacing w:line="360" w:lineRule="auto"/>
        <w:jc w:val="center"/>
      </w:pPr>
      <w:r>
        <w:rPr>
          <w:noProof/>
        </w:rPr>
        <w:drawing>
          <wp:inline distT="0" distB="0" distL="0" distR="0" wp14:anchorId="63E33139" wp14:editId="74E69A62">
            <wp:extent cx="5836845" cy="1996440"/>
            <wp:effectExtent l="0" t="0" r="5715"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30" cstate="print">
                      <a:extLst>
                        <a:ext uri="{28A0092B-C50C-407E-A947-70E740481C1C}">
                          <a14:useLocalDpi xmlns:a14="http://schemas.microsoft.com/office/drawing/2010/main" val="0"/>
                        </a:ext>
                      </a:extLst>
                    </a:blip>
                    <a:srcRect l="1392" r="1915"/>
                    <a:stretch/>
                  </pic:blipFill>
                  <pic:spPr bwMode="auto">
                    <a:xfrm>
                      <a:off x="0" y="0"/>
                      <a:ext cx="5953208" cy="2036241"/>
                    </a:xfrm>
                    <a:prstGeom prst="rect">
                      <a:avLst/>
                    </a:prstGeom>
                    <a:ln>
                      <a:noFill/>
                    </a:ln>
                    <a:extLst>
                      <a:ext uri="{53640926-AAD7-44D8-BBD7-CCE9431645EC}">
                        <a14:shadowObscured xmlns:a14="http://schemas.microsoft.com/office/drawing/2010/main"/>
                      </a:ext>
                    </a:extLst>
                  </pic:spPr>
                </pic:pic>
              </a:graphicData>
            </a:graphic>
          </wp:inline>
        </w:drawing>
      </w:r>
    </w:p>
    <w:p w14:paraId="1050C408" w14:textId="16649F6B" w:rsidR="00857C56" w:rsidRPr="00C316A8" w:rsidRDefault="00857C56" w:rsidP="00857C56">
      <w:pPr>
        <w:pStyle w:val="NoSpacing"/>
        <w:jc w:val="center"/>
      </w:pPr>
      <w:bookmarkStart w:id="138" w:name="_Ref118945316"/>
      <w:bookmarkStart w:id="139" w:name="_Toc121470292"/>
      <w:r w:rsidRPr="00C316A8">
        <w:t xml:space="preserve">Figure </w:t>
      </w:r>
      <w:fldSimple w:instr=" SEQ Figure \* ARABIC ">
        <w:r w:rsidR="002F3906">
          <w:rPr>
            <w:noProof/>
          </w:rPr>
          <w:t>18</w:t>
        </w:r>
      </w:fldSimple>
      <w:bookmarkEnd w:id="138"/>
      <w:r w:rsidRPr="00C316A8">
        <w:t xml:space="preserve"> - Model showing ion-pair formation using oil-wet sandstone samples</w:t>
      </w:r>
      <w:r w:rsidR="00C316A8">
        <w:t>.</w:t>
      </w:r>
      <w:bookmarkEnd w:id="139"/>
    </w:p>
    <w:p w14:paraId="53BB2422" w14:textId="77777777" w:rsidR="00855ED8" w:rsidRPr="00B15518" w:rsidRDefault="00855ED8" w:rsidP="00855ED8">
      <w:pPr>
        <w:spacing w:line="360" w:lineRule="auto"/>
      </w:pPr>
    </w:p>
    <w:p w14:paraId="00A23DA7" w14:textId="77777777" w:rsidR="00A1628F" w:rsidRPr="00A1628F" w:rsidRDefault="00A1628F" w:rsidP="00A1628F"/>
    <w:p w14:paraId="595CC093" w14:textId="77777777" w:rsidR="00857C56" w:rsidRDefault="00857C56" w:rsidP="00857C56">
      <w:pPr>
        <w:keepNext/>
        <w:jc w:val="center"/>
      </w:pPr>
      <w:r w:rsidRPr="00857C56">
        <w:rPr>
          <w:noProof/>
        </w:rPr>
        <w:lastRenderedPageBreak/>
        <w:drawing>
          <wp:inline distT="0" distB="0" distL="0" distR="0" wp14:anchorId="078C3F46" wp14:editId="46E0DA35">
            <wp:extent cx="2743200" cy="1554480"/>
            <wp:effectExtent l="0" t="0" r="0" b="0"/>
            <wp:docPr id="24" name="Picture 24"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10;&#10;Description automatically generated"/>
                    <pic:cNvPicPr/>
                  </pic:nvPicPr>
                  <pic:blipFill rotWithShape="1">
                    <a:blip r:embed="rId31"/>
                    <a:srcRect l="2674" t="4638" r="5641" b="6272"/>
                    <a:stretch/>
                  </pic:blipFill>
                  <pic:spPr bwMode="auto">
                    <a:xfrm>
                      <a:off x="0" y="0"/>
                      <a:ext cx="2743200" cy="1554480"/>
                    </a:xfrm>
                    <a:prstGeom prst="rect">
                      <a:avLst/>
                    </a:prstGeom>
                    <a:ln>
                      <a:noFill/>
                    </a:ln>
                    <a:extLst>
                      <a:ext uri="{53640926-AAD7-44D8-BBD7-CCE9431645EC}">
                        <a14:shadowObscured xmlns:a14="http://schemas.microsoft.com/office/drawing/2010/main"/>
                      </a:ext>
                    </a:extLst>
                  </pic:spPr>
                </pic:pic>
              </a:graphicData>
            </a:graphic>
          </wp:inline>
        </w:drawing>
      </w:r>
    </w:p>
    <w:p w14:paraId="2F6F22C2" w14:textId="3E8CC1C6" w:rsidR="00D75417" w:rsidRPr="007B3CA2" w:rsidRDefault="00857C56" w:rsidP="00D75417">
      <w:pPr>
        <w:pStyle w:val="NoSpacing"/>
      </w:pPr>
      <w:bookmarkStart w:id="140" w:name="_Ref118945336"/>
      <w:bookmarkStart w:id="141" w:name="_Toc121470293"/>
      <w:r w:rsidRPr="007B3CA2">
        <w:t xml:space="preserve">Figure </w:t>
      </w:r>
      <w:fldSimple w:instr=" SEQ Figure \* ARABIC ">
        <w:r w:rsidR="002F3906">
          <w:rPr>
            <w:noProof/>
          </w:rPr>
          <w:t>19</w:t>
        </w:r>
      </w:fldSimple>
      <w:bookmarkEnd w:id="140"/>
      <w:r w:rsidRPr="007B3CA2">
        <w:t xml:space="preserve"> - </w:t>
      </w:r>
      <w:r w:rsidR="00D75417" w:rsidRPr="007B3CA2">
        <w:t>Schematic illustration of the adsorption mechanism at water-clay interface</w:t>
      </w:r>
      <w:r w:rsidR="00BC7548">
        <w:t xml:space="preserve"> </w:t>
      </w:r>
      <w:r w:rsidR="00D75417" w:rsidRPr="007B3CA2">
        <w:t>(</w:t>
      </w:r>
      <w:r w:rsidR="00D75417" w:rsidRPr="007B3CA2">
        <w:rPr>
          <w:rFonts w:eastAsiaTheme="minorHAnsi"/>
        </w:rPr>
        <w:t>Liu et al. 2019</w:t>
      </w:r>
      <w:r w:rsidR="00D75417" w:rsidRPr="007B3CA2">
        <w:t>).</w:t>
      </w:r>
      <w:bookmarkEnd w:id="141"/>
      <w:r w:rsidR="00D75417" w:rsidRPr="007B3CA2">
        <w:t xml:space="preserve"> </w:t>
      </w:r>
    </w:p>
    <w:p w14:paraId="505354FD" w14:textId="77777777" w:rsidR="00A33A82" w:rsidRPr="00857C56" w:rsidRDefault="00A33A82" w:rsidP="00857C56">
      <w:pPr>
        <w:pStyle w:val="NoSpacing"/>
        <w:rPr>
          <w:b w:val="0"/>
          <w:bCs/>
        </w:rPr>
      </w:pPr>
    </w:p>
    <w:p w14:paraId="0E712953" w14:textId="430F2C5E" w:rsidR="00C8120F" w:rsidRDefault="005D3439" w:rsidP="005D3439">
      <w:pPr>
        <w:pStyle w:val="Heading2"/>
      </w:pPr>
      <w:bookmarkStart w:id="142" w:name="_Toc121470264"/>
      <w:r>
        <w:t>4.4 Surfactant Adsorption Measurements</w:t>
      </w:r>
      <w:bookmarkEnd w:id="142"/>
      <w:r>
        <w:t xml:space="preserve"> </w:t>
      </w:r>
    </w:p>
    <w:p w14:paraId="2DE75E1E" w14:textId="6DEBE9BF" w:rsidR="009D1770" w:rsidRDefault="009D1770" w:rsidP="009D1770">
      <w:pPr>
        <w:rPr>
          <w:rFonts w:eastAsiaTheme="minorHAnsi"/>
        </w:rPr>
      </w:pPr>
      <w:r>
        <w:t xml:space="preserve">Surfactant adsorption measurements were performed to calculate the amount of surfactant adsorbed on the rock surface. </w:t>
      </w:r>
      <w:r w:rsidRPr="00D4785B">
        <w:t xml:space="preserve">Using Eq. </w:t>
      </w:r>
      <w:r w:rsidR="00D4785B" w:rsidRPr="00D4785B">
        <w:t>7</w:t>
      </w:r>
      <w:r w:rsidRPr="00D4785B">
        <w:t xml:space="preserve"> with</w:t>
      </w:r>
      <w:r>
        <w:t xml:space="preserve"> an initial surfactant concentration at 2 gpt, final surfactant concentrations were measured in the solutions using </w:t>
      </w:r>
      <w:r w:rsidRPr="002D406A">
        <w:rPr>
          <w:rFonts w:eastAsiaTheme="minorHAnsi"/>
        </w:rPr>
        <w:t>UV-Vis spectro</w:t>
      </w:r>
      <w:r>
        <w:rPr>
          <w:rFonts w:eastAsiaTheme="minorHAnsi"/>
        </w:rPr>
        <w:t xml:space="preserve">photometer. For this measurement, </w:t>
      </w:r>
      <w:bookmarkStart w:id="143" w:name="OLE_LINK4"/>
      <w:r>
        <w:rPr>
          <w:rFonts w:eastAsiaTheme="minorHAnsi"/>
        </w:rPr>
        <w:t xml:space="preserve">calibration curves </w:t>
      </w:r>
      <w:bookmarkEnd w:id="143"/>
      <w:r>
        <w:rPr>
          <w:rFonts w:eastAsiaTheme="minorHAnsi"/>
        </w:rPr>
        <w:t xml:space="preserve">were </w:t>
      </w:r>
      <w:r w:rsidRPr="00C72366">
        <w:rPr>
          <w:rFonts w:eastAsiaTheme="minorHAnsi"/>
        </w:rPr>
        <w:t xml:space="preserve">built. </w:t>
      </w:r>
      <w:r w:rsidR="00C72366" w:rsidRPr="00C72366">
        <w:rPr>
          <w:rFonts w:eastAsiaTheme="minorHAnsi"/>
        </w:rPr>
        <w:fldChar w:fldCharType="begin"/>
      </w:r>
      <w:r w:rsidR="00C72366" w:rsidRPr="00C72366">
        <w:rPr>
          <w:rFonts w:eastAsiaTheme="minorHAnsi"/>
        </w:rPr>
        <w:instrText xml:space="preserve"> REF _Ref118825472 \h  \* MERGEFORMAT </w:instrText>
      </w:r>
      <w:r w:rsidR="00C72366" w:rsidRPr="00C72366">
        <w:rPr>
          <w:rFonts w:eastAsiaTheme="minorHAnsi"/>
        </w:rPr>
      </w:r>
      <w:r w:rsidR="00C72366" w:rsidRPr="00C72366">
        <w:rPr>
          <w:rFonts w:eastAsiaTheme="minorHAnsi"/>
        </w:rPr>
        <w:fldChar w:fldCharType="separate"/>
      </w:r>
      <w:r w:rsidR="002F3906" w:rsidRPr="009D1770">
        <w:t xml:space="preserve">Figure </w:t>
      </w:r>
      <w:r w:rsidR="002F3906">
        <w:rPr>
          <w:noProof/>
        </w:rPr>
        <w:t>20</w:t>
      </w:r>
      <w:r w:rsidR="00C72366" w:rsidRPr="00C72366">
        <w:rPr>
          <w:rFonts w:eastAsiaTheme="minorHAnsi"/>
        </w:rPr>
        <w:fldChar w:fldCharType="end"/>
      </w:r>
      <w:r w:rsidR="00C72366" w:rsidRPr="00C72366">
        <w:rPr>
          <w:rFonts w:eastAsiaTheme="minorHAnsi"/>
        </w:rPr>
        <w:t xml:space="preserve"> </w:t>
      </w:r>
      <w:r w:rsidRPr="00C72366">
        <w:rPr>
          <w:rFonts w:eastAsiaTheme="minorHAnsi"/>
        </w:rPr>
        <w:t>shows</w:t>
      </w:r>
      <w:r>
        <w:rPr>
          <w:rFonts w:eastAsiaTheme="minorHAnsi"/>
        </w:rPr>
        <w:t xml:space="preserve"> the light absorption spectrum for three surfactants at concentrations varying from 0.5, 1, 1.5, and 2 gpt. Solutions with increasing surfactant concentration showed increasing light absorption with </w:t>
      </w:r>
      <w:r w:rsidR="00DF356E">
        <w:rPr>
          <w:rFonts w:eastAsiaTheme="minorHAnsi"/>
        </w:rPr>
        <w:t xml:space="preserve">a </w:t>
      </w:r>
      <w:r>
        <w:rPr>
          <w:rFonts w:eastAsiaTheme="minorHAnsi"/>
        </w:rPr>
        <w:t>peak at a particular wavelength. Light absorption was recorded at absorption peak wavelength</w:t>
      </w:r>
      <w:r w:rsidR="00010465">
        <w:rPr>
          <w:rFonts w:eastAsiaTheme="minorHAnsi"/>
        </w:rPr>
        <w:t xml:space="preserve"> of 240 nm </w:t>
      </w:r>
      <w:r>
        <w:rPr>
          <w:rFonts w:eastAsiaTheme="minorHAnsi"/>
        </w:rPr>
        <w:t xml:space="preserve">for all three surfactants to build calibration curves, as </w:t>
      </w:r>
      <w:r w:rsidRPr="005A3A96">
        <w:rPr>
          <w:rFonts w:eastAsiaTheme="minorHAnsi"/>
        </w:rPr>
        <w:t xml:space="preserve">shown in </w:t>
      </w:r>
      <w:r w:rsidR="005A3A96" w:rsidRPr="005A3A96">
        <w:rPr>
          <w:rFonts w:eastAsiaTheme="minorHAnsi"/>
        </w:rPr>
        <w:fldChar w:fldCharType="begin"/>
      </w:r>
      <w:r w:rsidR="005A3A96" w:rsidRPr="005A3A96">
        <w:rPr>
          <w:rFonts w:eastAsiaTheme="minorHAnsi"/>
        </w:rPr>
        <w:instrText xml:space="preserve"> REF _Ref118825537 \h  \* MERGEFORMAT </w:instrText>
      </w:r>
      <w:r w:rsidR="005A3A96" w:rsidRPr="005A3A96">
        <w:rPr>
          <w:rFonts w:eastAsiaTheme="minorHAnsi"/>
        </w:rPr>
      </w:r>
      <w:r w:rsidR="005A3A96" w:rsidRPr="005A3A96">
        <w:rPr>
          <w:rFonts w:eastAsiaTheme="minorHAnsi"/>
        </w:rPr>
        <w:fldChar w:fldCharType="separate"/>
      </w:r>
      <w:r w:rsidR="002F3906" w:rsidRPr="006905A4">
        <w:t xml:space="preserve">Figure </w:t>
      </w:r>
      <w:r w:rsidR="002F3906">
        <w:rPr>
          <w:noProof/>
        </w:rPr>
        <w:t>21</w:t>
      </w:r>
      <w:r w:rsidR="005A3A96" w:rsidRPr="005A3A96">
        <w:rPr>
          <w:rFonts w:eastAsiaTheme="minorHAnsi"/>
        </w:rPr>
        <w:fldChar w:fldCharType="end"/>
      </w:r>
      <w:r w:rsidRPr="005A3A96">
        <w:rPr>
          <w:rFonts w:eastAsiaTheme="minorHAnsi"/>
        </w:rPr>
        <w:t>. Final surfactant</w:t>
      </w:r>
      <w:r>
        <w:rPr>
          <w:rFonts w:eastAsiaTheme="minorHAnsi"/>
        </w:rPr>
        <w:t xml:space="preserve"> concentrations were calculated using these calibration curves by measuring light absorption on </w:t>
      </w:r>
      <w:r>
        <w:t>surfactant solution post imbibition</w:t>
      </w:r>
      <w:r>
        <w:rPr>
          <w:rFonts w:eastAsiaTheme="minorHAnsi"/>
        </w:rPr>
        <w:t xml:space="preserve">. </w:t>
      </w:r>
      <w:r w:rsidR="00045F5D">
        <w:rPr>
          <w:rFonts w:eastAsiaTheme="minorHAnsi"/>
        </w:rPr>
        <w:t>Light absorption spectrum post imbi</w:t>
      </w:r>
      <w:r w:rsidR="00483E42">
        <w:rPr>
          <w:rFonts w:eastAsiaTheme="minorHAnsi"/>
        </w:rPr>
        <w:t>bi</w:t>
      </w:r>
      <w:r w:rsidR="00045F5D">
        <w:rPr>
          <w:rFonts w:eastAsiaTheme="minorHAnsi"/>
        </w:rPr>
        <w:t>tion are shown in Figure 22</w:t>
      </w:r>
      <w:r w:rsidR="005F79DB">
        <w:rPr>
          <w:rFonts w:eastAsiaTheme="minorHAnsi"/>
        </w:rPr>
        <w:t>,</w:t>
      </w:r>
      <w:r w:rsidR="00045F5D">
        <w:rPr>
          <w:rFonts w:eastAsiaTheme="minorHAnsi"/>
        </w:rPr>
        <w:t xml:space="preserve"> and s</w:t>
      </w:r>
      <w:r>
        <w:rPr>
          <w:rFonts w:eastAsiaTheme="minorHAnsi"/>
        </w:rPr>
        <w:t xml:space="preserve">urfactant adsorption results are </w:t>
      </w:r>
      <w:r w:rsidRPr="004A4EB9">
        <w:rPr>
          <w:rFonts w:eastAsiaTheme="minorHAnsi"/>
        </w:rPr>
        <w:t xml:space="preserve">shown in </w:t>
      </w:r>
      <w:r w:rsidR="004A4EB9" w:rsidRPr="004A4EB9">
        <w:rPr>
          <w:rFonts w:eastAsiaTheme="minorHAnsi"/>
        </w:rPr>
        <w:fldChar w:fldCharType="begin"/>
      </w:r>
      <w:r w:rsidR="004A4EB9" w:rsidRPr="004A4EB9">
        <w:rPr>
          <w:rFonts w:eastAsiaTheme="minorHAnsi"/>
        </w:rPr>
        <w:instrText xml:space="preserve"> REF _Ref118825568 \h  \* MERGEFORMAT </w:instrText>
      </w:r>
      <w:r w:rsidR="004A4EB9" w:rsidRPr="004A4EB9">
        <w:rPr>
          <w:rFonts w:eastAsiaTheme="minorHAnsi"/>
        </w:rPr>
      </w:r>
      <w:r w:rsidR="004A4EB9" w:rsidRPr="004A4EB9">
        <w:rPr>
          <w:rFonts w:eastAsiaTheme="minorHAnsi"/>
        </w:rPr>
        <w:fldChar w:fldCharType="separate"/>
      </w:r>
      <w:r w:rsidR="002F3906" w:rsidRPr="006C12C5">
        <w:t xml:space="preserve">Figure </w:t>
      </w:r>
      <w:r w:rsidR="002F3906">
        <w:rPr>
          <w:noProof/>
        </w:rPr>
        <w:t>23</w:t>
      </w:r>
      <w:r w:rsidR="004A4EB9" w:rsidRPr="004A4EB9">
        <w:rPr>
          <w:rFonts w:eastAsiaTheme="minorHAnsi"/>
        </w:rPr>
        <w:fldChar w:fldCharType="end"/>
      </w:r>
      <w:r>
        <w:rPr>
          <w:rFonts w:eastAsiaTheme="minorHAnsi"/>
        </w:rPr>
        <w:t>.</w:t>
      </w:r>
    </w:p>
    <w:p w14:paraId="666BE7FA" w14:textId="7045A10B" w:rsidR="00DA5D8C" w:rsidRDefault="009D1770" w:rsidP="00443E09">
      <w:pPr>
        <w:rPr>
          <w:rFonts w:eastAsiaTheme="minorHAnsi"/>
        </w:rPr>
      </w:pPr>
      <w:r>
        <w:rPr>
          <w:rFonts w:eastAsiaTheme="minorHAnsi"/>
        </w:rPr>
        <w:tab/>
      </w:r>
      <w:r>
        <w:t xml:space="preserve">Results from surfactant adsorption measurements showed that </w:t>
      </w:r>
      <w:r>
        <w:rPr>
          <w:rFonts w:eastAsiaTheme="minorHAnsi"/>
        </w:rPr>
        <w:t>amphoteric surfactants have higher surfactant adsorption of 1</w:t>
      </w:r>
      <w:r w:rsidR="00B52703">
        <w:rPr>
          <w:rFonts w:eastAsiaTheme="minorHAnsi"/>
        </w:rPr>
        <w:t>5</w:t>
      </w:r>
      <w:r>
        <w:rPr>
          <w:rFonts w:eastAsiaTheme="minorHAnsi"/>
        </w:rPr>
        <w:t xml:space="preserve"> and 17 mg/gm-rock</w:t>
      </w:r>
      <w:r w:rsidR="00DF356E">
        <w:rPr>
          <w:rFonts w:eastAsiaTheme="minorHAnsi"/>
        </w:rPr>
        <w:t>,</w:t>
      </w:r>
      <w:r>
        <w:rPr>
          <w:rFonts w:eastAsiaTheme="minorHAnsi"/>
        </w:rPr>
        <w:t xml:space="preserve"> while biosurfactant have least surfactant adsorption of 9 mg/gm-rock. </w:t>
      </w:r>
      <w:r w:rsidR="001B3E53">
        <w:rPr>
          <w:rFonts w:eastAsiaTheme="minorHAnsi"/>
        </w:rPr>
        <w:t>S</w:t>
      </w:r>
      <w:r w:rsidRPr="00735DB7">
        <w:rPr>
          <w:rFonts w:eastAsiaTheme="minorHAnsi"/>
        </w:rPr>
        <w:t>urfactant adsorption depends on the reactivity between the surfactant solution charge and the rock surface charge.</w:t>
      </w:r>
      <w:r w:rsidR="00F44D8D">
        <w:rPr>
          <w:rFonts w:eastAsiaTheme="minorHAnsi"/>
        </w:rPr>
        <w:t xml:space="preserve"> Due to neu</w:t>
      </w:r>
      <w:r w:rsidR="005B7471">
        <w:rPr>
          <w:rFonts w:eastAsiaTheme="minorHAnsi"/>
        </w:rPr>
        <w:t>t</w:t>
      </w:r>
      <w:r w:rsidR="00F44D8D">
        <w:rPr>
          <w:rFonts w:eastAsiaTheme="minorHAnsi"/>
        </w:rPr>
        <w:t>ral pH of</w:t>
      </w:r>
      <w:r w:rsidR="003C7FE5">
        <w:rPr>
          <w:rFonts w:eastAsiaTheme="minorHAnsi"/>
        </w:rPr>
        <w:t xml:space="preserve"> </w:t>
      </w:r>
      <w:r w:rsidR="00F44D8D">
        <w:rPr>
          <w:rFonts w:eastAsiaTheme="minorHAnsi"/>
        </w:rPr>
        <w:t xml:space="preserve">surfactant solution, clay minerals </w:t>
      </w:r>
      <w:r w:rsidR="003C7FE5">
        <w:rPr>
          <w:rFonts w:eastAsiaTheme="minorHAnsi"/>
        </w:rPr>
        <w:t xml:space="preserve">are negatively </w:t>
      </w:r>
      <w:r w:rsidR="003C7FE5" w:rsidRPr="003C7FE5">
        <w:rPr>
          <w:rFonts w:eastAsiaTheme="minorHAnsi"/>
        </w:rPr>
        <w:t>charged</w:t>
      </w:r>
      <w:r w:rsidR="003C7FE5">
        <w:rPr>
          <w:rFonts w:eastAsiaTheme="minorHAnsi"/>
        </w:rPr>
        <w:t xml:space="preserve">. </w:t>
      </w:r>
      <w:r w:rsidR="005B7471" w:rsidRPr="003C7FE5">
        <w:rPr>
          <w:rFonts w:eastAsiaTheme="minorHAnsi"/>
        </w:rPr>
        <w:t xml:space="preserve">Here I hypothesize that </w:t>
      </w:r>
      <w:r w:rsidR="001B3197">
        <w:rPr>
          <w:rFonts w:eastAsiaTheme="minorHAnsi"/>
        </w:rPr>
        <w:t xml:space="preserve">the </w:t>
      </w:r>
      <w:r w:rsidR="00A56399" w:rsidRPr="003C7FE5">
        <w:rPr>
          <w:rFonts w:eastAsiaTheme="minorHAnsi"/>
        </w:rPr>
        <w:t xml:space="preserve">positive charged polar head of </w:t>
      </w:r>
      <w:r w:rsidR="00A56399" w:rsidRPr="003C7FE5">
        <w:rPr>
          <w:rFonts w:eastAsiaTheme="minorHAnsi"/>
        </w:rPr>
        <w:lastRenderedPageBreak/>
        <w:t>amphoteric surfactant and negative charge clay surface are attracted to each other because of electrostatic forces of attraction</w:t>
      </w:r>
      <w:r w:rsidR="00C018A1" w:rsidRPr="003C7FE5">
        <w:rPr>
          <w:rFonts w:eastAsiaTheme="minorHAnsi"/>
        </w:rPr>
        <w:t xml:space="preserve"> and form an ion-pair</w:t>
      </w:r>
      <w:r w:rsidR="001B3197">
        <w:rPr>
          <w:rFonts w:eastAsiaTheme="minorHAnsi"/>
        </w:rPr>
        <w:t>,</w:t>
      </w:r>
      <w:r w:rsidR="007B4BB2" w:rsidRPr="003C7FE5">
        <w:rPr>
          <w:rFonts w:eastAsiaTheme="minorHAnsi"/>
        </w:rPr>
        <w:t xml:space="preserve"> as shown in </w:t>
      </w:r>
      <w:r w:rsidR="00097081" w:rsidRPr="003C7FE5">
        <w:rPr>
          <w:rFonts w:eastAsiaTheme="minorHAnsi"/>
        </w:rPr>
        <w:fldChar w:fldCharType="begin"/>
      </w:r>
      <w:r w:rsidR="00097081" w:rsidRPr="003C7FE5">
        <w:rPr>
          <w:rFonts w:eastAsiaTheme="minorHAnsi"/>
        </w:rPr>
        <w:instrText xml:space="preserve"> REF _Ref118844010 \h </w:instrText>
      </w:r>
      <w:r w:rsidR="003C7FE5">
        <w:rPr>
          <w:rFonts w:eastAsiaTheme="minorHAnsi"/>
        </w:rPr>
        <w:instrText xml:space="preserve"> \* MERGEFORMAT </w:instrText>
      </w:r>
      <w:r w:rsidR="00097081" w:rsidRPr="003C7FE5">
        <w:rPr>
          <w:rFonts w:eastAsiaTheme="minorHAnsi"/>
        </w:rPr>
      </w:r>
      <w:r w:rsidR="00097081" w:rsidRPr="003C7FE5">
        <w:rPr>
          <w:rFonts w:eastAsiaTheme="minorHAnsi"/>
        </w:rPr>
        <w:fldChar w:fldCharType="separate"/>
      </w:r>
      <w:r w:rsidR="002F3906">
        <w:t xml:space="preserve">Figure </w:t>
      </w:r>
      <w:r w:rsidR="002F3906">
        <w:rPr>
          <w:noProof/>
        </w:rPr>
        <w:t>24</w:t>
      </w:r>
      <w:r w:rsidR="00097081" w:rsidRPr="003C7FE5">
        <w:rPr>
          <w:rFonts w:eastAsiaTheme="minorHAnsi"/>
        </w:rPr>
        <w:fldChar w:fldCharType="end"/>
      </w:r>
      <w:r w:rsidR="00A56399" w:rsidRPr="003C7FE5">
        <w:rPr>
          <w:rFonts w:eastAsiaTheme="minorHAnsi"/>
        </w:rPr>
        <w:t>.</w:t>
      </w:r>
      <w:r w:rsidR="006F138D" w:rsidRPr="003C7FE5">
        <w:rPr>
          <w:rFonts w:eastAsiaTheme="minorHAnsi"/>
        </w:rPr>
        <w:t xml:space="preserve"> With </w:t>
      </w:r>
      <w:r w:rsidR="005B7471" w:rsidRPr="003C7FE5">
        <w:rPr>
          <w:rFonts w:eastAsiaTheme="minorHAnsi"/>
        </w:rPr>
        <w:t>produced brine having high TDS, precipitation of divalent cations such as Ca</w:t>
      </w:r>
      <w:r w:rsidR="005B7471" w:rsidRPr="003C7FE5">
        <w:rPr>
          <w:rFonts w:eastAsiaTheme="minorHAnsi"/>
          <w:vertAlign w:val="superscript"/>
        </w:rPr>
        <w:t>2+</w:t>
      </w:r>
      <w:r w:rsidR="005B7471" w:rsidRPr="003C7FE5">
        <w:rPr>
          <w:rFonts w:eastAsiaTheme="minorHAnsi"/>
        </w:rPr>
        <w:t xml:space="preserve"> </w:t>
      </w:r>
      <w:r w:rsidR="001B3197">
        <w:rPr>
          <w:rFonts w:eastAsiaTheme="minorHAnsi"/>
        </w:rPr>
        <w:t>occurs</w:t>
      </w:r>
      <w:r w:rsidR="00783A0F">
        <w:rPr>
          <w:rFonts w:eastAsiaTheme="minorHAnsi"/>
        </w:rPr>
        <w:t xml:space="preserve"> on clay surface. Liu et al. 2</w:t>
      </w:r>
      <w:r w:rsidR="00A56399">
        <w:rPr>
          <w:rFonts w:eastAsiaTheme="minorHAnsi"/>
        </w:rPr>
        <w:t>019</w:t>
      </w:r>
      <w:r w:rsidR="00783A0F">
        <w:rPr>
          <w:rFonts w:eastAsiaTheme="minorHAnsi"/>
        </w:rPr>
        <w:t xml:space="preserve"> showed that in mixed cation solutions such as produced brine with both Na</w:t>
      </w:r>
      <w:r w:rsidR="00783A0F" w:rsidRPr="00783A0F">
        <w:rPr>
          <w:rFonts w:eastAsiaTheme="minorHAnsi"/>
          <w:vertAlign w:val="superscript"/>
        </w:rPr>
        <w:t>+</w:t>
      </w:r>
      <w:r w:rsidR="00783A0F">
        <w:rPr>
          <w:rFonts w:eastAsiaTheme="minorHAnsi"/>
        </w:rPr>
        <w:t xml:space="preserve"> and Ca</w:t>
      </w:r>
      <w:r w:rsidR="00783A0F" w:rsidRPr="00783A0F">
        <w:rPr>
          <w:rFonts w:eastAsiaTheme="minorHAnsi"/>
          <w:vertAlign w:val="superscript"/>
        </w:rPr>
        <w:t>2+</w:t>
      </w:r>
      <w:r w:rsidR="00783A0F">
        <w:rPr>
          <w:rFonts w:eastAsiaTheme="minorHAnsi"/>
        </w:rPr>
        <w:t xml:space="preserve">, clay </w:t>
      </w:r>
      <w:r w:rsidR="00783A0F" w:rsidRPr="003C7FE5">
        <w:rPr>
          <w:rFonts w:eastAsiaTheme="minorHAnsi"/>
        </w:rPr>
        <w:t>surfaces prefer adsorption of Ca</w:t>
      </w:r>
      <w:r w:rsidR="00783A0F" w:rsidRPr="003C7FE5">
        <w:rPr>
          <w:rFonts w:eastAsiaTheme="minorHAnsi"/>
          <w:vertAlign w:val="superscript"/>
        </w:rPr>
        <w:t>2+</w:t>
      </w:r>
      <w:r w:rsidR="00783A0F" w:rsidRPr="003C7FE5">
        <w:rPr>
          <w:rFonts w:eastAsiaTheme="minorHAnsi"/>
        </w:rPr>
        <w:t>. These divalent cations</w:t>
      </w:r>
      <w:r w:rsidR="00A56399" w:rsidRPr="003C7FE5">
        <w:rPr>
          <w:rFonts w:eastAsiaTheme="minorHAnsi"/>
        </w:rPr>
        <w:t xml:space="preserve"> on clay surface acts as </w:t>
      </w:r>
      <w:r w:rsidR="005D7DE4" w:rsidRPr="003C7FE5">
        <w:rPr>
          <w:rFonts w:eastAsiaTheme="minorHAnsi"/>
        </w:rPr>
        <w:t>cat</w:t>
      </w:r>
      <w:r w:rsidR="00A56399" w:rsidRPr="003C7FE5">
        <w:rPr>
          <w:rFonts w:eastAsiaTheme="minorHAnsi"/>
        </w:rPr>
        <w:t>ionic bridge between the negative charged polar head of amphoteric surfactant and negative charge on clay surface</w:t>
      </w:r>
      <w:r w:rsidR="001B3197">
        <w:rPr>
          <w:rFonts w:eastAsiaTheme="minorHAnsi"/>
        </w:rPr>
        <w:t>,</w:t>
      </w:r>
      <w:r w:rsidR="00A56399" w:rsidRPr="003C7FE5">
        <w:rPr>
          <w:rFonts w:eastAsiaTheme="minorHAnsi"/>
        </w:rPr>
        <w:t xml:space="preserve"> which </w:t>
      </w:r>
      <w:r w:rsidR="00B6282D" w:rsidRPr="003C7FE5">
        <w:rPr>
          <w:rFonts w:eastAsiaTheme="minorHAnsi"/>
        </w:rPr>
        <w:t xml:space="preserve">originally </w:t>
      </w:r>
      <w:r w:rsidR="00A56399" w:rsidRPr="003C7FE5">
        <w:rPr>
          <w:rFonts w:eastAsiaTheme="minorHAnsi"/>
        </w:rPr>
        <w:t>should have electrostatically repelled each other</w:t>
      </w:r>
      <w:r w:rsidR="00E7379F" w:rsidRPr="003C7FE5">
        <w:rPr>
          <w:rFonts w:eastAsiaTheme="minorHAnsi"/>
        </w:rPr>
        <w:t xml:space="preserve"> </w:t>
      </w:r>
      <w:r w:rsidR="00B6282D" w:rsidRPr="003C7FE5">
        <w:rPr>
          <w:rFonts w:eastAsiaTheme="minorHAnsi"/>
        </w:rPr>
        <w:t xml:space="preserve">because of </w:t>
      </w:r>
      <w:r w:rsidR="00C11D11" w:rsidRPr="003C7FE5">
        <w:rPr>
          <w:rFonts w:eastAsiaTheme="minorHAnsi"/>
        </w:rPr>
        <w:t xml:space="preserve">same charge </w:t>
      </w:r>
      <w:r w:rsidR="00E7379F" w:rsidRPr="003C7FE5">
        <w:rPr>
          <w:rFonts w:eastAsiaTheme="minorHAnsi"/>
        </w:rPr>
        <w:t>as showed by Liu et al. 2021</w:t>
      </w:r>
      <w:r w:rsidR="007B4BB2" w:rsidRPr="003C7FE5">
        <w:rPr>
          <w:rFonts w:eastAsiaTheme="minorHAnsi"/>
        </w:rPr>
        <w:t xml:space="preserve"> as</w:t>
      </w:r>
      <w:r w:rsidR="007B4BB2">
        <w:rPr>
          <w:rFonts w:eastAsiaTheme="minorHAnsi"/>
        </w:rPr>
        <w:t xml:space="preserve"> </w:t>
      </w:r>
      <w:r w:rsidR="002C6834">
        <w:rPr>
          <w:rFonts w:eastAsiaTheme="minorHAnsi"/>
        </w:rPr>
        <w:t xml:space="preserve">shown in </w:t>
      </w:r>
      <w:r w:rsidR="00135941">
        <w:rPr>
          <w:rFonts w:eastAsiaTheme="minorHAnsi"/>
        </w:rPr>
        <w:fldChar w:fldCharType="begin"/>
      </w:r>
      <w:r w:rsidR="00135941">
        <w:rPr>
          <w:rFonts w:eastAsiaTheme="minorHAnsi"/>
        </w:rPr>
        <w:instrText xml:space="preserve"> REF _Ref118844067 \h </w:instrText>
      </w:r>
      <w:r w:rsidR="00135941">
        <w:rPr>
          <w:rFonts w:eastAsiaTheme="minorHAnsi"/>
        </w:rPr>
      </w:r>
      <w:r w:rsidR="00135941">
        <w:rPr>
          <w:rFonts w:eastAsiaTheme="minorHAnsi"/>
        </w:rPr>
        <w:fldChar w:fldCharType="separate"/>
      </w:r>
      <w:r w:rsidR="002F3906">
        <w:t xml:space="preserve">Figure </w:t>
      </w:r>
      <w:r w:rsidR="002F3906">
        <w:rPr>
          <w:noProof/>
        </w:rPr>
        <w:t>25</w:t>
      </w:r>
      <w:r w:rsidR="00135941">
        <w:rPr>
          <w:rFonts w:eastAsiaTheme="minorHAnsi"/>
        </w:rPr>
        <w:fldChar w:fldCharType="end"/>
      </w:r>
      <w:r w:rsidR="002C6834">
        <w:rPr>
          <w:rFonts w:eastAsiaTheme="minorHAnsi"/>
        </w:rPr>
        <w:t xml:space="preserve">. </w:t>
      </w:r>
    </w:p>
    <w:p w14:paraId="10123B41" w14:textId="73C2AA3B" w:rsidR="00443E09" w:rsidRDefault="00E7379F" w:rsidP="00DA5D8C">
      <w:pPr>
        <w:ind w:firstLine="720"/>
        <w:rPr>
          <w:rFonts w:eastAsiaTheme="minorHAnsi"/>
        </w:rPr>
      </w:pPr>
      <w:r>
        <w:rPr>
          <w:rFonts w:eastAsiaTheme="minorHAnsi"/>
        </w:rPr>
        <w:t>Higher concentration of Ca</w:t>
      </w:r>
      <w:r w:rsidRPr="00E7379F">
        <w:rPr>
          <w:rFonts w:eastAsiaTheme="minorHAnsi"/>
          <w:vertAlign w:val="superscript"/>
        </w:rPr>
        <w:t>2+</w:t>
      </w:r>
      <w:r>
        <w:rPr>
          <w:rFonts w:eastAsiaTheme="minorHAnsi"/>
        </w:rPr>
        <w:t xml:space="preserve"> in surfactant solution, </w:t>
      </w:r>
      <w:r w:rsidR="005D7DE4">
        <w:rPr>
          <w:rFonts w:eastAsiaTheme="minorHAnsi"/>
        </w:rPr>
        <w:t xml:space="preserve">higher are the cationic bridges which </w:t>
      </w:r>
      <w:r w:rsidR="00B6282D">
        <w:rPr>
          <w:rFonts w:eastAsiaTheme="minorHAnsi"/>
        </w:rPr>
        <w:t>increases surfactant adsorption on clay mineral</w:t>
      </w:r>
      <w:r w:rsidR="00F42931">
        <w:rPr>
          <w:rFonts w:eastAsiaTheme="minorHAnsi"/>
        </w:rPr>
        <w:t xml:space="preserve">s and form </w:t>
      </w:r>
      <w:r w:rsidR="00217C69">
        <w:rPr>
          <w:rFonts w:eastAsiaTheme="minorHAnsi"/>
        </w:rPr>
        <w:t xml:space="preserve">a </w:t>
      </w:r>
      <w:r w:rsidR="00F42931">
        <w:rPr>
          <w:rFonts w:eastAsiaTheme="minorHAnsi"/>
        </w:rPr>
        <w:t>multilaye</w:t>
      </w:r>
      <w:r w:rsidR="00FB5A9A">
        <w:rPr>
          <w:rFonts w:eastAsiaTheme="minorHAnsi"/>
        </w:rPr>
        <w:t>r</w:t>
      </w:r>
      <w:r w:rsidR="000A4052">
        <w:rPr>
          <w:rFonts w:eastAsiaTheme="minorHAnsi"/>
        </w:rPr>
        <w:t xml:space="preserve"> of adsorped surfactants</w:t>
      </w:r>
      <w:r w:rsidR="001B3197">
        <w:rPr>
          <w:rFonts w:eastAsiaTheme="minorHAnsi"/>
        </w:rPr>
        <w:t>,</w:t>
      </w:r>
      <w:r w:rsidR="00F42931">
        <w:rPr>
          <w:rFonts w:eastAsiaTheme="minorHAnsi"/>
        </w:rPr>
        <w:t xml:space="preserve"> as shown in </w:t>
      </w:r>
      <w:r w:rsidR="005A31BB">
        <w:rPr>
          <w:rFonts w:eastAsiaTheme="minorHAnsi"/>
        </w:rPr>
        <w:fldChar w:fldCharType="begin"/>
      </w:r>
      <w:r w:rsidR="005A31BB">
        <w:rPr>
          <w:rFonts w:eastAsiaTheme="minorHAnsi"/>
        </w:rPr>
        <w:instrText xml:space="preserve"> REF _Ref118845629 \h </w:instrText>
      </w:r>
      <w:r w:rsidR="005A31BB">
        <w:rPr>
          <w:rFonts w:eastAsiaTheme="minorHAnsi"/>
        </w:rPr>
      </w:r>
      <w:r w:rsidR="005A31BB">
        <w:rPr>
          <w:rFonts w:eastAsiaTheme="minorHAnsi"/>
        </w:rPr>
        <w:fldChar w:fldCharType="separate"/>
      </w:r>
      <w:r w:rsidR="002F3906">
        <w:t xml:space="preserve">Figure </w:t>
      </w:r>
      <w:r w:rsidR="002F3906">
        <w:rPr>
          <w:noProof/>
        </w:rPr>
        <w:t>26</w:t>
      </w:r>
      <w:r w:rsidR="005A31BB">
        <w:rPr>
          <w:rFonts w:eastAsiaTheme="minorHAnsi"/>
        </w:rPr>
        <w:fldChar w:fldCharType="end"/>
      </w:r>
      <w:r w:rsidR="00F42931">
        <w:rPr>
          <w:rFonts w:eastAsiaTheme="minorHAnsi"/>
        </w:rPr>
        <w:t>.</w:t>
      </w:r>
      <w:r w:rsidR="00ED29AF">
        <w:rPr>
          <w:rFonts w:eastAsiaTheme="minorHAnsi"/>
        </w:rPr>
        <w:t xml:space="preserve"> </w:t>
      </w:r>
      <w:r w:rsidR="00ED29AF" w:rsidRPr="00735DB7">
        <w:rPr>
          <w:rFonts w:eastAsiaTheme="minorHAnsi"/>
        </w:rPr>
        <w:t>Atta et al. 2020</w:t>
      </w:r>
      <w:r w:rsidR="00B05E96">
        <w:rPr>
          <w:rFonts w:eastAsiaTheme="minorHAnsi"/>
        </w:rPr>
        <w:t xml:space="preserve"> and </w:t>
      </w:r>
      <w:r w:rsidR="00ED29AF" w:rsidRPr="00735DB7">
        <w:rPr>
          <w:rFonts w:eastAsiaTheme="minorHAnsi"/>
        </w:rPr>
        <w:t>Gupta and Mohanty, 2008</w:t>
      </w:r>
      <w:r w:rsidR="00ED29AF">
        <w:rPr>
          <w:rFonts w:eastAsiaTheme="minorHAnsi"/>
        </w:rPr>
        <w:t xml:space="preserve"> also showed that </w:t>
      </w:r>
      <w:r w:rsidR="00ED29AF" w:rsidRPr="00735DB7">
        <w:rPr>
          <w:rFonts w:eastAsiaTheme="minorHAnsi"/>
        </w:rPr>
        <w:t>surfactant accumulation from bulk solution to the sandstone surface</w:t>
      </w:r>
      <w:r w:rsidR="00ED29AF">
        <w:rPr>
          <w:rFonts w:eastAsiaTheme="minorHAnsi"/>
        </w:rPr>
        <w:t xml:space="preserve"> </w:t>
      </w:r>
      <w:r w:rsidR="001B3197">
        <w:rPr>
          <w:rFonts w:eastAsiaTheme="minorHAnsi"/>
        </w:rPr>
        <w:t>occurs</w:t>
      </w:r>
      <w:r w:rsidR="00ED29AF">
        <w:rPr>
          <w:rFonts w:eastAsiaTheme="minorHAnsi"/>
        </w:rPr>
        <w:t xml:space="preserve"> in surfactant solutions with high TDS.</w:t>
      </w:r>
      <w:r w:rsidR="003E06D1">
        <w:rPr>
          <w:rFonts w:eastAsiaTheme="minorHAnsi"/>
        </w:rPr>
        <w:t xml:space="preserve"> Liu et al. 2019 also showed that </w:t>
      </w:r>
      <w:r w:rsidR="001B3197">
        <w:rPr>
          <w:rFonts w:eastAsiaTheme="minorHAnsi"/>
        </w:rPr>
        <w:t xml:space="preserve">a </w:t>
      </w:r>
      <w:r w:rsidR="003E06D1">
        <w:rPr>
          <w:rFonts w:eastAsiaTheme="minorHAnsi"/>
        </w:rPr>
        <w:t xml:space="preserve">decrease in salinity decreases surfactant adsorption. The main reason for </w:t>
      </w:r>
      <w:r w:rsidR="001B3197">
        <w:rPr>
          <w:rFonts w:eastAsiaTheme="minorHAnsi"/>
        </w:rPr>
        <w:t>decline</w:t>
      </w:r>
      <w:r w:rsidR="003E06D1">
        <w:rPr>
          <w:rFonts w:eastAsiaTheme="minorHAnsi"/>
        </w:rPr>
        <w:t xml:space="preserve"> in adsorption was </w:t>
      </w:r>
      <w:r w:rsidR="001B3197">
        <w:rPr>
          <w:rFonts w:eastAsiaTheme="minorHAnsi"/>
        </w:rPr>
        <w:t xml:space="preserve">a </w:t>
      </w:r>
      <w:r w:rsidR="003E06D1">
        <w:rPr>
          <w:rFonts w:eastAsiaTheme="minorHAnsi"/>
        </w:rPr>
        <w:t xml:space="preserve">decrease in divalent cations due to </w:t>
      </w:r>
      <w:r w:rsidR="001B3197">
        <w:rPr>
          <w:rFonts w:eastAsiaTheme="minorHAnsi"/>
        </w:rPr>
        <w:t>reduction</w:t>
      </w:r>
      <w:r w:rsidR="003E06D1">
        <w:rPr>
          <w:rFonts w:eastAsiaTheme="minorHAnsi"/>
        </w:rPr>
        <w:t xml:space="preserve"> in salinity.</w:t>
      </w:r>
    </w:p>
    <w:p w14:paraId="6FE23C26" w14:textId="0E734950" w:rsidR="001B3E53" w:rsidRDefault="00443E09" w:rsidP="00443E09">
      <w:pPr>
        <w:ind w:firstLine="720"/>
        <w:rPr>
          <w:rFonts w:eastAsiaTheme="minorHAnsi"/>
        </w:rPr>
      </w:pPr>
      <w:r>
        <w:rPr>
          <w:rFonts w:eastAsiaTheme="minorHAnsi"/>
        </w:rPr>
        <w:t>H</w:t>
      </w:r>
      <w:r w:rsidR="00C11D11">
        <w:rPr>
          <w:rFonts w:eastAsiaTheme="minorHAnsi"/>
        </w:rPr>
        <w:t>ere I also hypothesize that these divalent cations</w:t>
      </w:r>
      <w:r w:rsidR="001B3197">
        <w:rPr>
          <w:rFonts w:eastAsiaTheme="minorHAnsi"/>
        </w:rPr>
        <w:t>,</w:t>
      </w:r>
      <w:r w:rsidR="00C11D11">
        <w:rPr>
          <w:rFonts w:eastAsiaTheme="minorHAnsi"/>
        </w:rPr>
        <w:t xml:space="preserve"> as shown in </w:t>
      </w:r>
      <w:r w:rsidR="005A31BB">
        <w:rPr>
          <w:rFonts w:eastAsiaTheme="minorHAnsi"/>
        </w:rPr>
        <w:fldChar w:fldCharType="begin"/>
      </w:r>
      <w:r w:rsidR="005A31BB">
        <w:rPr>
          <w:rFonts w:eastAsiaTheme="minorHAnsi"/>
        </w:rPr>
        <w:instrText xml:space="preserve"> REF _Ref118845641 \h </w:instrText>
      </w:r>
      <w:r w:rsidR="005A31BB">
        <w:rPr>
          <w:rFonts w:eastAsiaTheme="minorHAnsi"/>
        </w:rPr>
      </w:r>
      <w:r w:rsidR="005A31BB">
        <w:rPr>
          <w:rFonts w:eastAsiaTheme="minorHAnsi"/>
        </w:rPr>
        <w:fldChar w:fldCharType="separate"/>
      </w:r>
      <w:r w:rsidR="002F3906">
        <w:t xml:space="preserve">Figure </w:t>
      </w:r>
      <w:r w:rsidR="002F3906">
        <w:rPr>
          <w:noProof/>
        </w:rPr>
        <w:t>27</w:t>
      </w:r>
      <w:r w:rsidR="005F79DB">
        <w:rPr>
          <w:noProof/>
        </w:rPr>
        <w:t>,</w:t>
      </w:r>
      <w:r w:rsidR="005A31BB">
        <w:rPr>
          <w:rFonts w:eastAsiaTheme="minorHAnsi"/>
        </w:rPr>
        <w:fldChar w:fldCharType="end"/>
      </w:r>
      <w:r w:rsidR="005A31BB">
        <w:rPr>
          <w:rFonts w:eastAsiaTheme="minorHAnsi"/>
        </w:rPr>
        <w:t xml:space="preserve"> </w:t>
      </w:r>
      <w:r w:rsidR="00C11D11">
        <w:rPr>
          <w:rFonts w:eastAsiaTheme="minorHAnsi"/>
        </w:rPr>
        <w:t xml:space="preserve">also reduce electrostatic repulsion between </w:t>
      </w:r>
      <w:r w:rsidR="001B3197">
        <w:rPr>
          <w:rFonts w:eastAsiaTheme="minorHAnsi"/>
        </w:rPr>
        <w:t xml:space="preserve">the </w:t>
      </w:r>
      <w:r w:rsidR="00C11D11">
        <w:rPr>
          <w:rFonts w:eastAsiaTheme="minorHAnsi"/>
        </w:rPr>
        <w:t xml:space="preserve">same charge </w:t>
      </w:r>
      <w:r w:rsidR="005A31BB">
        <w:rPr>
          <w:rFonts w:eastAsiaTheme="minorHAnsi"/>
        </w:rPr>
        <w:t xml:space="preserve">on polar head </w:t>
      </w:r>
      <w:r w:rsidR="00C11D11">
        <w:rPr>
          <w:rFonts w:eastAsiaTheme="minorHAnsi"/>
        </w:rPr>
        <w:t xml:space="preserve">of surfactants </w:t>
      </w:r>
      <w:r w:rsidR="00AD6C62">
        <w:rPr>
          <w:rFonts w:eastAsiaTheme="minorHAnsi"/>
        </w:rPr>
        <w:t xml:space="preserve">present </w:t>
      </w:r>
      <w:r w:rsidR="00C11D11">
        <w:rPr>
          <w:rFonts w:eastAsiaTheme="minorHAnsi"/>
        </w:rPr>
        <w:t xml:space="preserve">over clay surface, </w:t>
      </w:r>
      <w:r w:rsidR="001B3197">
        <w:rPr>
          <w:rFonts w:eastAsiaTheme="minorHAnsi"/>
        </w:rPr>
        <w:t>further increasing</w:t>
      </w:r>
      <w:r w:rsidR="00C11D11">
        <w:rPr>
          <w:rFonts w:eastAsiaTheme="minorHAnsi"/>
        </w:rPr>
        <w:t xml:space="preserve"> surfactant adsorption.</w:t>
      </w:r>
      <w:r w:rsidR="005A31BB">
        <w:rPr>
          <w:rFonts w:eastAsiaTheme="minorHAnsi"/>
        </w:rPr>
        <w:t xml:space="preserve"> </w:t>
      </w:r>
    </w:p>
    <w:p w14:paraId="15A09D43" w14:textId="31DC080B" w:rsidR="009F7946" w:rsidRDefault="00BF4F35" w:rsidP="00BF4F35">
      <w:pPr>
        <w:ind w:firstLine="720"/>
        <w:rPr>
          <w:rFonts w:eastAsiaTheme="minorHAnsi"/>
        </w:rPr>
      </w:pPr>
      <w:r w:rsidRPr="00735DB7">
        <w:rPr>
          <w:rFonts w:eastAsiaTheme="minorHAnsi"/>
        </w:rPr>
        <w:t xml:space="preserve">With biosurfactant having no overall charge, there are no electrostatic interactions between the </w:t>
      </w:r>
      <w:r>
        <w:rPr>
          <w:rFonts w:eastAsiaTheme="minorHAnsi"/>
        </w:rPr>
        <w:t xml:space="preserve">charges in </w:t>
      </w:r>
      <w:r w:rsidRPr="00735DB7">
        <w:rPr>
          <w:rFonts w:eastAsiaTheme="minorHAnsi"/>
        </w:rPr>
        <w:t>surfactant</w:t>
      </w:r>
      <w:r>
        <w:rPr>
          <w:rFonts w:eastAsiaTheme="minorHAnsi"/>
        </w:rPr>
        <w:t xml:space="preserve"> solution</w:t>
      </w:r>
      <w:r w:rsidRPr="00735DB7">
        <w:rPr>
          <w:rFonts w:eastAsiaTheme="minorHAnsi"/>
        </w:rPr>
        <w:t xml:space="preserve"> and rock surface. Such surfactants get dissolved into brine and then adsorped onto the rock surface by hydrogen bonding and van der Wa</w:t>
      </w:r>
      <w:r w:rsidR="001D3B32">
        <w:rPr>
          <w:rFonts w:eastAsiaTheme="minorHAnsi"/>
        </w:rPr>
        <w:t>a</w:t>
      </w:r>
      <w:r w:rsidRPr="00735DB7">
        <w:rPr>
          <w:rFonts w:eastAsiaTheme="minorHAnsi"/>
        </w:rPr>
        <w:t xml:space="preserve">ls interactions, as shown previously by Nowrouzi et al. 2021 and Paternina et al. 2020. </w:t>
      </w:r>
      <w:r w:rsidR="00407BD0">
        <w:rPr>
          <w:rFonts w:eastAsiaTheme="minorHAnsi"/>
        </w:rPr>
        <w:t>These forces are weaker compared to electrostatic attraction</w:t>
      </w:r>
      <w:r w:rsidR="00217C69">
        <w:rPr>
          <w:rFonts w:eastAsiaTheme="minorHAnsi"/>
        </w:rPr>
        <w:t>,</w:t>
      </w:r>
      <w:r w:rsidR="00407BD0">
        <w:rPr>
          <w:rFonts w:eastAsiaTheme="minorHAnsi"/>
        </w:rPr>
        <w:t xml:space="preserve"> </w:t>
      </w:r>
      <w:r w:rsidR="00217C69">
        <w:rPr>
          <w:rFonts w:eastAsiaTheme="minorHAnsi"/>
        </w:rPr>
        <w:t>leading to much lower biosurfactant adsorption</w:t>
      </w:r>
      <w:r w:rsidR="00407BD0">
        <w:rPr>
          <w:rFonts w:eastAsiaTheme="minorHAnsi"/>
        </w:rPr>
        <w:t>.</w:t>
      </w:r>
    </w:p>
    <w:p w14:paraId="35C813FD" w14:textId="77E3853B" w:rsidR="00B36546" w:rsidRDefault="00DE02B3" w:rsidP="003765F0">
      <w:pPr>
        <w:ind w:firstLine="720"/>
        <w:rPr>
          <w:rFonts w:eastAsiaTheme="minorHAnsi"/>
        </w:rPr>
      </w:pPr>
      <w:r>
        <w:rPr>
          <w:rFonts w:eastAsiaTheme="minorHAnsi"/>
        </w:rPr>
        <w:lastRenderedPageBreak/>
        <w:t>In conclusion, r</w:t>
      </w:r>
      <w:r w:rsidR="00BF4F35" w:rsidRPr="00735DB7">
        <w:rPr>
          <w:rFonts w:eastAsiaTheme="minorHAnsi"/>
        </w:rPr>
        <w:t xml:space="preserve">esults </w:t>
      </w:r>
      <w:r w:rsidR="0072442C">
        <w:rPr>
          <w:rFonts w:eastAsiaTheme="minorHAnsi"/>
        </w:rPr>
        <w:t>indicate</w:t>
      </w:r>
      <w:r w:rsidR="00BF4F35" w:rsidRPr="00735DB7">
        <w:rPr>
          <w:rFonts w:eastAsiaTheme="minorHAnsi"/>
        </w:rPr>
        <w:t xml:space="preserve"> that using biosurfactants at high TDS and temperature, </w:t>
      </w:r>
      <w:r w:rsidR="000B2F3F">
        <w:rPr>
          <w:rFonts w:eastAsiaTheme="minorHAnsi"/>
        </w:rPr>
        <w:t xml:space="preserve">surfactant </w:t>
      </w:r>
      <w:r w:rsidR="00BF4F35" w:rsidRPr="00735DB7">
        <w:rPr>
          <w:rFonts w:eastAsiaTheme="minorHAnsi"/>
        </w:rPr>
        <w:t>adsorption from bulk solution to sandstone surface is lower as compared to amphoteric surfactants.</w:t>
      </w:r>
      <w:r w:rsidR="00BF4F35">
        <w:rPr>
          <w:rFonts w:eastAsiaTheme="minorHAnsi"/>
        </w:rPr>
        <w:t xml:space="preserve"> </w:t>
      </w:r>
      <w:r w:rsidR="0072442C">
        <w:rPr>
          <w:rFonts w:eastAsiaTheme="minorHAnsi"/>
        </w:rPr>
        <w:t>H</w:t>
      </w:r>
      <w:r w:rsidR="009F7946">
        <w:rPr>
          <w:rFonts w:eastAsiaTheme="minorHAnsi"/>
        </w:rPr>
        <w:t xml:space="preserve">igh adsorption </w:t>
      </w:r>
      <w:r w:rsidR="0072442C">
        <w:rPr>
          <w:rFonts w:eastAsiaTheme="minorHAnsi"/>
        </w:rPr>
        <w:t xml:space="preserve">of </w:t>
      </w:r>
      <w:r w:rsidR="0072442C" w:rsidRPr="00735DB7">
        <w:rPr>
          <w:rFonts w:eastAsiaTheme="minorHAnsi"/>
        </w:rPr>
        <w:t>amphoteric surfactants</w:t>
      </w:r>
      <w:r w:rsidR="0072442C">
        <w:rPr>
          <w:rFonts w:eastAsiaTheme="minorHAnsi"/>
        </w:rPr>
        <w:t xml:space="preserve"> </w:t>
      </w:r>
      <w:r w:rsidR="009F7946">
        <w:rPr>
          <w:rFonts w:eastAsiaTheme="minorHAnsi"/>
        </w:rPr>
        <w:t xml:space="preserve">is due to </w:t>
      </w:r>
      <w:r w:rsidR="00D721A6">
        <w:rPr>
          <w:rFonts w:eastAsiaTheme="minorHAnsi"/>
        </w:rPr>
        <w:t xml:space="preserve">presence of </w:t>
      </w:r>
      <w:r w:rsidR="009F7946">
        <w:rPr>
          <w:rFonts w:eastAsiaTheme="minorHAnsi"/>
        </w:rPr>
        <w:t>divalent cations</w:t>
      </w:r>
      <w:r w:rsidR="001B3197">
        <w:rPr>
          <w:rFonts w:eastAsiaTheme="minorHAnsi"/>
        </w:rPr>
        <w:t>,</w:t>
      </w:r>
      <w:r w:rsidR="0072442C">
        <w:rPr>
          <w:rFonts w:eastAsiaTheme="minorHAnsi"/>
        </w:rPr>
        <w:t xml:space="preserve"> which get adsorbed on the clay surface</w:t>
      </w:r>
      <w:r w:rsidR="00D9542D">
        <w:rPr>
          <w:rFonts w:eastAsiaTheme="minorHAnsi"/>
        </w:rPr>
        <w:t xml:space="preserve">. Here I hypothesize that </w:t>
      </w:r>
      <w:r w:rsidR="0072442C">
        <w:rPr>
          <w:rFonts w:eastAsiaTheme="minorHAnsi"/>
        </w:rPr>
        <w:t>presence of clay</w:t>
      </w:r>
      <w:r w:rsidR="00347B35">
        <w:rPr>
          <w:rFonts w:eastAsiaTheme="minorHAnsi"/>
        </w:rPr>
        <w:t>s</w:t>
      </w:r>
      <w:r w:rsidR="0072442C">
        <w:rPr>
          <w:rFonts w:eastAsiaTheme="minorHAnsi"/>
        </w:rPr>
        <w:t xml:space="preserve"> is the main reason for adsorption in </w:t>
      </w:r>
      <w:r w:rsidR="00045F5D">
        <w:rPr>
          <w:rFonts w:eastAsiaTheme="minorHAnsi"/>
        </w:rPr>
        <w:t xml:space="preserve">these </w:t>
      </w:r>
      <w:r w:rsidR="0072442C">
        <w:rPr>
          <w:rFonts w:eastAsiaTheme="minorHAnsi"/>
        </w:rPr>
        <w:t>sandstone</w:t>
      </w:r>
      <w:r w:rsidR="00045F5D">
        <w:rPr>
          <w:rFonts w:eastAsiaTheme="minorHAnsi"/>
        </w:rPr>
        <w:t xml:space="preserve"> plug samples </w:t>
      </w:r>
      <w:r w:rsidR="00FC3D47">
        <w:rPr>
          <w:rFonts w:eastAsiaTheme="minorHAnsi"/>
        </w:rPr>
        <w:t>at</w:t>
      </w:r>
      <w:r w:rsidR="0072442C">
        <w:rPr>
          <w:rFonts w:eastAsiaTheme="minorHAnsi"/>
        </w:rPr>
        <w:t xml:space="preserve"> high TDS and temperatur</w:t>
      </w:r>
      <w:r w:rsidR="00045F5D">
        <w:rPr>
          <w:rFonts w:eastAsiaTheme="minorHAnsi"/>
        </w:rPr>
        <w:t>e.</w:t>
      </w:r>
    </w:p>
    <w:p w14:paraId="6B07CF20" w14:textId="77777777" w:rsidR="002D11B0" w:rsidRDefault="002D11B0" w:rsidP="003765F0">
      <w:pPr>
        <w:ind w:firstLine="720"/>
        <w:rPr>
          <w:rFonts w:eastAsiaTheme="minorHAnsi"/>
        </w:rPr>
      </w:pPr>
    </w:p>
    <w:p w14:paraId="28740DD2" w14:textId="51818D80" w:rsidR="006905A4" w:rsidRDefault="00284A5B" w:rsidP="00097698">
      <w:pPr>
        <w:keepNext/>
        <w:jc w:val="center"/>
      </w:pPr>
      <w:r>
        <w:rPr>
          <w:noProof/>
        </w:rPr>
        <w:drawing>
          <wp:inline distT="0" distB="0" distL="0" distR="0" wp14:anchorId="721E51F8" wp14:editId="77CFD3CF">
            <wp:extent cx="5866400" cy="3897469"/>
            <wp:effectExtent l="0" t="0" r="1270" b="1905"/>
            <wp:docPr id="50" name="Picture 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10;&#10;Description automatically generated"/>
                    <pic:cNvPicPr/>
                  </pic:nvPicPr>
                  <pic:blipFill rotWithShape="1">
                    <a:blip r:embed="rId32" cstate="print">
                      <a:extLst>
                        <a:ext uri="{28A0092B-C50C-407E-A947-70E740481C1C}">
                          <a14:useLocalDpi xmlns:a14="http://schemas.microsoft.com/office/drawing/2010/main" val="0"/>
                        </a:ext>
                      </a:extLst>
                    </a:blip>
                    <a:srcRect l="1490" r="1992"/>
                    <a:stretch/>
                  </pic:blipFill>
                  <pic:spPr bwMode="auto">
                    <a:xfrm>
                      <a:off x="0" y="0"/>
                      <a:ext cx="5871657" cy="3900962"/>
                    </a:xfrm>
                    <a:prstGeom prst="rect">
                      <a:avLst/>
                    </a:prstGeom>
                    <a:ln>
                      <a:noFill/>
                    </a:ln>
                    <a:extLst>
                      <a:ext uri="{53640926-AAD7-44D8-BBD7-CCE9431645EC}">
                        <a14:shadowObscured xmlns:a14="http://schemas.microsoft.com/office/drawing/2010/main"/>
                      </a:ext>
                    </a:extLst>
                  </pic:spPr>
                </pic:pic>
              </a:graphicData>
            </a:graphic>
          </wp:inline>
        </w:drawing>
      </w:r>
    </w:p>
    <w:p w14:paraId="64A7A406" w14:textId="1EA49113" w:rsidR="009D1770" w:rsidRDefault="009D1770" w:rsidP="00D76E8E">
      <w:pPr>
        <w:pStyle w:val="NoSpacing"/>
        <w:rPr>
          <w:rFonts w:eastAsiaTheme="minorHAnsi"/>
        </w:rPr>
      </w:pPr>
      <w:bookmarkStart w:id="144" w:name="_Ref118825472"/>
      <w:bookmarkStart w:id="145" w:name="_Toc121470294"/>
      <w:r w:rsidRPr="009D1770">
        <w:t xml:space="preserve">Figure </w:t>
      </w:r>
      <w:fldSimple w:instr=" SEQ Figure \* ARABIC ">
        <w:r w:rsidR="002F3906">
          <w:rPr>
            <w:noProof/>
          </w:rPr>
          <w:t>20</w:t>
        </w:r>
      </w:fldSimple>
      <w:bookmarkEnd w:id="144"/>
      <w:r w:rsidRPr="009D1770">
        <w:t xml:space="preserve"> -</w:t>
      </w:r>
      <w:r>
        <w:t xml:space="preserve"> </w:t>
      </w:r>
      <w:r w:rsidRPr="009D1770">
        <w:t>Light absorption spectrum for surfactant</w:t>
      </w:r>
      <w:r w:rsidR="00D76E8E">
        <w:t xml:space="preserve"> solutions</w:t>
      </w:r>
      <w:r w:rsidRPr="009D1770">
        <w:t xml:space="preserve"> measured at varying concentrations using </w:t>
      </w:r>
      <w:r w:rsidRPr="009D1770">
        <w:rPr>
          <w:rFonts w:eastAsiaTheme="minorHAnsi"/>
        </w:rPr>
        <w:t>UV-Vis spectrophotometer.</w:t>
      </w:r>
      <w:bookmarkEnd w:id="145"/>
    </w:p>
    <w:p w14:paraId="0B1F7E4B" w14:textId="523CB513" w:rsidR="006905A4" w:rsidRDefault="006905A4" w:rsidP="009D1770">
      <w:pPr>
        <w:spacing w:line="360" w:lineRule="auto"/>
        <w:rPr>
          <w:rFonts w:eastAsiaTheme="minorHAnsi"/>
          <w:b/>
          <w:bCs/>
        </w:rPr>
      </w:pPr>
    </w:p>
    <w:p w14:paraId="5F96EBD4" w14:textId="65B1E2CB" w:rsidR="006905A4" w:rsidRDefault="005E3991" w:rsidP="00097698">
      <w:pPr>
        <w:keepNext/>
        <w:jc w:val="center"/>
      </w:pPr>
      <w:r>
        <w:rPr>
          <w:noProof/>
        </w:rPr>
        <w:lastRenderedPageBreak/>
        <w:drawing>
          <wp:inline distT="0" distB="0" distL="0" distR="0" wp14:anchorId="745667F9" wp14:editId="25D622F7">
            <wp:extent cx="5700395" cy="3499410"/>
            <wp:effectExtent l="0" t="0" r="1905" b="6350"/>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line 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5176" cy="3520761"/>
                    </a:xfrm>
                    <a:prstGeom prst="rect">
                      <a:avLst/>
                    </a:prstGeom>
                  </pic:spPr>
                </pic:pic>
              </a:graphicData>
            </a:graphic>
          </wp:inline>
        </w:drawing>
      </w:r>
    </w:p>
    <w:p w14:paraId="035955D4" w14:textId="1705B7B0" w:rsidR="006905A4" w:rsidRDefault="006905A4" w:rsidP="006F672A">
      <w:pPr>
        <w:pStyle w:val="NoSpacing"/>
      </w:pPr>
      <w:bookmarkStart w:id="146" w:name="_Ref118825537"/>
      <w:bookmarkStart w:id="147" w:name="_Toc121470295"/>
      <w:r w:rsidRPr="006905A4">
        <w:t xml:space="preserve">Figure </w:t>
      </w:r>
      <w:fldSimple w:instr=" SEQ Figure \* ARABIC ">
        <w:r w:rsidR="002F3906">
          <w:rPr>
            <w:noProof/>
          </w:rPr>
          <w:t>21</w:t>
        </w:r>
      </w:fldSimple>
      <w:bookmarkEnd w:id="146"/>
      <w:r w:rsidRPr="006905A4">
        <w:t xml:space="preserve"> - Calibration curves for surfactants used in this study. Here recorded light absorptions were plotted at peak absorption wavelength of 240 nm at varying surfactant concentrations for three surfactants.</w:t>
      </w:r>
      <w:bookmarkEnd w:id="147"/>
      <w:r w:rsidRPr="006905A4">
        <w:t xml:space="preserve"> </w:t>
      </w:r>
    </w:p>
    <w:p w14:paraId="30071944" w14:textId="1B610A91" w:rsidR="00045F5D" w:rsidRDefault="00045F5D" w:rsidP="006F672A">
      <w:pPr>
        <w:pStyle w:val="NoSpacing"/>
      </w:pPr>
    </w:p>
    <w:p w14:paraId="55452EED" w14:textId="60BD6ADC" w:rsidR="00D76E8E" w:rsidRDefault="00D76E8E" w:rsidP="00097698">
      <w:pPr>
        <w:pStyle w:val="NoSpacing"/>
        <w:keepNext/>
        <w:jc w:val="center"/>
      </w:pPr>
      <w:r>
        <w:rPr>
          <w:noProof/>
        </w:rPr>
        <w:drawing>
          <wp:inline distT="0" distB="0" distL="0" distR="0" wp14:anchorId="175D7B32" wp14:editId="57CE19B7">
            <wp:extent cx="5700578" cy="3291840"/>
            <wp:effectExtent l="0" t="0" r="1905"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00578" cy="3291840"/>
                    </a:xfrm>
                    <a:prstGeom prst="rect">
                      <a:avLst/>
                    </a:prstGeom>
                  </pic:spPr>
                </pic:pic>
              </a:graphicData>
            </a:graphic>
          </wp:inline>
        </w:drawing>
      </w:r>
    </w:p>
    <w:p w14:paraId="5DB97314" w14:textId="77777777" w:rsidR="0089410E" w:rsidRDefault="0089410E" w:rsidP="00D76E8E">
      <w:pPr>
        <w:pStyle w:val="NoSpacing"/>
        <w:keepNext/>
      </w:pPr>
    </w:p>
    <w:p w14:paraId="40D4408A" w14:textId="6C68EF5C" w:rsidR="005E3991" w:rsidRPr="0089410E" w:rsidRDefault="00D76E8E" w:rsidP="006F672A">
      <w:pPr>
        <w:pStyle w:val="NoSpacing"/>
        <w:rPr>
          <w:rFonts w:eastAsiaTheme="minorHAnsi"/>
        </w:rPr>
      </w:pPr>
      <w:bookmarkStart w:id="148" w:name="_Toc121470296"/>
      <w:r>
        <w:t xml:space="preserve">Figure </w:t>
      </w:r>
      <w:fldSimple w:instr=" SEQ Figure \* ARABIC ">
        <w:r w:rsidR="002F3906">
          <w:rPr>
            <w:noProof/>
          </w:rPr>
          <w:t>22</w:t>
        </w:r>
      </w:fldSimple>
      <w:r>
        <w:t xml:space="preserve"> - </w:t>
      </w:r>
      <w:r w:rsidRPr="009D1770">
        <w:t>Light absorption spectrum for surfactant</w:t>
      </w:r>
      <w:r>
        <w:t xml:space="preserve"> solutions post imbibition</w:t>
      </w:r>
      <w:r w:rsidRPr="009D1770">
        <w:t xml:space="preserve"> at </w:t>
      </w:r>
      <w:r>
        <w:t>2 gpt</w:t>
      </w:r>
      <w:r w:rsidRPr="009D1770">
        <w:t xml:space="preserve"> concentration using </w:t>
      </w:r>
      <w:r w:rsidRPr="009D1770">
        <w:rPr>
          <w:rFonts w:eastAsiaTheme="minorHAnsi"/>
        </w:rPr>
        <w:t>UV-Vis spectrophotometer.</w:t>
      </w:r>
      <w:bookmarkEnd w:id="148"/>
    </w:p>
    <w:p w14:paraId="21831CA2" w14:textId="77777777" w:rsidR="00C72E45" w:rsidRDefault="00C72E45" w:rsidP="00C72E45">
      <w:pPr>
        <w:pStyle w:val="Caption"/>
        <w:keepNext/>
        <w:jc w:val="center"/>
      </w:pPr>
      <w:r>
        <w:rPr>
          <w:noProof/>
        </w:rPr>
        <w:lastRenderedPageBreak/>
        <w:drawing>
          <wp:inline distT="0" distB="0" distL="0" distR="0" wp14:anchorId="6FA5C01F" wp14:editId="619D2DBD">
            <wp:extent cx="5394960" cy="2651760"/>
            <wp:effectExtent l="0" t="0" r="2540" b="2540"/>
            <wp:docPr id="16" name="Chart 16">
              <a:extLst xmlns:a="http://schemas.openxmlformats.org/drawingml/2006/main">
                <a:ext uri="{FF2B5EF4-FFF2-40B4-BE49-F238E27FC236}">
                  <a16:creationId xmlns:a16="http://schemas.microsoft.com/office/drawing/2014/main" id="{3668B0A2-ABDA-0843-832D-4D59C9804B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D63DF5E" w14:textId="41B5468B" w:rsidR="00C72E45" w:rsidRDefault="00C72E45" w:rsidP="00E64FC4">
      <w:pPr>
        <w:pStyle w:val="NoSpacing"/>
        <w:rPr>
          <w:rFonts w:eastAsiaTheme="minorHAnsi"/>
        </w:rPr>
      </w:pPr>
      <w:bookmarkStart w:id="149" w:name="_Ref118825568"/>
      <w:bookmarkStart w:id="150" w:name="_Toc121470297"/>
      <w:r w:rsidRPr="006C12C5">
        <w:t xml:space="preserve">Figure </w:t>
      </w:r>
      <w:fldSimple w:instr=" SEQ Figure \* ARABIC ">
        <w:r w:rsidR="002F3906">
          <w:rPr>
            <w:noProof/>
          </w:rPr>
          <w:t>23</w:t>
        </w:r>
      </w:fldSimple>
      <w:bookmarkEnd w:id="149"/>
      <w:r w:rsidRPr="006C12C5">
        <w:t xml:space="preserve"> - Surfactant adsorption results at 2 gpt concentration using </w:t>
      </w:r>
      <w:r w:rsidRPr="006C12C5">
        <w:rPr>
          <w:rFonts w:eastAsiaTheme="minorHAnsi"/>
        </w:rPr>
        <w:t>UV-Vis spectrophotometer.</w:t>
      </w:r>
      <w:bookmarkEnd w:id="150"/>
    </w:p>
    <w:p w14:paraId="6260160A" w14:textId="77777777" w:rsidR="005B3A53" w:rsidRPr="006C12C5" w:rsidRDefault="005B3A53" w:rsidP="00E64FC4">
      <w:pPr>
        <w:pStyle w:val="NoSpacing"/>
      </w:pPr>
    </w:p>
    <w:p w14:paraId="5A11DFF7" w14:textId="77777777" w:rsidR="00BF4F35" w:rsidRDefault="00BF4F35" w:rsidP="00BF4F35">
      <w:pPr>
        <w:ind w:firstLine="720"/>
        <w:rPr>
          <w:rFonts w:eastAsiaTheme="minorHAnsi"/>
        </w:rPr>
      </w:pPr>
    </w:p>
    <w:p w14:paraId="7AC9E6C9" w14:textId="77777777" w:rsidR="00BF4F35" w:rsidRDefault="00BF4F35" w:rsidP="00097698">
      <w:pPr>
        <w:keepNext/>
        <w:jc w:val="center"/>
      </w:pPr>
      <w:r>
        <w:rPr>
          <w:rFonts w:eastAsiaTheme="minorHAnsi"/>
          <w:noProof/>
        </w:rPr>
        <w:drawing>
          <wp:inline distT="0" distB="0" distL="0" distR="0" wp14:anchorId="328ED4AE" wp14:editId="17BE397F">
            <wp:extent cx="5829300" cy="1727490"/>
            <wp:effectExtent l="0" t="0" r="0" b="0"/>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rotWithShape="1">
                    <a:blip r:embed="rId36" cstate="print">
                      <a:extLst>
                        <a:ext uri="{28A0092B-C50C-407E-A947-70E740481C1C}">
                          <a14:useLocalDpi xmlns:a14="http://schemas.microsoft.com/office/drawing/2010/main" val="0"/>
                        </a:ext>
                      </a:extLst>
                    </a:blip>
                    <a:srcRect l="3194" r="1788"/>
                    <a:stretch/>
                  </pic:blipFill>
                  <pic:spPr bwMode="auto">
                    <a:xfrm>
                      <a:off x="0" y="0"/>
                      <a:ext cx="6079482" cy="1801630"/>
                    </a:xfrm>
                    <a:prstGeom prst="rect">
                      <a:avLst/>
                    </a:prstGeom>
                    <a:ln>
                      <a:noFill/>
                    </a:ln>
                    <a:extLst>
                      <a:ext uri="{53640926-AAD7-44D8-BBD7-CCE9431645EC}">
                        <a14:shadowObscured xmlns:a14="http://schemas.microsoft.com/office/drawing/2010/main"/>
                      </a:ext>
                    </a:extLst>
                  </pic:spPr>
                </pic:pic>
              </a:graphicData>
            </a:graphic>
          </wp:inline>
        </w:drawing>
      </w:r>
    </w:p>
    <w:p w14:paraId="2EA7A7FA" w14:textId="61819A4C" w:rsidR="00BF4F35" w:rsidRDefault="00BF4F35" w:rsidP="00BF4F35">
      <w:pPr>
        <w:pStyle w:val="NoSpacing"/>
      </w:pPr>
      <w:bookmarkStart w:id="151" w:name="_Ref118844010"/>
      <w:bookmarkStart w:id="152" w:name="_Toc121470298"/>
      <w:r>
        <w:t xml:space="preserve">Figure </w:t>
      </w:r>
      <w:fldSimple w:instr=" SEQ Figure \* ARABIC ">
        <w:r w:rsidR="002F3906">
          <w:rPr>
            <w:noProof/>
          </w:rPr>
          <w:t>24</w:t>
        </w:r>
      </w:fldSimple>
      <w:bookmarkEnd w:id="151"/>
      <w:r>
        <w:t xml:space="preserve"> - </w:t>
      </w:r>
      <w:r w:rsidRPr="00C316A8">
        <w:t xml:space="preserve">Model showing ion-pair formation </w:t>
      </w:r>
      <w:r>
        <w:t xml:space="preserve">between </w:t>
      </w:r>
      <w:r w:rsidR="0098776B">
        <w:t xml:space="preserve">polar head of </w:t>
      </w:r>
      <w:r>
        <w:t>amphoteric surfactant and</w:t>
      </w:r>
      <w:r w:rsidRPr="00C316A8">
        <w:t xml:space="preserve"> sandstone </w:t>
      </w:r>
      <w:r w:rsidR="00886BD6">
        <w:t>surface.</w:t>
      </w:r>
      <w:bookmarkEnd w:id="152"/>
    </w:p>
    <w:p w14:paraId="70E3FE81" w14:textId="77777777" w:rsidR="00BF4F35" w:rsidRDefault="00BF4F35" w:rsidP="00BF4F35">
      <w:pPr>
        <w:rPr>
          <w:rFonts w:eastAsiaTheme="minorHAnsi"/>
        </w:rPr>
      </w:pPr>
    </w:p>
    <w:p w14:paraId="75A78F26" w14:textId="77777777" w:rsidR="00BF4F35" w:rsidRDefault="00BF4F35" w:rsidP="00BF4F35">
      <w:pPr>
        <w:keepNext/>
        <w:jc w:val="center"/>
      </w:pPr>
      <w:r w:rsidRPr="00135941">
        <w:rPr>
          <w:rFonts w:eastAsiaTheme="minorHAnsi"/>
          <w:noProof/>
        </w:rPr>
        <w:lastRenderedPageBreak/>
        <w:drawing>
          <wp:inline distT="0" distB="0" distL="0" distR="0" wp14:anchorId="0CA823D4" wp14:editId="2A21AB29">
            <wp:extent cx="2743200" cy="1554480"/>
            <wp:effectExtent l="0" t="0" r="0" b="0"/>
            <wp:docPr id="28" name="Picture 28" descr="Time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28" descr="Timeline&#10;&#10;Description automatically generated"/>
                    <pic:cNvPicPr/>
                  </pic:nvPicPr>
                  <pic:blipFill rotWithShape="1">
                    <a:blip r:embed="rId37"/>
                    <a:srcRect l="2309" t="2138" r="2731" b="3377"/>
                    <a:stretch/>
                  </pic:blipFill>
                  <pic:spPr bwMode="auto">
                    <a:xfrm>
                      <a:off x="0" y="0"/>
                      <a:ext cx="2743200" cy="1554480"/>
                    </a:xfrm>
                    <a:prstGeom prst="rect">
                      <a:avLst/>
                    </a:prstGeom>
                    <a:ln>
                      <a:noFill/>
                    </a:ln>
                    <a:extLst>
                      <a:ext uri="{53640926-AAD7-44D8-BBD7-CCE9431645EC}">
                        <a14:shadowObscured xmlns:a14="http://schemas.microsoft.com/office/drawing/2010/main"/>
                      </a:ext>
                    </a:extLst>
                  </pic:spPr>
                </pic:pic>
              </a:graphicData>
            </a:graphic>
          </wp:inline>
        </w:drawing>
      </w:r>
    </w:p>
    <w:p w14:paraId="7CDC15AD" w14:textId="57F2CDBF" w:rsidR="00BF4F35" w:rsidRDefault="00BF4F35" w:rsidP="00BF4F35">
      <w:pPr>
        <w:pStyle w:val="NoSpacing"/>
      </w:pPr>
      <w:bookmarkStart w:id="153" w:name="_Ref118844067"/>
      <w:bookmarkStart w:id="154" w:name="_Toc121470299"/>
      <w:r>
        <w:t xml:space="preserve">Figure </w:t>
      </w:r>
      <w:fldSimple w:instr=" SEQ Figure \* ARABIC ">
        <w:r w:rsidR="002F3906">
          <w:rPr>
            <w:noProof/>
          </w:rPr>
          <w:t>25</w:t>
        </w:r>
      </w:fldSimple>
      <w:bookmarkEnd w:id="153"/>
      <w:r>
        <w:t xml:space="preserve"> - Adsorption of </w:t>
      </w:r>
      <w:r>
        <w:rPr>
          <w:rFonts w:eastAsiaTheme="minorHAnsi"/>
        </w:rPr>
        <w:t>negative</w:t>
      </w:r>
      <w:r w:rsidRPr="00A56399">
        <w:rPr>
          <w:rFonts w:eastAsiaTheme="minorHAnsi"/>
        </w:rPr>
        <w:t xml:space="preserve"> charged polar head of amphoteric surfactant </w:t>
      </w:r>
      <w:r>
        <w:t>to clay surface with Ca</w:t>
      </w:r>
      <w:r w:rsidRPr="00711526">
        <w:rPr>
          <w:vertAlign w:val="superscript"/>
        </w:rPr>
        <w:t>2+</w:t>
      </w:r>
      <w:r>
        <w:t xml:space="preserve"> as a cationic bridge (</w:t>
      </w:r>
      <w:r>
        <w:rPr>
          <w:rFonts w:eastAsiaTheme="minorHAnsi"/>
        </w:rPr>
        <w:t>Liu et al. 2021</w:t>
      </w:r>
      <w:r>
        <w:t>).</w:t>
      </w:r>
      <w:bookmarkEnd w:id="154"/>
      <w:r>
        <w:t xml:space="preserve"> </w:t>
      </w:r>
    </w:p>
    <w:p w14:paraId="22389A91" w14:textId="77777777" w:rsidR="00BF4F35" w:rsidRDefault="00BF4F35" w:rsidP="00BF4F35">
      <w:pPr>
        <w:pStyle w:val="NoSpacing"/>
      </w:pPr>
    </w:p>
    <w:p w14:paraId="708E64F2" w14:textId="77777777" w:rsidR="00BF4F35" w:rsidRDefault="00BF4F35" w:rsidP="00BF4F35">
      <w:pPr>
        <w:keepNext/>
        <w:jc w:val="center"/>
      </w:pPr>
      <w:r w:rsidRPr="00135941">
        <w:rPr>
          <w:rFonts w:eastAsiaTheme="minorHAnsi"/>
          <w:noProof/>
        </w:rPr>
        <w:drawing>
          <wp:inline distT="0" distB="0" distL="0" distR="0" wp14:anchorId="413E4A0A" wp14:editId="04317950">
            <wp:extent cx="2743200" cy="1554480"/>
            <wp:effectExtent l="0" t="0" r="0" b="0"/>
            <wp:docPr id="29" name="Picture 29" descr="A screenshot of a computer&#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10;&#10;Description automatically generated with low confidence"/>
                    <pic:cNvPicPr/>
                  </pic:nvPicPr>
                  <pic:blipFill rotWithShape="1">
                    <a:blip r:embed="rId38"/>
                    <a:srcRect l="3641" t="3230" r="2521" b="2590"/>
                    <a:stretch/>
                  </pic:blipFill>
                  <pic:spPr bwMode="auto">
                    <a:xfrm>
                      <a:off x="0" y="0"/>
                      <a:ext cx="2743200" cy="1554480"/>
                    </a:xfrm>
                    <a:prstGeom prst="rect">
                      <a:avLst/>
                    </a:prstGeom>
                    <a:ln>
                      <a:noFill/>
                    </a:ln>
                    <a:extLst>
                      <a:ext uri="{53640926-AAD7-44D8-BBD7-CCE9431645EC}">
                        <a14:shadowObscured xmlns:a14="http://schemas.microsoft.com/office/drawing/2010/main"/>
                      </a:ext>
                    </a:extLst>
                  </pic:spPr>
                </pic:pic>
              </a:graphicData>
            </a:graphic>
          </wp:inline>
        </w:drawing>
      </w:r>
    </w:p>
    <w:p w14:paraId="21C38191" w14:textId="4C195C6B" w:rsidR="00BF4F35" w:rsidRPr="00135941" w:rsidRDefault="00BF4F35" w:rsidP="00BF4F35">
      <w:pPr>
        <w:pStyle w:val="NoSpacing"/>
        <w:rPr>
          <w:rFonts w:eastAsiaTheme="minorHAnsi"/>
        </w:rPr>
      </w:pPr>
      <w:bookmarkStart w:id="155" w:name="_Ref118845629"/>
      <w:bookmarkStart w:id="156" w:name="_Toc121470300"/>
      <w:r>
        <w:t xml:space="preserve">Figure </w:t>
      </w:r>
      <w:fldSimple w:instr=" SEQ Figure \* ARABIC ">
        <w:r w:rsidR="002F3906">
          <w:rPr>
            <w:noProof/>
          </w:rPr>
          <w:t>26</w:t>
        </w:r>
      </w:fldSimple>
      <w:bookmarkEnd w:id="155"/>
      <w:r>
        <w:t xml:space="preserve"> - Excess Ca</w:t>
      </w:r>
      <w:r w:rsidRPr="00E75AC7">
        <w:rPr>
          <w:vertAlign w:val="superscript"/>
        </w:rPr>
        <w:t>2+</w:t>
      </w:r>
      <w:r>
        <w:t xml:space="preserve"> ions in surfactant solution creates multilayer</w:t>
      </w:r>
      <w:r w:rsidR="005249C2">
        <w:t xml:space="preserve"> of</w:t>
      </w:r>
      <w:r>
        <w:t xml:space="preserve"> </w:t>
      </w:r>
      <w:r w:rsidR="00575D96">
        <w:t>adsorped</w:t>
      </w:r>
      <w:r>
        <w:t xml:space="preserve"> </w:t>
      </w:r>
      <w:r w:rsidRPr="00A56399">
        <w:rPr>
          <w:rFonts w:eastAsiaTheme="minorHAnsi"/>
        </w:rPr>
        <w:t>amphoteric surfactant</w:t>
      </w:r>
      <w:r>
        <w:rPr>
          <w:rFonts w:eastAsiaTheme="minorHAnsi"/>
        </w:rPr>
        <w:t xml:space="preserve"> (Liu et al. 2021).</w:t>
      </w:r>
      <w:bookmarkEnd w:id="156"/>
      <w:r>
        <w:rPr>
          <w:rFonts w:eastAsiaTheme="minorHAnsi"/>
        </w:rPr>
        <w:t xml:space="preserve"> </w:t>
      </w:r>
    </w:p>
    <w:p w14:paraId="587D5294" w14:textId="77777777" w:rsidR="00B1615B" w:rsidRDefault="00B1615B" w:rsidP="00BF4F35">
      <w:pPr>
        <w:rPr>
          <w:rFonts w:eastAsiaTheme="minorHAnsi"/>
        </w:rPr>
      </w:pPr>
    </w:p>
    <w:p w14:paraId="2B526115" w14:textId="77777777" w:rsidR="00BF4F35" w:rsidRDefault="00BF4F35" w:rsidP="009B0D08">
      <w:pPr>
        <w:keepNext/>
        <w:jc w:val="center"/>
      </w:pPr>
      <w:r>
        <w:rPr>
          <w:rFonts w:eastAsiaTheme="minorHAnsi"/>
          <w:noProof/>
          <w:szCs w:val="20"/>
        </w:rPr>
        <w:drawing>
          <wp:inline distT="0" distB="0" distL="0" distR="0" wp14:anchorId="7BB8224D" wp14:editId="52744740">
            <wp:extent cx="5848256" cy="2497338"/>
            <wp:effectExtent l="0" t="0" r="0" b="508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rotWithShape="1">
                    <a:blip r:embed="rId39" cstate="print">
                      <a:extLst>
                        <a:ext uri="{28A0092B-C50C-407E-A947-70E740481C1C}">
                          <a14:useLocalDpi xmlns:a14="http://schemas.microsoft.com/office/drawing/2010/main" val="0"/>
                        </a:ext>
                      </a:extLst>
                    </a:blip>
                    <a:srcRect l="2956" r="1596"/>
                    <a:stretch/>
                  </pic:blipFill>
                  <pic:spPr bwMode="auto">
                    <a:xfrm>
                      <a:off x="0" y="0"/>
                      <a:ext cx="5856237" cy="2500746"/>
                    </a:xfrm>
                    <a:prstGeom prst="rect">
                      <a:avLst/>
                    </a:prstGeom>
                    <a:ln>
                      <a:noFill/>
                    </a:ln>
                    <a:extLst>
                      <a:ext uri="{53640926-AAD7-44D8-BBD7-CCE9431645EC}">
                        <a14:shadowObscured xmlns:a14="http://schemas.microsoft.com/office/drawing/2010/main"/>
                      </a:ext>
                    </a:extLst>
                  </pic:spPr>
                </pic:pic>
              </a:graphicData>
            </a:graphic>
          </wp:inline>
        </w:drawing>
      </w:r>
    </w:p>
    <w:p w14:paraId="611D78FC" w14:textId="1F56BB35" w:rsidR="00157D4F" w:rsidRPr="00381B5E" w:rsidRDefault="00BF4F35" w:rsidP="00381B5E">
      <w:pPr>
        <w:pStyle w:val="NoSpacing"/>
      </w:pPr>
      <w:bookmarkStart w:id="157" w:name="_Ref118845641"/>
      <w:bookmarkStart w:id="158" w:name="_Toc121470301"/>
      <w:r>
        <w:t xml:space="preserve">Figure </w:t>
      </w:r>
      <w:fldSimple w:instr=" SEQ Figure \* ARABIC ">
        <w:r w:rsidR="002F3906">
          <w:rPr>
            <w:noProof/>
          </w:rPr>
          <w:t>27</w:t>
        </w:r>
      </w:fldSimple>
      <w:bookmarkEnd w:id="157"/>
      <w:r>
        <w:t xml:space="preserve"> - </w:t>
      </w:r>
      <w:r w:rsidRPr="00C316A8">
        <w:t xml:space="preserve">Model showing </w:t>
      </w:r>
      <w:r w:rsidR="00E92836">
        <w:t xml:space="preserve">reduction in </w:t>
      </w:r>
      <w:r>
        <w:t xml:space="preserve">electrostatic repulsion between </w:t>
      </w:r>
      <w:r w:rsidR="00C428DC">
        <w:t xml:space="preserve">same </w:t>
      </w:r>
      <w:r>
        <w:t>charge on polar head of surfactants</w:t>
      </w:r>
      <w:r w:rsidR="00C428DC">
        <w:t xml:space="preserve"> due to presence of divalent cations.</w:t>
      </w:r>
      <w:bookmarkEnd w:id="158"/>
    </w:p>
    <w:p w14:paraId="17C259BD" w14:textId="71D4648F" w:rsidR="00B71A7D" w:rsidRDefault="00B71A7D" w:rsidP="0072442C">
      <w:pPr>
        <w:pStyle w:val="Heading2"/>
      </w:pPr>
      <w:bookmarkStart w:id="159" w:name="_Toc121470265"/>
      <w:r>
        <w:lastRenderedPageBreak/>
        <w:t xml:space="preserve">4.5 </w:t>
      </w:r>
      <w:r w:rsidR="00457851">
        <w:t xml:space="preserve">Relationship between </w:t>
      </w:r>
      <w:r w:rsidR="002D387B">
        <w:t>S</w:t>
      </w:r>
      <w:r>
        <w:t xml:space="preserve">urfactant </w:t>
      </w:r>
      <w:r w:rsidR="002D387B">
        <w:t>A</w:t>
      </w:r>
      <w:r>
        <w:t xml:space="preserve">dsorption </w:t>
      </w:r>
      <w:r w:rsidR="00457851">
        <w:t>and</w:t>
      </w:r>
      <w:r>
        <w:t xml:space="preserve"> </w:t>
      </w:r>
      <w:r w:rsidR="002D387B">
        <w:t>M</w:t>
      </w:r>
      <w:r>
        <w:t>ineralogy</w:t>
      </w:r>
      <w:bookmarkEnd w:id="159"/>
    </w:p>
    <w:p w14:paraId="79F8769C" w14:textId="7D92E290" w:rsidR="00417389" w:rsidRDefault="0053455A" w:rsidP="003B069D">
      <w:pPr>
        <w:rPr>
          <w:rFonts w:eastAsiaTheme="minorHAnsi"/>
        </w:rPr>
      </w:pPr>
      <w:r>
        <w:rPr>
          <w:rFonts w:eastAsiaTheme="minorHAnsi"/>
        </w:rPr>
        <w:t>Results from s</w:t>
      </w:r>
      <w:r w:rsidR="003B069D">
        <w:rPr>
          <w:rFonts w:eastAsiaTheme="minorHAnsi"/>
        </w:rPr>
        <w:t xml:space="preserve">urfactant adsorption </w:t>
      </w:r>
      <w:r w:rsidR="00A215B6">
        <w:rPr>
          <w:rFonts w:eastAsiaTheme="minorHAnsi"/>
        </w:rPr>
        <w:t>measurement</w:t>
      </w:r>
      <w:r w:rsidR="00CB18E5">
        <w:rPr>
          <w:rFonts w:eastAsiaTheme="minorHAnsi"/>
        </w:rPr>
        <w:t>s</w:t>
      </w:r>
      <w:r w:rsidR="00A215B6">
        <w:rPr>
          <w:rFonts w:eastAsiaTheme="minorHAnsi"/>
        </w:rPr>
        <w:t xml:space="preserve"> </w:t>
      </w:r>
      <w:r w:rsidR="003B069D">
        <w:rPr>
          <w:rFonts w:eastAsiaTheme="minorHAnsi"/>
        </w:rPr>
        <w:t>performed on five samples</w:t>
      </w:r>
      <w:r w:rsidR="00796D7C" w:rsidRPr="00796D7C">
        <w:rPr>
          <w:rFonts w:eastAsiaTheme="minorHAnsi"/>
        </w:rPr>
        <w:t xml:space="preserve"> </w:t>
      </w:r>
      <w:r w:rsidR="00796D7C">
        <w:rPr>
          <w:rFonts w:eastAsiaTheme="minorHAnsi"/>
        </w:rPr>
        <w:t>using surfactant</w:t>
      </w:r>
      <w:r w:rsidR="00512D42">
        <w:rPr>
          <w:rFonts w:eastAsiaTheme="minorHAnsi"/>
        </w:rPr>
        <w:t xml:space="preserve"> at</w:t>
      </w:r>
      <w:r w:rsidR="007F1C49">
        <w:rPr>
          <w:rFonts w:eastAsiaTheme="minorHAnsi"/>
        </w:rPr>
        <w:t xml:space="preserve"> 2 gpt concentration </w:t>
      </w:r>
      <w:r w:rsidR="003B069D">
        <w:rPr>
          <w:rFonts w:eastAsiaTheme="minorHAnsi"/>
        </w:rPr>
        <w:t xml:space="preserve">are shown in </w:t>
      </w:r>
      <w:r w:rsidR="008B4CD2">
        <w:rPr>
          <w:rFonts w:eastAsiaTheme="minorHAnsi"/>
        </w:rPr>
        <w:fldChar w:fldCharType="begin"/>
      </w:r>
      <w:r w:rsidR="008B4CD2">
        <w:rPr>
          <w:rFonts w:eastAsiaTheme="minorHAnsi"/>
        </w:rPr>
        <w:instrText xml:space="preserve"> REF _Ref119888033 \h </w:instrText>
      </w:r>
      <w:r w:rsidR="008B4CD2">
        <w:rPr>
          <w:rFonts w:eastAsiaTheme="minorHAnsi"/>
        </w:rPr>
      </w:r>
      <w:r w:rsidR="008B4CD2">
        <w:rPr>
          <w:rFonts w:eastAsiaTheme="minorHAnsi"/>
        </w:rPr>
        <w:fldChar w:fldCharType="separate"/>
      </w:r>
      <w:r w:rsidR="002F3906">
        <w:t xml:space="preserve">Figure </w:t>
      </w:r>
      <w:r w:rsidR="002F3906">
        <w:rPr>
          <w:noProof/>
        </w:rPr>
        <w:t>28</w:t>
      </w:r>
      <w:r w:rsidR="008B4CD2">
        <w:rPr>
          <w:rFonts w:eastAsiaTheme="minorHAnsi"/>
        </w:rPr>
        <w:fldChar w:fldCharType="end"/>
      </w:r>
      <w:r w:rsidR="002F6B28">
        <w:rPr>
          <w:rFonts w:eastAsiaTheme="minorHAnsi"/>
        </w:rPr>
        <w:t>.</w:t>
      </w:r>
      <w:r>
        <w:rPr>
          <w:rFonts w:eastAsiaTheme="minorHAnsi"/>
        </w:rPr>
        <w:t xml:space="preserve"> </w:t>
      </w:r>
      <w:r w:rsidR="00B92969">
        <w:rPr>
          <w:rFonts w:eastAsiaTheme="minorHAnsi"/>
        </w:rPr>
        <w:t>Results here show</w:t>
      </w:r>
      <w:r w:rsidR="008B4CD2">
        <w:rPr>
          <w:rFonts w:eastAsiaTheme="minorHAnsi"/>
        </w:rPr>
        <w:t>s</w:t>
      </w:r>
      <w:r w:rsidR="00B92969">
        <w:rPr>
          <w:rFonts w:eastAsiaTheme="minorHAnsi"/>
        </w:rPr>
        <w:t xml:space="preserve"> that </w:t>
      </w:r>
      <w:r w:rsidR="008B4CD2">
        <w:rPr>
          <w:rFonts w:eastAsiaTheme="minorHAnsi"/>
        </w:rPr>
        <w:t>s</w:t>
      </w:r>
      <w:r w:rsidR="00B92969">
        <w:rPr>
          <w:rFonts w:eastAsiaTheme="minorHAnsi"/>
        </w:rPr>
        <w:t>urf</w:t>
      </w:r>
      <w:r w:rsidR="008B4CD2">
        <w:rPr>
          <w:rFonts w:eastAsiaTheme="minorHAnsi"/>
        </w:rPr>
        <w:t>actant</w:t>
      </w:r>
      <w:r w:rsidR="00B92969">
        <w:rPr>
          <w:rFonts w:eastAsiaTheme="minorHAnsi"/>
        </w:rPr>
        <w:t xml:space="preserve"> </w:t>
      </w:r>
      <w:r w:rsidR="00B51178">
        <w:rPr>
          <w:rFonts w:eastAsiaTheme="minorHAnsi"/>
        </w:rPr>
        <w:t>3</w:t>
      </w:r>
      <w:r w:rsidR="00B92969">
        <w:rPr>
          <w:rFonts w:eastAsiaTheme="minorHAnsi"/>
        </w:rPr>
        <w:t xml:space="preserve"> (</w:t>
      </w:r>
      <w:r w:rsidR="00B51178">
        <w:rPr>
          <w:rFonts w:eastAsiaTheme="minorHAnsi"/>
        </w:rPr>
        <w:t>biosurfactant</w:t>
      </w:r>
      <w:r w:rsidR="00B92969">
        <w:rPr>
          <w:rFonts w:eastAsiaTheme="minorHAnsi"/>
        </w:rPr>
        <w:t xml:space="preserve">) has much </w:t>
      </w:r>
      <w:r w:rsidR="00B51178">
        <w:rPr>
          <w:rFonts w:eastAsiaTheme="minorHAnsi"/>
        </w:rPr>
        <w:t>lower</w:t>
      </w:r>
      <w:r w:rsidR="00B92969">
        <w:rPr>
          <w:rFonts w:eastAsiaTheme="minorHAnsi"/>
        </w:rPr>
        <w:t xml:space="preserve"> surfactant ad</w:t>
      </w:r>
      <w:r w:rsidR="00C40A91">
        <w:rPr>
          <w:rFonts w:eastAsiaTheme="minorHAnsi"/>
        </w:rPr>
        <w:t>s</w:t>
      </w:r>
      <w:r w:rsidR="00B92969">
        <w:rPr>
          <w:rFonts w:eastAsiaTheme="minorHAnsi"/>
        </w:rPr>
        <w:t>o</w:t>
      </w:r>
      <w:r w:rsidR="00C40A91">
        <w:rPr>
          <w:rFonts w:eastAsiaTheme="minorHAnsi"/>
        </w:rPr>
        <w:t>r</w:t>
      </w:r>
      <w:r w:rsidR="00B92969">
        <w:rPr>
          <w:rFonts w:eastAsiaTheme="minorHAnsi"/>
        </w:rPr>
        <w:t xml:space="preserve">ption as compared to </w:t>
      </w:r>
      <w:r w:rsidR="008B4CD2">
        <w:rPr>
          <w:rFonts w:eastAsiaTheme="minorHAnsi"/>
        </w:rPr>
        <w:t>s</w:t>
      </w:r>
      <w:r w:rsidR="00B92969">
        <w:rPr>
          <w:rFonts w:eastAsiaTheme="minorHAnsi"/>
        </w:rPr>
        <w:t>urf</w:t>
      </w:r>
      <w:r w:rsidR="008B4CD2">
        <w:rPr>
          <w:rFonts w:eastAsiaTheme="minorHAnsi"/>
        </w:rPr>
        <w:t>actant</w:t>
      </w:r>
      <w:r w:rsidR="00B92969">
        <w:rPr>
          <w:rFonts w:eastAsiaTheme="minorHAnsi"/>
        </w:rPr>
        <w:t xml:space="preserve"> </w:t>
      </w:r>
      <w:r w:rsidR="00B51178">
        <w:rPr>
          <w:rFonts w:eastAsiaTheme="minorHAnsi"/>
        </w:rPr>
        <w:t>1</w:t>
      </w:r>
      <w:r w:rsidR="00B92969">
        <w:rPr>
          <w:rFonts w:eastAsiaTheme="minorHAnsi"/>
        </w:rPr>
        <w:t xml:space="preserve"> </w:t>
      </w:r>
      <w:r w:rsidR="00B51178">
        <w:rPr>
          <w:rFonts w:eastAsiaTheme="minorHAnsi"/>
        </w:rPr>
        <w:t xml:space="preserve">and 2 </w:t>
      </w:r>
      <w:r w:rsidR="00B92969">
        <w:rPr>
          <w:rFonts w:eastAsiaTheme="minorHAnsi"/>
        </w:rPr>
        <w:t xml:space="preserve">(amphoteric). </w:t>
      </w:r>
      <w:r w:rsidR="00B51178">
        <w:rPr>
          <w:rFonts w:eastAsiaTheme="minorHAnsi"/>
        </w:rPr>
        <w:t>Also, r</w:t>
      </w:r>
      <w:r w:rsidR="0010618C">
        <w:rPr>
          <w:rFonts w:eastAsiaTheme="minorHAnsi"/>
        </w:rPr>
        <w:t xml:space="preserve">esults here show that divalent cations </w:t>
      </w:r>
      <w:r w:rsidR="00DD774F">
        <w:rPr>
          <w:rFonts w:eastAsiaTheme="minorHAnsi"/>
        </w:rPr>
        <w:t>do</w:t>
      </w:r>
      <w:r w:rsidR="0010618C">
        <w:rPr>
          <w:rFonts w:eastAsiaTheme="minorHAnsi"/>
        </w:rPr>
        <w:t xml:space="preserve"> not increase the reactivity </w:t>
      </w:r>
      <w:r w:rsidR="004E5F91">
        <w:rPr>
          <w:rFonts w:eastAsiaTheme="minorHAnsi"/>
        </w:rPr>
        <w:t xml:space="preserve">of </w:t>
      </w:r>
      <w:r w:rsidR="00BC34E9">
        <w:rPr>
          <w:rFonts w:eastAsiaTheme="minorHAnsi"/>
        </w:rPr>
        <w:t>biosurfactant,</w:t>
      </w:r>
      <w:r w:rsidR="0010618C">
        <w:rPr>
          <w:rFonts w:eastAsiaTheme="minorHAnsi"/>
        </w:rPr>
        <w:t xml:space="preserve"> and </w:t>
      </w:r>
      <w:r w:rsidR="00BC34E9">
        <w:rPr>
          <w:rFonts w:eastAsiaTheme="minorHAnsi"/>
        </w:rPr>
        <w:t xml:space="preserve">thus </w:t>
      </w:r>
      <w:r w:rsidR="0010618C">
        <w:rPr>
          <w:rFonts w:eastAsiaTheme="minorHAnsi"/>
        </w:rPr>
        <w:t xml:space="preserve">they are more stable </w:t>
      </w:r>
      <w:r w:rsidR="009517B1">
        <w:rPr>
          <w:rFonts w:eastAsiaTheme="minorHAnsi"/>
        </w:rPr>
        <w:t xml:space="preserve">at </w:t>
      </w:r>
      <w:r w:rsidR="009F136B">
        <w:rPr>
          <w:rFonts w:eastAsiaTheme="minorHAnsi"/>
        </w:rPr>
        <w:t>high TDS and temperature</w:t>
      </w:r>
      <w:r w:rsidR="00442323">
        <w:rPr>
          <w:rFonts w:eastAsiaTheme="minorHAnsi"/>
        </w:rPr>
        <w:t>.</w:t>
      </w:r>
    </w:p>
    <w:p w14:paraId="43064A89" w14:textId="77777777" w:rsidR="00F833EF" w:rsidRDefault="00CA79F2" w:rsidP="00E24F62">
      <w:pPr>
        <w:keepNext/>
        <w:jc w:val="center"/>
      </w:pPr>
      <w:r>
        <w:rPr>
          <w:noProof/>
        </w:rPr>
        <w:drawing>
          <wp:inline distT="0" distB="0" distL="0" distR="0" wp14:anchorId="084F4A15" wp14:editId="7AA3FE01">
            <wp:extent cx="5943600" cy="3157396"/>
            <wp:effectExtent l="0" t="0" r="0" b="5080"/>
            <wp:docPr id="52" name="Chart 52">
              <a:extLst xmlns:a="http://schemas.openxmlformats.org/drawingml/2006/main">
                <a:ext uri="{FF2B5EF4-FFF2-40B4-BE49-F238E27FC236}">
                  <a16:creationId xmlns:a16="http://schemas.microsoft.com/office/drawing/2014/main" id="{006E5FED-E256-6C74-9E18-6134A19113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3AD836A" w14:textId="0BA2A5FC" w:rsidR="007F1C49" w:rsidRDefault="00F833EF" w:rsidP="007F1C49">
      <w:pPr>
        <w:pStyle w:val="NoSpacing"/>
        <w:rPr>
          <w:rFonts w:eastAsiaTheme="minorHAnsi"/>
        </w:rPr>
      </w:pPr>
      <w:bookmarkStart w:id="160" w:name="_Ref119888033"/>
      <w:bookmarkStart w:id="161" w:name="_Toc121470302"/>
      <w:r>
        <w:t xml:space="preserve">Figure </w:t>
      </w:r>
      <w:fldSimple w:instr=" SEQ Figure \* ARABIC ">
        <w:r w:rsidR="002F3906">
          <w:rPr>
            <w:noProof/>
          </w:rPr>
          <w:t>28</w:t>
        </w:r>
      </w:fldSimple>
      <w:bookmarkEnd w:id="160"/>
      <w:r>
        <w:t xml:space="preserve"> </w:t>
      </w:r>
      <w:r w:rsidR="007F1C49">
        <w:t xml:space="preserve">- </w:t>
      </w:r>
      <w:r w:rsidR="007F1C49" w:rsidRPr="006C12C5">
        <w:t xml:space="preserve">Surfactant adsorption results </w:t>
      </w:r>
      <w:r w:rsidR="007F1C49">
        <w:t xml:space="preserve">for five samples </w:t>
      </w:r>
      <w:r w:rsidR="007F1C49" w:rsidRPr="006C12C5">
        <w:t xml:space="preserve">at 2 gpt concentration using </w:t>
      </w:r>
      <w:r w:rsidR="007F1C49" w:rsidRPr="006C12C5">
        <w:rPr>
          <w:rFonts w:eastAsiaTheme="minorHAnsi"/>
        </w:rPr>
        <w:t>UV-Vis spectrophotometer.</w:t>
      </w:r>
      <w:bookmarkEnd w:id="161"/>
    </w:p>
    <w:p w14:paraId="06FBD45A" w14:textId="77777777" w:rsidR="006E5A5D" w:rsidRPr="006C12C5" w:rsidRDefault="006E5A5D" w:rsidP="007F1C49">
      <w:pPr>
        <w:pStyle w:val="NoSpacing"/>
      </w:pPr>
    </w:p>
    <w:p w14:paraId="0869E157" w14:textId="02354AF6" w:rsidR="006E5A5D" w:rsidRPr="006E5A5D" w:rsidRDefault="0053455A" w:rsidP="006E5A5D">
      <w:pPr>
        <w:pStyle w:val="Heading3"/>
        <w:rPr>
          <w:rFonts w:eastAsiaTheme="minorHAnsi"/>
        </w:rPr>
      </w:pPr>
      <w:bookmarkStart w:id="162" w:name="_Toc121470266"/>
      <w:r>
        <w:rPr>
          <w:rFonts w:eastAsiaTheme="minorHAnsi"/>
        </w:rPr>
        <w:t xml:space="preserve">4.5.1 Surfactant </w:t>
      </w:r>
      <w:r w:rsidR="00837F0F">
        <w:rPr>
          <w:rFonts w:eastAsiaTheme="minorHAnsi"/>
        </w:rPr>
        <w:t>A</w:t>
      </w:r>
      <w:r>
        <w:rPr>
          <w:rFonts w:eastAsiaTheme="minorHAnsi"/>
        </w:rPr>
        <w:t xml:space="preserve">dsorption </w:t>
      </w:r>
      <w:r w:rsidR="00837F0F">
        <w:rPr>
          <w:rFonts w:eastAsiaTheme="minorHAnsi"/>
        </w:rPr>
        <w:t>R</w:t>
      </w:r>
      <w:r>
        <w:rPr>
          <w:rFonts w:eastAsiaTheme="minorHAnsi"/>
        </w:rPr>
        <w:t xml:space="preserve">elationship with </w:t>
      </w:r>
      <w:r w:rsidR="00837F0F">
        <w:rPr>
          <w:rFonts w:eastAsiaTheme="minorHAnsi"/>
        </w:rPr>
        <w:t>Q</w:t>
      </w:r>
      <w:r w:rsidR="00D63F66">
        <w:rPr>
          <w:rFonts w:eastAsiaTheme="minorHAnsi"/>
        </w:rPr>
        <w:t>uartz</w:t>
      </w:r>
      <w:r w:rsidR="00230659">
        <w:rPr>
          <w:rFonts w:eastAsiaTheme="minorHAnsi"/>
        </w:rPr>
        <w:t xml:space="preserve"> plus </w:t>
      </w:r>
      <w:r w:rsidR="00837F0F">
        <w:rPr>
          <w:rFonts w:eastAsiaTheme="minorHAnsi"/>
        </w:rPr>
        <w:t>F</w:t>
      </w:r>
      <w:r w:rsidR="00230659">
        <w:rPr>
          <w:rFonts w:eastAsiaTheme="minorHAnsi"/>
        </w:rPr>
        <w:t>eldspars</w:t>
      </w:r>
      <w:bookmarkEnd w:id="162"/>
    </w:p>
    <w:p w14:paraId="07DE6E4F" w14:textId="1F9F206A" w:rsidR="00512D42" w:rsidRPr="007F1C49" w:rsidRDefault="00B72D45" w:rsidP="007F1C49">
      <w:pPr>
        <w:rPr>
          <w:rFonts w:eastAsiaTheme="minorHAnsi"/>
        </w:rPr>
      </w:pPr>
      <w:r>
        <w:rPr>
          <w:rFonts w:eastAsiaTheme="minorHAnsi"/>
        </w:rPr>
        <w:fldChar w:fldCharType="begin"/>
      </w:r>
      <w:r>
        <w:rPr>
          <w:rFonts w:eastAsiaTheme="minorHAnsi"/>
        </w:rPr>
        <w:instrText xml:space="preserve"> REF _Ref118888624 \h </w:instrText>
      </w:r>
      <w:r>
        <w:rPr>
          <w:rFonts w:eastAsiaTheme="minorHAnsi"/>
        </w:rPr>
      </w:r>
      <w:r>
        <w:rPr>
          <w:rFonts w:eastAsiaTheme="minorHAnsi"/>
        </w:rPr>
        <w:fldChar w:fldCharType="separate"/>
      </w:r>
      <w:r w:rsidR="002F3906">
        <w:t xml:space="preserve">Figure </w:t>
      </w:r>
      <w:r w:rsidR="002F3906">
        <w:rPr>
          <w:noProof/>
        </w:rPr>
        <w:t>29</w:t>
      </w:r>
      <w:r>
        <w:rPr>
          <w:rFonts w:eastAsiaTheme="minorHAnsi"/>
        </w:rPr>
        <w:fldChar w:fldCharType="end"/>
      </w:r>
      <w:r>
        <w:rPr>
          <w:rFonts w:eastAsiaTheme="minorHAnsi"/>
        </w:rPr>
        <w:t xml:space="preserve"> </w:t>
      </w:r>
      <w:r w:rsidR="00512D42">
        <w:rPr>
          <w:rFonts w:eastAsiaTheme="minorHAnsi"/>
        </w:rPr>
        <w:t xml:space="preserve">presents the relationship between surfactant adsorption with quartz plus feldspars </w:t>
      </w:r>
      <w:r w:rsidR="00DE0F71">
        <w:rPr>
          <w:rFonts w:eastAsiaTheme="minorHAnsi"/>
        </w:rPr>
        <w:t>for the</w:t>
      </w:r>
      <w:r w:rsidR="00512D42">
        <w:rPr>
          <w:rFonts w:eastAsiaTheme="minorHAnsi"/>
        </w:rPr>
        <w:t xml:space="preserve"> </w:t>
      </w:r>
      <w:r w:rsidR="00DE0F71">
        <w:rPr>
          <w:rFonts w:eastAsiaTheme="minorHAnsi"/>
        </w:rPr>
        <w:t>three surfactants.</w:t>
      </w:r>
      <w:r w:rsidR="00512D42">
        <w:rPr>
          <w:rFonts w:eastAsiaTheme="minorHAnsi"/>
        </w:rPr>
        <w:t xml:space="preserve"> </w:t>
      </w:r>
      <w:r w:rsidR="00C7255F">
        <w:rPr>
          <w:rFonts w:eastAsiaTheme="minorHAnsi"/>
        </w:rPr>
        <w:t xml:space="preserve">A negative linear trend was noticed </w:t>
      </w:r>
      <w:r w:rsidR="00F35CD2">
        <w:rPr>
          <w:rFonts w:eastAsiaTheme="minorHAnsi"/>
        </w:rPr>
        <w:t xml:space="preserve">with the surfactant adsorption and the minerals considered. </w:t>
      </w:r>
      <w:r w:rsidR="00203D99">
        <w:rPr>
          <w:rFonts w:eastAsiaTheme="minorHAnsi"/>
        </w:rPr>
        <w:t>This result</w:t>
      </w:r>
      <w:r w:rsidR="00F35CD2">
        <w:rPr>
          <w:rFonts w:eastAsiaTheme="minorHAnsi"/>
        </w:rPr>
        <w:t xml:space="preserve"> shows that </w:t>
      </w:r>
      <w:r w:rsidR="00CD5810">
        <w:rPr>
          <w:rFonts w:eastAsiaTheme="minorHAnsi"/>
        </w:rPr>
        <w:t xml:space="preserve">surfactant adsorption of amphoteric and biosurfactant depends on quartz plus feldspars concentration in sandstone reservoirs at high TDS and temperature. </w:t>
      </w:r>
    </w:p>
    <w:p w14:paraId="189AF02F" w14:textId="1D154C78" w:rsidR="00512D42" w:rsidRDefault="00B855D4" w:rsidP="00E24F62">
      <w:pPr>
        <w:keepNext/>
        <w:jc w:val="center"/>
      </w:pPr>
      <w:r>
        <w:rPr>
          <w:noProof/>
        </w:rPr>
        <w:lastRenderedPageBreak/>
        <w:drawing>
          <wp:inline distT="0" distB="0" distL="0" distR="0" wp14:anchorId="5523533C" wp14:editId="153249BC">
            <wp:extent cx="5793702" cy="3598863"/>
            <wp:effectExtent l="0" t="0" r="0" b="0"/>
            <wp:docPr id="60" name="Picture 6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line chart&#10;&#10;Description automatically generated"/>
                    <pic:cNvPicPr/>
                  </pic:nvPicPr>
                  <pic:blipFill rotWithShape="1">
                    <a:blip r:embed="rId41" cstate="print">
                      <a:extLst>
                        <a:ext uri="{28A0092B-C50C-407E-A947-70E740481C1C}">
                          <a14:useLocalDpi xmlns:a14="http://schemas.microsoft.com/office/drawing/2010/main" val="0"/>
                        </a:ext>
                      </a:extLst>
                    </a:blip>
                    <a:srcRect l="1219" r="1295"/>
                    <a:stretch/>
                  </pic:blipFill>
                  <pic:spPr bwMode="auto">
                    <a:xfrm>
                      <a:off x="0" y="0"/>
                      <a:ext cx="5794212" cy="3599180"/>
                    </a:xfrm>
                    <a:prstGeom prst="rect">
                      <a:avLst/>
                    </a:prstGeom>
                    <a:ln>
                      <a:noFill/>
                    </a:ln>
                    <a:extLst>
                      <a:ext uri="{53640926-AAD7-44D8-BBD7-CCE9431645EC}">
                        <a14:shadowObscured xmlns:a14="http://schemas.microsoft.com/office/drawing/2010/main"/>
                      </a:ext>
                    </a:extLst>
                  </pic:spPr>
                </pic:pic>
              </a:graphicData>
            </a:graphic>
          </wp:inline>
        </w:drawing>
      </w:r>
    </w:p>
    <w:p w14:paraId="4CB7BBA9" w14:textId="6A736864" w:rsidR="00230659" w:rsidRPr="00230659" w:rsidRDefault="00512D42" w:rsidP="005975A3">
      <w:pPr>
        <w:pStyle w:val="NoSpacing"/>
        <w:rPr>
          <w:rFonts w:eastAsiaTheme="minorHAnsi"/>
        </w:rPr>
      </w:pPr>
      <w:bookmarkStart w:id="163" w:name="_Ref118888624"/>
      <w:bookmarkStart w:id="164" w:name="_Toc121470303"/>
      <w:r>
        <w:t xml:space="preserve">Figure </w:t>
      </w:r>
      <w:fldSimple w:instr=" SEQ Figure \* ARABIC ">
        <w:r w:rsidR="002F3906">
          <w:rPr>
            <w:noProof/>
          </w:rPr>
          <w:t>29</w:t>
        </w:r>
      </w:fldSimple>
      <w:bookmarkEnd w:id="163"/>
      <w:r>
        <w:t xml:space="preserve"> - Relationship between </w:t>
      </w:r>
      <w:r w:rsidR="005975A3">
        <w:t>amphoteric and bio</w:t>
      </w:r>
      <w:r>
        <w:rPr>
          <w:rFonts w:eastAsiaTheme="minorHAnsi"/>
        </w:rPr>
        <w:t>surfactant adsorption with quartz plus feldspars</w:t>
      </w:r>
      <w:r w:rsidR="005975A3">
        <w:rPr>
          <w:rFonts w:eastAsiaTheme="minorHAnsi"/>
        </w:rPr>
        <w:t xml:space="preserve"> in Bone Spring Sandstones</w:t>
      </w:r>
      <w:r w:rsidR="00B72D45">
        <w:rPr>
          <w:rFonts w:eastAsiaTheme="minorHAnsi"/>
        </w:rPr>
        <w:t>.</w:t>
      </w:r>
      <w:bookmarkEnd w:id="164"/>
    </w:p>
    <w:p w14:paraId="1170E9DD" w14:textId="77777777" w:rsidR="006E5A5D" w:rsidRDefault="006E5A5D" w:rsidP="006E5A5D">
      <w:pPr>
        <w:pStyle w:val="NoSpacing"/>
        <w:rPr>
          <w:rFonts w:eastAsiaTheme="minorHAnsi"/>
        </w:rPr>
      </w:pPr>
    </w:p>
    <w:p w14:paraId="66D1C391" w14:textId="474D5753" w:rsidR="006E5A5D" w:rsidRPr="006E5A5D" w:rsidRDefault="0053455A" w:rsidP="006E5A5D">
      <w:pPr>
        <w:pStyle w:val="Heading3"/>
        <w:numPr>
          <w:ilvl w:val="0"/>
          <w:numId w:val="0"/>
        </w:numPr>
        <w:rPr>
          <w:rFonts w:eastAsiaTheme="minorHAnsi"/>
        </w:rPr>
      </w:pPr>
      <w:bookmarkStart w:id="165" w:name="_Toc121470267"/>
      <w:r>
        <w:rPr>
          <w:rFonts w:eastAsiaTheme="minorHAnsi"/>
        </w:rPr>
        <w:t xml:space="preserve">4.5.2 Surfactant </w:t>
      </w:r>
      <w:r w:rsidR="00837F0F">
        <w:rPr>
          <w:rFonts w:eastAsiaTheme="minorHAnsi"/>
        </w:rPr>
        <w:t>A</w:t>
      </w:r>
      <w:r>
        <w:rPr>
          <w:rFonts w:eastAsiaTheme="minorHAnsi"/>
        </w:rPr>
        <w:t xml:space="preserve">dsorption </w:t>
      </w:r>
      <w:r w:rsidR="00837F0F">
        <w:rPr>
          <w:rFonts w:eastAsiaTheme="minorHAnsi"/>
        </w:rPr>
        <w:t>R</w:t>
      </w:r>
      <w:r>
        <w:rPr>
          <w:rFonts w:eastAsiaTheme="minorHAnsi"/>
        </w:rPr>
        <w:t xml:space="preserve">elationship with </w:t>
      </w:r>
      <w:r w:rsidR="00837F0F">
        <w:rPr>
          <w:rFonts w:eastAsiaTheme="minorHAnsi"/>
        </w:rPr>
        <w:t>C</w:t>
      </w:r>
      <w:r w:rsidR="00D63F66">
        <w:rPr>
          <w:rFonts w:eastAsiaTheme="minorHAnsi"/>
        </w:rPr>
        <w:t>lays</w:t>
      </w:r>
      <w:bookmarkEnd w:id="165"/>
      <w:r w:rsidR="00856BD8">
        <w:rPr>
          <w:rFonts w:eastAsiaTheme="minorHAnsi"/>
        </w:rPr>
        <w:t xml:space="preserve"> </w:t>
      </w:r>
    </w:p>
    <w:p w14:paraId="60466B75" w14:textId="710D360F" w:rsidR="00A9461F" w:rsidRDefault="00BA00AF" w:rsidP="00157D4F">
      <w:pPr>
        <w:rPr>
          <w:rFonts w:eastAsiaTheme="minorHAnsi"/>
        </w:rPr>
      </w:pPr>
      <w:r>
        <w:rPr>
          <w:rFonts w:eastAsiaTheme="minorHAnsi"/>
        </w:rPr>
        <w:fldChar w:fldCharType="begin"/>
      </w:r>
      <w:r>
        <w:rPr>
          <w:rFonts w:eastAsiaTheme="minorHAnsi"/>
        </w:rPr>
        <w:instrText xml:space="preserve"> REF _Ref119888192 \h </w:instrText>
      </w:r>
      <w:r>
        <w:rPr>
          <w:rFonts w:eastAsiaTheme="minorHAnsi"/>
        </w:rPr>
      </w:r>
      <w:r>
        <w:rPr>
          <w:rFonts w:eastAsiaTheme="minorHAnsi"/>
        </w:rPr>
        <w:fldChar w:fldCharType="separate"/>
      </w:r>
      <w:r w:rsidR="002F3906">
        <w:t xml:space="preserve">Figure </w:t>
      </w:r>
      <w:r w:rsidR="002F3906">
        <w:rPr>
          <w:noProof/>
        </w:rPr>
        <w:t>30</w:t>
      </w:r>
      <w:r>
        <w:rPr>
          <w:rFonts w:eastAsiaTheme="minorHAnsi"/>
        </w:rPr>
        <w:fldChar w:fldCharType="end"/>
      </w:r>
      <w:r w:rsidR="00157D4F">
        <w:rPr>
          <w:rFonts w:eastAsiaTheme="minorHAnsi"/>
        </w:rPr>
        <w:t xml:space="preserve"> presents the relationship between surfactant adsorption with total </w:t>
      </w:r>
      <w:r w:rsidR="00CD5810">
        <w:rPr>
          <w:rFonts w:eastAsiaTheme="minorHAnsi"/>
        </w:rPr>
        <w:t>clays</w:t>
      </w:r>
      <w:r w:rsidR="00DE0F71">
        <w:rPr>
          <w:rFonts w:eastAsiaTheme="minorHAnsi"/>
        </w:rPr>
        <w:t xml:space="preserve"> (</w:t>
      </w:r>
      <w:r w:rsidR="00DB4195">
        <w:rPr>
          <w:rFonts w:eastAsiaTheme="minorHAnsi"/>
        </w:rPr>
        <w:t>i</w:t>
      </w:r>
      <w:r w:rsidR="00DE0F71">
        <w:rPr>
          <w:rFonts w:eastAsiaTheme="minorHAnsi"/>
        </w:rPr>
        <w:t xml:space="preserve">llite plus mixed clays) </w:t>
      </w:r>
      <w:r w:rsidR="005D629C">
        <w:rPr>
          <w:rFonts w:eastAsiaTheme="minorHAnsi"/>
        </w:rPr>
        <w:t xml:space="preserve">for the three surfactants. </w:t>
      </w:r>
      <w:r w:rsidR="00203D99">
        <w:rPr>
          <w:rFonts w:eastAsiaTheme="minorHAnsi"/>
        </w:rPr>
        <w:t xml:space="preserve">A positive linear trend was </w:t>
      </w:r>
      <w:r w:rsidR="003B3C44">
        <w:rPr>
          <w:rFonts w:eastAsiaTheme="minorHAnsi"/>
        </w:rPr>
        <w:t>observed</w:t>
      </w:r>
      <w:r w:rsidR="00203D99">
        <w:rPr>
          <w:rFonts w:eastAsiaTheme="minorHAnsi"/>
        </w:rPr>
        <w:t xml:space="preserve"> with the surfactant adsorption and the mineral considered. This result shows that surfactant adsorption of amphoteric and biosurfactant depends on clay concentration in sandstone reservoirs at high TDS and temperature.</w:t>
      </w:r>
      <w:r w:rsidR="00B25CB0">
        <w:rPr>
          <w:rFonts w:eastAsiaTheme="minorHAnsi"/>
        </w:rPr>
        <w:t xml:space="preserve"> </w:t>
      </w:r>
    </w:p>
    <w:p w14:paraId="498E1FA3" w14:textId="408AE5E4" w:rsidR="00157D4F" w:rsidRDefault="00A9461F" w:rsidP="00A9461F">
      <w:pPr>
        <w:ind w:firstLine="720"/>
        <w:rPr>
          <w:rFonts w:eastAsiaTheme="minorHAnsi"/>
        </w:rPr>
      </w:pPr>
      <w:r>
        <w:rPr>
          <w:rFonts w:eastAsiaTheme="minorHAnsi"/>
        </w:rPr>
        <w:t>For amphoteric surfactant, this can</w:t>
      </w:r>
      <w:r w:rsidR="00B25CB0">
        <w:rPr>
          <w:rFonts w:eastAsiaTheme="minorHAnsi"/>
        </w:rPr>
        <w:t xml:space="preserve"> be explained as with increase in clay</w:t>
      </w:r>
      <w:r w:rsidR="00926EED">
        <w:rPr>
          <w:rFonts w:eastAsiaTheme="minorHAnsi"/>
        </w:rPr>
        <w:t xml:space="preserve"> percentage</w:t>
      </w:r>
      <w:r w:rsidR="00B25CB0">
        <w:rPr>
          <w:rFonts w:eastAsiaTheme="minorHAnsi"/>
        </w:rPr>
        <w:t xml:space="preserve">, negative charge on the rock surface increases. </w:t>
      </w:r>
      <w:r w:rsidR="00DC30CD">
        <w:rPr>
          <w:rFonts w:eastAsiaTheme="minorHAnsi"/>
        </w:rPr>
        <w:t xml:space="preserve">This validates our previous two </w:t>
      </w:r>
      <w:r w:rsidR="00DD774F">
        <w:rPr>
          <w:rFonts w:eastAsiaTheme="minorHAnsi"/>
        </w:rPr>
        <w:t>hypotheses</w:t>
      </w:r>
      <w:r w:rsidR="00DC30CD">
        <w:rPr>
          <w:rFonts w:eastAsiaTheme="minorHAnsi"/>
        </w:rPr>
        <w:t>: adsorption of amphoteric surfactant and precipitation of divalent cations on negative charge clay surfaces. This leads to an increase in surfactant absorption</w:t>
      </w:r>
      <w:r w:rsidR="00B67299">
        <w:rPr>
          <w:rFonts w:eastAsiaTheme="minorHAnsi"/>
        </w:rPr>
        <w:t>.</w:t>
      </w:r>
    </w:p>
    <w:p w14:paraId="3682F881" w14:textId="6FC769BD" w:rsidR="00A9461F" w:rsidRDefault="00442323" w:rsidP="001343AB">
      <w:pPr>
        <w:ind w:firstLine="720"/>
        <w:rPr>
          <w:rFonts w:eastAsiaTheme="minorHAnsi"/>
        </w:rPr>
      </w:pPr>
      <w:r>
        <w:rPr>
          <w:rFonts w:eastAsiaTheme="minorHAnsi"/>
        </w:rPr>
        <w:lastRenderedPageBreak/>
        <w:t xml:space="preserve">For biosurfactants, increase in clays </w:t>
      </w:r>
      <w:r w:rsidR="00DD774F">
        <w:rPr>
          <w:rFonts w:eastAsiaTheme="minorHAnsi"/>
        </w:rPr>
        <w:t>doesn’t</w:t>
      </w:r>
      <w:r>
        <w:rPr>
          <w:rFonts w:eastAsiaTheme="minorHAnsi"/>
        </w:rPr>
        <w:t xml:space="preserve"> show increase in surfactant adsorptio</w:t>
      </w:r>
      <w:r w:rsidR="00A42004">
        <w:rPr>
          <w:rFonts w:eastAsiaTheme="minorHAnsi"/>
        </w:rPr>
        <w:t xml:space="preserve">n. </w:t>
      </w:r>
      <w:r w:rsidR="001343AB">
        <w:rPr>
          <w:rFonts w:eastAsiaTheme="minorHAnsi"/>
        </w:rPr>
        <w:t xml:space="preserve">It increases from 5 to 7 mg/gm-rock with </w:t>
      </w:r>
      <w:r w:rsidR="00DD774F">
        <w:rPr>
          <w:rFonts w:eastAsiaTheme="minorHAnsi"/>
        </w:rPr>
        <w:t>increase in clays</w:t>
      </w:r>
      <w:r w:rsidR="001343AB">
        <w:rPr>
          <w:rFonts w:eastAsiaTheme="minorHAnsi"/>
        </w:rPr>
        <w:t xml:space="preserve"> from 20 to 50 wt.%. </w:t>
      </w:r>
      <w:r w:rsidR="005921BD">
        <w:rPr>
          <w:rFonts w:eastAsiaTheme="minorHAnsi"/>
        </w:rPr>
        <w:t>This shows</w:t>
      </w:r>
      <w:r>
        <w:rPr>
          <w:rFonts w:eastAsiaTheme="minorHAnsi"/>
        </w:rPr>
        <w:t xml:space="preserve"> biosurfactant (glycolipids) can be used in reservoirs with higher TDS and temperature. </w:t>
      </w:r>
    </w:p>
    <w:p w14:paraId="078C493C" w14:textId="77777777" w:rsidR="006E0169" w:rsidRPr="00157D4F" w:rsidRDefault="006E0169" w:rsidP="009F5063">
      <w:pPr>
        <w:spacing w:line="240" w:lineRule="auto"/>
        <w:rPr>
          <w:rFonts w:eastAsiaTheme="minorHAnsi"/>
        </w:rPr>
      </w:pPr>
    </w:p>
    <w:p w14:paraId="23691044" w14:textId="135EDB47" w:rsidR="00546151" w:rsidRDefault="007A4AC0" w:rsidP="007A4AC0">
      <w:pPr>
        <w:keepNext/>
        <w:jc w:val="center"/>
      </w:pPr>
      <w:r>
        <w:rPr>
          <w:noProof/>
        </w:rPr>
        <w:drawing>
          <wp:inline distT="0" distB="0" distL="0" distR="0" wp14:anchorId="390EE97E" wp14:editId="7460CCA3">
            <wp:extent cx="5767058" cy="3607269"/>
            <wp:effectExtent l="0" t="0" r="0" b="0"/>
            <wp:docPr id="61" name="Picture 61"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hart, line chart, scatter chart&#10;&#10;Description automatically generated"/>
                    <pic:cNvPicPr/>
                  </pic:nvPicPr>
                  <pic:blipFill rotWithShape="1">
                    <a:blip r:embed="rId42" cstate="print">
                      <a:extLst>
                        <a:ext uri="{28A0092B-C50C-407E-A947-70E740481C1C}">
                          <a14:useLocalDpi xmlns:a14="http://schemas.microsoft.com/office/drawing/2010/main" val="0"/>
                        </a:ext>
                      </a:extLst>
                    </a:blip>
                    <a:srcRect l="1523" r="1443"/>
                    <a:stretch/>
                  </pic:blipFill>
                  <pic:spPr bwMode="auto">
                    <a:xfrm>
                      <a:off x="0" y="0"/>
                      <a:ext cx="5767324" cy="3607435"/>
                    </a:xfrm>
                    <a:prstGeom prst="rect">
                      <a:avLst/>
                    </a:prstGeom>
                    <a:ln>
                      <a:noFill/>
                    </a:ln>
                    <a:extLst>
                      <a:ext uri="{53640926-AAD7-44D8-BBD7-CCE9431645EC}">
                        <a14:shadowObscured xmlns:a14="http://schemas.microsoft.com/office/drawing/2010/main"/>
                      </a:ext>
                    </a:extLst>
                  </pic:spPr>
                </pic:pic>
              </a:graphicData>
            </a:graphic>
          </wp:inline>
        </w:drawing>
      </w:r>
    </w:p>
    <w:p w14:paraId="1B198AF6" w14:textId="318CB41F" w:rsidR="007F1C49" w:rsidRDefault="00546151" w:rsidP="00546151">
      <w:pPr>
        <w:pStyle w:val="NoSpacing"/>
        <w:rPr>
          <w:rFonts w:eastAsiaTheme="minorHAnsi"/>
        </w:rPr>
      </w:pPr>
      <w:bookmarkStart w:id="166" w:name="_Ref119888192"/>
      <w:bookmarkStart w:id="167" w:name="_Toc121470304"/>
      <w:r>
        <w:t xml:space="preserve">Figure </w:t>
      </w:r>
      <w:fldSimple w:instr=" SEQ Figure \* ARABIC ">
        <w:r w:rsidR="002F3906">
          <w:rPr>
            <w:noProof/>
          </w:rPr>
          <w:t>30</w:t>
        </w:r>
      </w:fldSimple>
      <w:bookmarkEnd w:id="166"/>
      <w:r>
        <w:t xml:space="preserve"> - Relationship between amphoteric and bio</w:t>
      </w:r>
      <w:r>
        <w:rPr>
          <w:rFonts w:eastAsiaTheme="minorHAnsi"/>
        </w:rPr>
        <w:t>surfactant adsorption with total clays</w:t>
      </w:r>
      <w:r w:rsidR="00390234">
        <w:rPr>
          <w:rFonts w:eastAsiaTheme="minorHAnsi"/>
        </w:rPr>
        <w:t xml:space="preserve"> (illite plus mixed clays)</w:t>
      </w:r>
      <w:r>
        <w:rPr>
          <w:rFonts w:eastAsiaTheme="minorHAnsi"/>
        </w:rPr>
        <w:t xml:space="preserve"> in Bone Spring sandstones.</w:t>
      </w:r>
      <w:bookmarkEnd w:id="167"/>
    </w:p>
    <w:p w14:paraId="0305F992" w14:textId="77777777" w:rsidR="00546151" w:rsidRPr="007F1C49" w:rsidRDefault="00546151" w:rsidP="00546151">
      <w:pPr>
        <w:pStyle w:val="NoSpacing"/>
        <w:rPr>
          <w:rFonts w:eastAsiaTheme="minorHAnsi"/>
        </w:rPr>
      </w:pPr>
    </w:p>
    <w:p w14:paraId="73CD0F45" w14:textId="2D662B84" w:rsidR="006E5A5D" w:rsidRPr="006E5A5D" w:rsidRDefault="0053455A" w:rsidP="006E5A5D">
      <w:pPr>
        <w:pStyle w:val="Heading3"/>
        <w:rPr>
          <w:rFonts w:eastAsiaTheme="minorHAnsi"/>
        </w:rPr>
      </w:pPr>
      <w:bookmarkStart w:id="168" w:name="_Toc121470268"/>
      <w:r>
        <w:rPr>
          <w:rFonts w:eastAsiaTheme="minorHAnsi"/>
        </w:rPr>
        <w:t xml:space="preserve">4.5.3 Surfactant </w:t>
      </w:r>
      <w:r w:rsidR="00837F0F">
        <w:rPr>
          <w:rFonts w:eastAsiaTheme="minorHAnsi"/>
        </w:rPr>
        <w:t>A</w:t>
      </w:r>
      <w:r>
        <w:rPr>
          <w:rFonts w:eastAsiaTheme="minorHAnsi"/>
        </w:rPr>
        <w:t xml:space="preserve">dsorption </w:t>
      </w:r>
      <w:r w:rsidR="00837F0F">
        <w:rPr>
          <w:rFonts w:eastAsiaTheme="minorHAnsi"/>
        </w:rPr>
        <w:t>R</w:t>
      </w:r>
      <w:r>
        <w:rPr>
          <w:rFonts w:eastAsiaTheme="minorHAnsi"/>
        </w:rPr>
        <w:t xml:space="preserve">elationship with </w:t>
      </w:r>
      <w:r w:rsidR="00837F0F">
        <w:rPr>
          <w:rFonts w:eastAsiaTheme="minorHAnsi"/>
        </w:rPr>
        <w:t>C</w:t>
      </w:r>
      <w:r w:rsidR="00D63F66">
        <w:rPr>
          <w:rFonts w:eastAsiaTheme="minorHAnsi"/>
        </w:rPr>
        <w:t>arbonates</w:t>
      </w:r>
      <w:bookmarkEnd w:id="168"/>
    </w:p>
    <w:p w14:paraId="0EEA683F" w14:textId="50D91EEB" w:rsidR="00512D42" w:rsidRDefault="006A64C1" w:rsidP="00512D42">
      <w:pPr>
        <w:rPr>
          <w:rFonts w:eastAsiaTheme="minorHAnsi"/>
        </w:rPr>
      </w:pPr>
      <w:r>
        <w:rPr>
          <w:rFonts w:eastAsiaTheme="minorHAnsi"/>
        </w:rPr>
        <w:fldChar w:fldCharType="begin"/>
      </w:r>
      <w:r>
        <w:rPr>
          <w:rFonts w:eastAsiaTheme="minorHAnsi"/>
        </w:rPr>
        <w:instrText xml:space="preserve"> REF _Ref119888273 \h </w:instrText>
      </w:r>
      <w:r>
        <w:rPr>
          <w:rFonts w:eastAsiaTheme="minorHAnsi"/>
        </w:rPr>
      </w:r>
      <w:r>
        <w:rPr>
          <w:rFonts w:eastAsiaTheme="minorHAnsi"/>
        </w:rPr>
        <w:fldChar w:fldCharType="separate"/>
      </w:r>
      <w:r w:rsidR="002F3906">
        <w:t xml:space="preserve">Figure </w:t>
      </w:r>
      <w:r w:rsidR="002F3906">
        <w:rPr>
          <w:noProof/>
        </w:rPr>
        <w:t>31</w:t>
      </w:r>
      <w:r>
        <w:rPr>
          <w:rFonts w:eastAsiaTheme="minorHAnsi"/>
        </w:rPr>
        <w:fldChar w:fldCharType="end"/>
      </w:r>
      <w:r>
        <w:rPr>
          <w:rFonts w:eastAsiaTheme="minorHAnsi"/>
        </w:rPr>
        <w:t xml:space="preserve"> </w:t>
      </w:r>
      <w:r w:rsidR="00546151">
        <w:rPr>
          <w:rFonts w:eastAsiaTheme="minorHAnsi"/>
        </w:rPr>
        <w:t>presents the relationship between surfactant adsorption with total carbonates</w:t>
      </w:r>
      <w:r w:rsidR="00DB4195">
        <w:rPr>
          <w:rFonts w:eastAsiaTheme="minorHAnsi"/>
        </w:rPr>
        <w:t xml:space="preserve"> (dolomite</w:t>
      </w:r>
      <w:r w:rsidR="000B4016">
        <w:rPr>
          <w:rFonts w:eastAsiaTheme="minorHAnsi"/>
        </w:rPr>
        <w:t xml:space="preserve"> and </w:t>
      </w:r>
      <w:r w:rsidR="00390234">
        <w:rPr>
          <w:rFonts w:eastAsiaTheme="minorHAnsi"/>
        </w:rPr>
        <w:t>calcite</w:t>
      </w:r>
      <w:r w:rsidR="00DB4195">
        <w:rPr>
          <w:rFonts w:eastAsiaTheme="minorHAnsi"/>
        </w:rPr>
        <w:t>)</w:t>
      </w:r>
      <w:r w:rsidR="00546151">
        <w:rPr>
          <w:rFonts w:eastAsiaTheme="minorHAnsi"/>
        </w:rPr>
        <w:t xml:space="preserve"> </w:t>
      </w:r>
      <w:r w:rsidR="005D629C">
        <w:rPr>
          <w:rFonts w:eastAsiaTheme="minorHAnsi"/>
        </w:rPr>
        <w:t>for the three surfactants</w:t>
      </w:r>
      <w:r w:rsidR="00546151">
        <w:rPr>
          <w:rFonts w:eastAsiaTheme="minorHAnsi"/>
        </w:rPr>
        <w:t>.</w:t>
      </w:r>
      <w:r w:rsidR="00C57EB8">
        <w:rPr>
          <w:rFonts w:eastAsiaTheme="minorHAnsi"/>
        </w:rPr>
        <w:t xml:space="preserve"> </w:t>
      </w:r>
      <w:r w:rsidR="00DD774F">
        <w:rPr>
          <w:rFonts w:eastAsiaTheme="minorHAnsi"/>
        </w:rPr>
        <w:t>No observable trend was</w:t>
      </w:r>
      <w:r w:rsidR="00512D42">
        <w:rPr>
          <w:rFonts w:eastAsiaTheme="minorHAnsi"/>
        </w:rPr>
        <w:t xml:space="preserve"> </w:t>
      </w:r>
      <w:r w:rsidR="00546151">
        <w:rPr>
          <w:rFonts w:eastAsiaTheme="minorHAnsi"/>
        </w:rPr>
        <w:t xml:space="preserve">noticed with the surfactant adsorption and the minerals considered. This result shows that surfactant adsorption </w:t>
      </w:r>
      <w:r w:rsidR="00ED13D3">
        <w:rPr>
          <w:rFonts w:eastAsiaTheme="minorHAnsi"/>
        </w:rPr>
        <w:t xml:space="preserve">of amphoteric and biosurfactant does not depends on carbonate concentration </w:t>
      </w:r>
      <w:r w:rsidR="000E5A9C">
        <w:rPr>
          <w:rFonts w:eastAsiaTheme="minorHAnsi"/>
        </w:rPr>
        <w:t xml:space="preserve">in sandstone </w:t>
      </w:r>
      <w:r w:rsidR="008C7C8C">
        <w:rPr>
          <w:rFonts w:eastAsiaTheme="minorHAnsi"/>
        </w:rPr>
        <w:t>reservoirs</w:t>
      </w:r>
      <w:r w:rsidR="000E5A9C">
        <w:rPr>
          <w:rFonts w:eastAsiaTheme="minorHAnsi"/>
        </w:rPr>
        <w:t xml:space="preserve"> </w:t>
      </w:r>
      <w:r w:rsidR="00ED13D3">
        <w:rPr>
          <w:rFonts w:eastAsiaTheme="minorHAnsi"/>
        </w:rPr>
        <w:t xml:space="preserve">at high TDS and temperature. </w:t>
      </w:r>
    </w:p>
    <w:p w14:paraId="645A2085" w14:textId="634B6720" w:rsidR="00546151" w:rsidRDefault="007A4AC0" w:rsidP="007A4AC0">
      <w:pPr>
        <w:keepNext/>
        <w:jc w:val="center"/>
      </w:pPr>
      <w:r>
        <w:rPr>
          <w:noProof/>
        </w:rPr>
        <w:lastRenderedPageBreak/>
        <w:drawing>
          <wp:inline distT="0" distB="0" distL="0" distR="0" wp14:anchorId="5EC014F5" wp14:editId="7165684E">
            <wp:extent cx="5793105" cy="3493051"/>
            <wp:effectExtent l="0" t="0" r="0" b="0"/>
            <wp:docPr id="62" name="Picture 62"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Calendar&#10;&#10;Description automatically generated"/>
                    <pic:cNvPicPr/>
                  </pic:nvPicPr>
                  <pic:blipFill rotWithShape="1">
                    <a:blip r:embed="rId43" cstate="print">
                      <a:extLst>
                        <a:ext uri="{28A0092B-C50C-407E-A947-70E740481C1C}">
                          <a14:useLocalDpi xmlns:a14="http://schemas.microsoft.com/office/drawing/2010/main" val="0"/>
                        </a:ext>
                      </a:extLst>
                    </a:blip>
                    <a:srcRect l="1219" t="2031" r="1295"/>
                    <a:stretch/>
                  </pic:blipFill>
                  <pic:spPr bwMode="auto">
                    <a:xfrm>
                      <a:off x="0" y="0"/>
                      <a:ext cx="5794212" cy="3493718"/>
                    </a:xfrm>
                    <a:prstGeom prst="rect">
                      <a:avLst/>
                    </a:prstGeom>
                    <a:ln>
                      <a:noFill/>
                    </a:ln>
                    <a:extLst>
                      <a:ext uri="{53640926-AAD7-44D8-BBD7-CCE9431645EC}">
                        <a14:shadowObscured xmlns:a14="http://schemas.microsoft.com/office/drawing/2010/main"/>
                      </a:ext>
                    </a:extLst>
                  </pic:spPr>
                </pic:pic>
              </a:graphicData>
            </a:graphic>
          </wp:inline>
        </w:drawing>
      </w:r>
    </w:p>
    <w:p w14:paraId="0C9B521A" w14:textId="5B8D3AC0" w:rsidR="005975A3" w:rsidRPr="00512D42" w:rsidRDefault="00546151" w:rsidP="00546151">
      <w:pPr>
        <w:pStyle w:val="NoSpacing"/>
        <w:rPr>
          <w:rFonts w:eastAsiaTheme="minorHAnsi"/>
        </w:rPr>
      </w:pPr>
      <w:bookmarkStart w:id="169" w:name="_Ref119888273"/>
      <w:bookmarkStart w:id="170" w:name="_Toc121470305"/>
      <w:r>
        <w:t xml:space="preserve">Figure </w:t>
      </w:r>
      <w:fldSimple w:instr=" SEQ Figure \* ARABIC ">
        <w:r w:rsidR="002F3906">
          <w:rPr>
            <w:noProof/>
          </w:rPr>
          <w:t>31</w:t>
        </w:r>
      </w:fldSimple>
      <w:bookmarkEnd w:id="169"/>
      <w:r>
        <w:t xml:space="preserve"> - Relationship between amphoteric and bio</w:t>
      </w:r>
      <w:r>
        <w:rPr>
          <w:rFonts w:eastAsiaTheme="minorHAnsi"/>
        </w:rPr>
        <w:t>surfactant adsorption with total carbonates</w:t>
      </w:r>
      <w:r w:rsidR="00AD40CE">
        <w:rPr>
          <w:rFonts w:eastAsiaTheme="minorHAnsi"/>
        </w:rPr>
        <w:t xml:space="preserve"> (dolomite plus calcite)</w:t>
      </w:r>
      <w:r>
        <w:rPr>
          <w:rFonts w:eastAsiaTheme="minorHAnsi"/>
        </w:rPr>
        <w:t xml:space="preserve"> in Bone Spring sandstones.</w:t>
      </w:r>
      <w:bookmarkEnd w:id="170"/>
    </w:p>
    <w:p w14:paraId="603B52BE" w14:textId="77777777" w:rsidR="002206A4" w:rsidRDefault="002206A4" w:rsidP="002206A4">
      <w:pPr>
        <w:spacing w:line="240" w:lineRule="auto"/>
        <w:jc w:val="left"/>
        <w:rPr>
          <w:rFonts w:eastAsiaTheme="minorHAnsi"/>
        </w:rPr>
      </w:pPr>
    </w:p>
    <w:p w14:paraId="25404787" w14:textId="6B486A39" w:rsidR="002206A4" w:rsidRPr="002206A4" w:rsidRDefault="0072442C" w:rsidP="002206A4">
      <w:pPr>
        <w:pStyle w:val="Heading2"/>
      </w:pPr>
      <w:bookmarkStart w:id="171" w:name="_Toc121470269"/>
      <w:r>
        <w:t>4.</w:t>
      </w:r>
      <w:r w:rsidR="00B71A7D">
        <w:t>6</w:t>
      </w:r>
      <w:r>
        <w:t xml:space="preserve"> Imbibition Experiments using Produced Brine and Surfactants</w:t>
      </w:r>
      <w:bookmarkEnd w:id="171"/>
    </w:p>
    <w:p w14:paraId="486A11E4" w14:textId="2C03735F" w:rsidR="005F569C" w:rsidRDefault="005F569C" w:rsidP="005F569C">
      <w:pPr>
        <w:rPr>
          <w:rFonts w:eastAsiaTheme="minorHAnsi"/>
        </w:rPr>
      </w:pPr>
      <w:r>
        <w:t xml:space="preserve">As of now, we have seen that all three surfactant solutions reduce IFT and alter wettability. These changes modify the capillary pressure and generally increase the oil recovery. In this section, we quantity the oil recovery experimentally by repeatedly using same three sandstone samples with </w:t>
      </w:r>
      <w:r w:rsidR="002B632B">
        <w:t xml:space="preserve">produced </w:t>
      </w:r>
      <w:r>
        <w:t xml:space="preserve">brine and three surfactants at 500 psi and 145 </w:t>
      </w:r>
      <w:r w:rsidRPr="00782AFF">
        <w:rPr>
          <w:vertAlign w:val="superscript"/>
        </w:rPr>
        <w:t>o</w:t>
      </w:r>
      <w:r>
        <w:t xml:space="preserve">F. Initial baseline was established by calculating recovery using </w:t>
      </w:r>
      <w:r w:rsidR="002B632B">
        <w:t xml:space="preserve">produced </w:t>
      </w:r>
      <w:r>
        <w:t xml:space="preserve">brine. After each surfactant imbibition, samples were cleaned, and recovery measurements were repeated using </w:t>
      </w:r>
      <w:r w:rsidR="005E6479">
        <w:t xml:space="preserve">produced </w:t>
      </w:r>
      <w:r>
        <w:t xml:space="preserve">brine </w:t>
      </w:r>
      <w:r>
        <w:rPr>
          <w:rFonts w:eastAsiaTheme="minorHAnsi"/>
        </w:rPr>
        <w:t xml:space="preserve">to ensure no alteration inside the </w:t>
      </w:r>
      <w:r w:rsidR="003951EE">
        <w:rPr>
          <w:rFonts w:eastAsiaTheme="minorHAnsi"/>
        </w:rPr>
        <w:t xml:space="preserve">plug </w:t>
      </w:r>
      <w:r>
        <w:rPr>
          <w:rFonts w:eastAsiaTheme="minorHAnsi"/>
        </w:rPr>
        <w:t>from surfactant imbibition</w:t>
      </w:r>
      <w:r w:rsidR="002E7CDC">
        <w:rPr>
          <w:rFonts w:eastAsiaTheme="minorHAnsi"/>
        </w:rPr>
        <w:t>,</w:t>
      </w:r>
      <w:r w:rsidR="004E4781">
        <w:rPr>
          <w:rFonts w:eastAsiaTheme="minorHAnsi"/>
        </w:rPr>
        <w:t xml:space="preserve"> as shown in </w:t>
      </w:r>
      <w:r w:rsidR="004E4781">
        <w:rPr>
          <w:rFonts w:eastAsiaTheme="minorHAnsi"/>
        </w:rPr>
        <w:fldChar w:fldCharType="begin"/>
      </w:r>
      <w:r w:rsidR="004E4781">
        <w:rPr>
          <w:rFonts w:eastAsiaTheme="minorHAnsi"/>
        </w:rPr>
        <w:instrText xml:space="preserve"> REF _Ref118569285 \h </w:instrText>
      </w:r>
      <w:r w:rsidR="004E4781">
        <w:rPr>
          <w:rFonts w:eastAsiaTheme="minorHAnsi"/>
        </w:rPr>
      </w:r>
      <w:r w:rsidR="004E4781">
        <w:rPr>
          <w:rFonts w:eastAsiaTheme="minorHAnsi"/>
        </w:rPr>
        <w:fldChar w:fldCharType="separate"/>
      </w:r>
      <w:r w:rsidR="002F3906" w:rsidRPr="00DF2BBA">
        <w:rPr>
          <w:bCs/>
        </w:rPr>
        <w:t xml:space="preserve">Figure </w:t>
      </w:r>
      <w:r w:rsidR="002F3906">
        <w:rPr>
          <w:bCs/>
          <w:noProof/>
        </w:rPr>
        <w:t>7</w:t>
      </w:r>
      <w:r w:rsidR="004E4781">
        <w:rPr>
          <w:rFonts w:eastAsiaTheme="minorHAnsi"/>
        </w:rPr>
        <w:fldChar w:fldCharType="end"/>
      </w:r>
      <w:r w:rsidR="004E4781">
        <w:rPr>
          <w:rFonts w:eastAsiaTheme="minorHAnsi"/>
        </w:rPr>
        <w:t>.</w:t>
      </w:r>
    </w:p>
    <w:p w14:paraId="7A77AC48" w14:textId="5EC3AEB9" w:rsidR="00D4562A" w:rsidRDefault="005E6479" w:rsidP="004C080E">
      <w:pPr>
        <w:rPr>
          <w:rFonts w:eastAsiaTheme="minorHAnsi"/>
        </w:rPr>
      </w:pPr>
      <w:r>
        <w:rPr>
          <w:rFonts w:eastAsiaTheme="minorHAnsi"/>
        </w:rPr>
        <w:tab/>
      </w:r>
      <w:r w:rsidR="006F50CE">
        <w:rPr>
          <w:rFonts w:eastAsiaTheme="minorHAnsi"/>
        </w:rPr>
        <w:fldChar w:fldCharType="begin"/>
      </w:r>
      <w:r w:rsidR="006F50CE">
        <w:rPr>
          <w:rFonts w:eastAsiaTheme="minorHAnsi"/>
        </w:rPr>
        <w:instrText xml:space="preserve"> REF _Ref118853550 \h </w:instrText>
      </w:r>
      <w:r w:rsidR="006F50CE">
        <w:rPr>
          <w:rFonts w:eastAsiaTheme="minorHAnsi"/>
        </w:rPr>
      </w:r>
      <w:r w:rsidR="006F50CE">
        <w:rPr>
          <w:rFonts w:eastAsiaTheme="minorHAnsi"/>
        </w:rPr>
        <w:fldChar w:fldCharType="separate"/>
      </w:r>
      <w:r w:rsidR="002F3906">
        <w:t xml:space="preserve">Figure </w:t>
      </w:r>
      <w:r w:rsidR="002F3906">
        <w:rPr>
          <w:noProof/>
        </w:rPr>
        <w:t>32</w:t>
      </w:r>
      <w:r w:rsidR="006F50CE">
        <w:rPr>
          <w:rFonts w:eastAsiaTheme="minorHAnsi"/>
        </w:rPr>
        <w:fldChar w:fldCharType="end"/>
      </w:r>
      <w:r w:rsidR="006F50CE">
        <w:rPr>
          <w:rFonts w:eastAsiaTheme="minorHAnsi"/>
        </w:rPr>
        <w:t xml:space="preserve"> </w:t>
      </w:r>
      <w:r w:rsidR="005558A6">
        <w:rPr>
          <w:rFonts w:eastAsiaTheme="minorHAnsi"/>
        </w:rPr>
        <w:t xml:space="preserve">shows the oil recovery measured experimentally for three samples, while </w:t>
      </w:r>
      <w:r w:rsidR="006F50CE">
        <w:rPr>
          <w:rFonts w:eastAsiaTheme="minorHAnsi"/>
        </w:rPr>
        <w:fldChar w:fldCharType="begin"/>
      </w:r>
      <w:r w:rsidR="006F50CE">
        <w:rPr>
          <w:rFonts w:eastAsiaTheme="minorHAnsi"/>
        </w:rPr>
        <w:instrText xml:space="preserve"> REF _Ref118853705 \h </w:instrText>
      </w:r>
      <w:r w:rsidR="006F50CE">
        <w:rPr>
          <w:rFonts w:eastAsiaTheme="minorHAnsi"/>
        </w:rPr>
      </w:r>
      <w:r w:rsidR="006F50CE">
        <w:rPr>
          <w:rFonts w:eastAsiaTheme="minorHAnsi"/>
        </w:rPr>
        <w:fldChar w:fldCharType="separate"/>
      </w:r>
      <w:r w:rsidR="002F3906">
        <w:t xml:space="preserve">Figure </w:t>
      </w:r>
      <w:r w:rsidR="002F3906">
        <w:rPr>
          <w:noProof/>
        </w:rPr>
        <w:t>33</w:t>
      </w:r>
      <w:r w:rsidR="006F50CE">
        <w:rPr>
          <w:rFonts w:eastAsiaTheme="minorHAnsi"/>
        </w:rPr>
        <w:fldChar w:fldCharType="end"/>
      </w:r>
      <w:r w:rsidR="005558A6">
        <w:rPr>
          <w:rFonts w:eastAsiaTheme="minorHAnsi"/>
        </w:rPr>
        <w:t xml:space="preserve"> shows average of the oil recovery for </w:t>
      </w:r>
      <w:r w:rsidR="00446A23">
        <w:rPr>
          <w:rFonts w:eastAsiaTheme="minorHAnsi"/>
        </w:rPr>
        <w:t xml:space="preserve">produced </w:t>
      </w:r>
      <w:r w:rsidR="005558A6">
        <w:rPr>
          <w:rFonts w:eastAsiaTheme="minorHAnsi"/>
        </w:rPr>
        <w:t>brine and three surfactants. Results from imbibition of brine and surfactants showed that</w:t>
      </w:r>
      <w:r w:rsidR="00446A23">
        <w:rPr>
          <w:rFonts w:eastAsiaTheme="minorHAnsi"/>
        </w:rPr>
        <w:t xml:space="preserve"> produced</w:t>
      </w:r>
      <w:r w:rsidR="005558A6">
        <w:rPr>
          <w:rFonts w:eastAsiaTheme="minorHAnsi"/>
        </w:rPr>
        <w:t xml:space="preserve"> brine </w:t>
      </w:r>
      <w:r w:rsidR="00853C0F">
        <w:rPr>
          <w:rFonts w:eastAsiaTheme="minorHAnsi"/>
        </w:rPr>
        <w:t xml:space="preserve">have 54% recovery of OOIP while </w:t>
      </w:r>
      <w:r w:rsidR="00853C0F">
        <w:rPr>
          <w:rFonts w:eastAsiaTheme="minorHAnsi"/>
        </w:rPr>
        <w:lastRenderedPageBreak/>
        <w:t>amphoteric surfactants have 45% and 41% recovery</w:t>
      </w:r>
      <w:r w:rsidR="00DD774F">
        <w:rPr>
          <w:rFonts w:eastAsiaTheme="minorHAnsi"/>
        </w:rPr>
        <w:t>,</w:t>
      </w:r>
      <w:r w:rsidR="00853C0F">
        <w:rPr>
          <w:rFonts w:eastAsiaTheme="minorHAnsi"/>
        </w:rPr>
        <w:t xml:space="preserve"> which is lower than that of produced brine. B</w:t>
      </w:r>
      <w:r w:rsidR="005558A6">
        <w:rPr>
          <w:rFonts w:eastAsiaTheme="minorHAnsi"/>
        </w:rPr>
        <w:t>iosurfactant have the highest oil recovery</w:t>
      </w:r>
      <w:r w:rsidR="00853C0F">
        <w:rPr>
          <w:rFonts w:eastAsiaTheme="minorHAnsi"/>
        </w:rPr>
        <w:t xml:space="preserve"> with 60% </w:t>
      </w:r>
      <w:r w:rsidR="003A27CE">
        <w:rPr>
          <w:rFonts w:eastAsiaTheme="minorHAnsi"/>
        </w:rPr>
        <w:t>of OOIP.</w:t>
      </w:r>
    </w:p>
    <w:p w14:paraId="4260E110" w14:textId="71DE1DEB" w:rsidR="00B51D09" w:rsidRDefault="00853C0F" w:rsidP="00B51D09">
      <w:pPr>
        <w:ind w:firstLine="720"/>
        <w:rPr>
          <w:rFonts w:eastAsiaTheme="minorHAnsi"/>
        </w:rPr>
      </w:pPr>
      <w:r>
        <w:rPr>
          <w:rFonts w:eastAsiaTheme="minorHAnsi"/>
        </w:rPr>
        <w:t xml:space="preserve">Here results indicate that </w:t>
      </w:r>
      <w:r w:rsidRPr="005C1E8E">
        <w:rPr>
          <w:rFonts w:eastAsiaTheme="minorHAnsi"/>
        </w:rPr>
        <w:t xml:space="preserve">rock/fluid interaction between </w:t>
      </w:r>
      <w:r w:rsidR="000D2081" w:rsidRPr="005C1E8E">
        <w:rPr>
          <w:rFonts w:eastAsiaTheme="minorHAnsi"/>
        </w:rPr>
        <w:t>sandstone</w:t>
      </w:r>
      <w:r w:rsidR="000D2081">
        <w:rPr>
          <w:rFonts w:eastAsiaTheme="minorHAnsi"/>
        </w:rPr>
        <w:t xml:space="preserve"> surfaces and biosurfactant </w:t>
      </w:r>
      <w:r w:rsidR="00D4562A">
        <w:rPr>
          <w:rFonts w:eastAsiaTheme="minorHAnsi"/>
        </w:rPr>
        <w:t xml:space="preserve">showed maximum alteration </w:t>
      </w:r>
      <w:r w:rsidR="00FD3CED">
        <w:rPr>
          <w:rFonts w:eastAsiaTheme="minorHAnsi"/>
        </w:rPr>
        <w:t xml:space="preserve">in </w:t>
      </w:r>
      <w:r>
        <w:rPr>
          <w:rFonts w:eastAsiaTheme="minorHAnsi"/>
        </w:rPr>
        <w:t>wettability</w:t>
      </w:r>
      <w:r w:rsidR="009A787A">
        <w:rPr>
          <w:rFonts w:eastAsiaTheme="minorHAnsi"/>
        </w:rPr>
        <w:t xml:space="preserve"> and made the rock surface most water wet compared to </w:t>
      </w:r>
      <w:r w:rsidR="00D4562A">
        <w:rPr>
          <w:rFonts w:eastAsiaTheme="minorHAnsi"/>
        </w:rPr>
        <w:t xml:space="preserve">produced brine and </w:t>
      </w:r>
      <w:r w:rsidR="009A787A">
        <w:rPr>
          <w:rFonts w:eastAsiaTheme="minorHAnsi"/>
        </w:rPr>
        <w:t>amphoteric surfactants. Also, biosurfactant have the lowest IFT</w:t>
      </w:r>
      <w:r w:rsidR="00DD774F">
        <w:rPr>
          <w:rFonts w:eastAsiaTheme="minorHAnsi"/>
        </w:rPr>
        <w:t>,</w:t>
      </w:r>
      <w:r w:rsidR="00401796">
        <w:rPr>
          <w:rFonts w:eastAsiaTheme="minorHAnsi"/>
        </w:rPr>
        <w:t xml:space="preserve"> with 96% reduction compared to produced brine</w:t>
      </w:r>
      <w:r w:rsidR="009A787A">
        <w:rPr>
          <w:rFonts w:eastAsiaTheme="minorHAnsi"/>
        </w:rPr>
        <w:t xml:space="preserve">. Wettability alteration and IFT reduction contributed to </w:t>
      </w:r>
      <w:r w:rsidR="00104AC4">
        <w:rPr>
          <w:rFonts w:eastAsiaTheme="minorHAnsi"/>
        </w:rPr>
        <w:t xml:space="preserve">the </w:t>
      </w:r>
      <w:r w:rsidR="009A787A">
        <w:rPr>
          <w:rFonts w:eastAsiaTheme="minorHAnsi"/>
        </w:rPr>
        <w:t xml:space="preserve">highest oil recovery using </w:t>
      </w:r>
      <w:r w:rsidR="00892326">
        <w:rPr>
          <w:rFonts w:eastAsiaTheme="minorHAnsi"/>
        </w:rPr>
        <w:t>biosurfactant</w:t>
      </w:r>
      <w:r w:rsidR="009A787A">
        <w:rPr>
          <w:rFonts w:eastAsiaTheme="minorHAnsi"/>
        </w:rPr>
        <w:t xml:space="preserve"> at high TDS and temperature.</w:t>
      </w:r>
      <w:r w:rsidR="00B51D09">
        <w:rPr>
          <w:rFonts w:eastAsiaTheme="minorHAnsi"/>
        </w:rPr>
        <w:t xml:space="preserve"> </w:t>
      </w:r>
    </w:p>
    <w:p w14:paraId="0518616F" w14:textId="78935CF6" w:rsidR="00406AFE" w:rsidRDefault="004335F1" w:rsidP="004C080E">
      <w:pPr>
        <w:rPr>
          <w:rFonts w:eastAsiaTheme="minorHAnsi"/>
        </w:rPr>
      </w:pPr>
      <w:r>
        <w:rPr>
          <w:rFonts w:eastAsiaTheme="minorHAnsi"/>
        </w:rPr>
        <w:t xml:space="preserve"> </w:t>
      </w:r>
      <w:r>
        <w:rPr>
          <w:rFonts w:eastAsiaTheme="minorHAnsi"/>
        </w:rPr>
        <w:tab/>
        <w:t xml:space="preserve">Lower oil recovery using amphoteric surfactants as compared </w:t>
      </w:r>
      <w:r w:rsidR="00C4430A">
        <w:rPr>
          <w:rFonts w:eastAsiaTheme="minorHAnsi"/>
        </w:rPr>
        <w:t xml:space="preserve">to </w:t>
      </w:r>
      <w:r>
        <w:rPr>
          <w:rFonts w:eastAsiaTheme="minorHAnsi"/>
        </w:rPr>
        <w:t>produced brine</w:t>
      </w:r>
      <w:r w:rsidR="00454A13">
        <w:rPr>
          <w:rFonts w:eastAsiaTheme="minorHAnsi"/>
        </w:rPr>
        <w:t xml:space="preserve"> and biosurfactant</w:t>
      </w:r>
      <w:r>
        <w:rPr>
          <w:rFonts w:eastAsiaTheme="minorHAnsi"/>
        </w:rPr>
        <w:t xml:space="preserve"> </w:t>
      </w:r>
      <w:r w:rsidR="00DC30CD">
        <w:rPr>
          <w:rFonts w:eastAsiaTheme="minorHAnsi"/>
        </w:rPr>
        <w:t xml:space="preserve">again </w:t>
      </w:r>
      <w:r w:rsidR="00B51D09">
        <w:rPr>
          <w:rFonts w:eastAsiaTheme="minorHAnsi"/>
        </w:rPr>
        <w:t xml:space="preserve">validates </w:t>
      </w:r>
      <w:r w:rsidR="00DC30CD">
        <w:rPr>
          <w:rFonts w:eastAsiaTheme="minorHAnsi"/>
        </w:rPr>
        <w:t xml:space="preserve">our </w:t>
      </w:r>
      <w:r w:rsidR="00EF275A">
        <w:rPr>
          <w:rFonts w:eastAsiaTheme="minorHAnsi"/>
        </w:rPr>
        <w:t xml:space="preserve">previous </w:t>
      </w:r>
      <w:r w:rsidR="00454A13">
        <w:rPr>
          <w:rFonts w:eastAsiaTheme="minorHAnsi"/>
        </w:rPr>
        <w:t xml:space="preserve">two </w:t>
      </w:r>
      <w:r w:rsidR="00C71FA7">
        <w:rPr>
          <w:rFonts w:eastAsiaTheme="minorHAnsi"/>
        </w:rPr>
        <w:t xml:space="preserve">hypotheses: adsorption of amphoteric surfactant with positive charge polar head on negative charge clay surfaces and precipitation of divalent cations on </w:t>
      </w:r>
      <w:r w:rsidR="00F14D52">
        <w:rPr>
          <w:rFonts w:eastAsiaTheme="minorHAnsi"/>
        </w:rPr>
        <w:t xml:space="preserve">negative charge </w:t>
      </w:r>
      <w:r w:rsidR="00C71FA7">
        <w:rPr>
          <w:rFonts w:eastAsiaTheme="minorHAnsi"/>
        </w:rPr>
        <w:t>clay surfaces</w:t>
      </w:r>
      <w:r w:rsidR="00F14D52">
        <w:rPr>
          <w:rFonts w:eastAsiaTheme="minorHAnsi"/>
        </w:rPr>
        <w:t xml:space="preserve">. This precipitation further increases surfactant adsorption as divalent cations act </w:t>
      </w:r>
      <w:r w:rsidR="00104AC4">
        <w:rPr>
          <w:rFonts w:eastAsiaTheme="minorHAnsi"/>
        </w:rPr>
        <w:t>as</w:t>
      </w:r>
      <w:r w:rsidR="00F14D52">
        <w:rPr>
          <w:rFonts w:eastAsiaTheme="minorHAnsi"/>
        </w:rPr>
        <w:t xml:space="preserve"> cationic bridge between amphoteric </w:t>
      </w:r>
      <w:r w:rsidR="00104AC4">
        <w:rPr>
          <w:rFonts w:eastAsiaTheme="minorHAnsi"/>
        </w:rPr>
        <w:t>surfactants</w:t>
      </w:r>
      <w:r w:rsidR="00F14D52">
        <w:rPr>
          <w:rFonts w:eastAsiaTheme="minorHAnsi"/>
        </w:rPr>
        <w:t xml:space="preserve"> with negative</w:t>
      </w:r>
      <w:r w:rsidR="00F14D52" w:rsidRPr="00A56399">
        <w:rPr>
          <w:rFonts w:eastAsiaTheme="minorHAnsi"/>
        </w:rPr>
        <w:t xml:space="preserve"> charge polar </w:t>
      </w:r>
      <w:r w:rsidR="00104AC4">
        <w:rPr>
          <w:rFonts w:eastAsiaTheme="minorHAnsi"/>
        </w:rPr>
        <w:t>heads</w:t>
      </w:r>
      <w:r w:rsidR="00F14D52">
        <w:rPr>
          <w:rFonts w:eastAsiaTheme="minorHAnsi"/>
        </w:rPr>
        <w:t xml:space="preserve"> a</w:t>
      </w:r>
      <w:r w:rsidR="00F14D52" w:rsidRPr="00374CA1">
        <w:rPr>
          <w:rFonts w:eastAsiaTheme="minorHAnsi"/>
        </w:rPr>
        <w:t xml:space="preserve">nd negative charge clay </w:t>
      </w:r>
      <w:r w:rsidR="00104AC4">
        <w:rPr>
          <w:rFonts w:eastAsiaTheme="minorHAnsi"/>
        </w:rPr>
        <w:t>surfaces</w:t>
      </w:r>
      <w:r w:rsidR="00F14D52" w:rsidRPr="00374CA1">
        <w:rPr>
          <w:rFonts w:eastAsiaTheme="minorHAnsi"/>
        </w:rPr>
        <w:t xml:space="preserve">. </w:t>
      </w:r>
      <w:r w:rsidR="000E3A68">
        <w:rPr>
          <w:rFonts w:eastAsiaTheme="minorHAnsi"/>
        </w:rPr>
        <w:t>S</w:t>
      </w:r>
      <w:r w:rsidR="00AC6BE5" w:rsidRPr="00374CA1">
        <w:rPr>
          <w:rFonts w:eastAsiaTheme="minorHAnsi"/>
        </w:rPr>
        <w:t>urfactant adsorption and precipitation of divalent cations</w:t>
      </w:r>
      <w:r w:rsidR="00374CA1" w:rsidRPr="00374CA1">
        <w:rPr>
          <w:rFonts w:eastAsiaTheme="minorHAnsi"/>
        </w:rPr>
        <w:t xml:space="preserve"> </w:t>
      </w:r>
      <w:r w:rsidR="006E0169">
        <w:rPr>
          <w:rFonts w:eastAsiaTheme="minorHAnsi"/>
        </w:rPr>
        <w:t xml:space="preserve">together </w:t>
      </w:r>
      <w:r w:rsidR="00374CA1" w:rsidRPr="00374CA1">
        <w:rPr>
          <w:rFonts w:eastAsiaTheme="minorHAnsi"/>
        </w:rPr>
        <w:t xml:space="preserve">leads to </w:t>
      </w:r>
      <w:r w:rsidR="00104AC4">
        <w:rPr>
          <w:rFonts w:eastAsiaTheme="minorHAnsi"/>
        </w:rPr>
        <w:t xml:space="preserve">a </w:t>
      </w:r>
      <w:r w:rsidR="006E0169">
        <w:rPr>
          <w:rFonts w:eastAsiaTheme="minorHAnsi"/>
        </w:rPr>
        <w:t xml:space="preserve">higher </w:t>
      </w:r>
      <w:r w:rsidR="00374CA1" w:rsidRPr="00374CA1">
        <w:rPr>
          <w:rFonts w:eastAsiaTheme="minorHAnsi"/>
        </w:rPr>
        <w:t>loss of surfactant from bulk solution to the rock surface</w:t>
      </w:r>
      <w:r w:rsidR="00104AC4">
        <w:rPr>
          <w:rFonts w:eastAsiaTheme="minorHAnsi"/>
        </w:rPr>
        <w:t>,</w:t>
      </w:r>
      <w:r w:rsidR="00374CA1">
        <w:rPr>
          <w:rFonts w:eastAsiaTheme="minorHAnsi"/>
        </w:rPr>
        <w:t xml:space="preserve"> which </w:t>
      </w:r>
      <w:r w:rsidR="00AC6BE5">
        <w:rPr>
          <w:rFonts w:eastAsiaTheme="minorHAnsi"/>
        </w:rPr>
        <w:t xml:space="preserve">blocks the movement of water into the rock sample giving </w:t>
      </w:r>
      <w:r w:rsidR="000B2F3F">
        <w:rPr>
          <w:rFonts w:eastAsiaTheme="minorHAnsi"/>
        </w:rPr>
        <w:t>oil</w:t>
      </w:r>
      <w:r w:rsidR="00AC6BE5">
        <w:rPr>
          <w:rFonts w:eastAsiaTheme="minorHAnsi"/>
        </w:rPr>
        <w:t xml:space="preserve"> </w:t>
      </w:r>
      <w:r w:rsidR="000B5CC1">
        <w:rPr>
          <w:rFonts w:eastAsiaTheme="minorHAnsi"/>
        </w:rPr>
        <w:t xml:space="preserve">recovery even </w:t>
      </w:r>
      <w:r w:rsidR="000B2F3F">
        <w:rPr>
          <w:rFonts w:eastAsiaTheme="minorHAnsi"/>
        </w:rPr>
        <w:t xml:space="preserve">lower </w:t>
      </w:r>
      <w:r w:rsidR="000B5CC1">
        <w:rPr>
          <w:rFonts w:eastAsiaTheme="minorHAnsi"/>
        </w:rPr>
        <w:t>than that of produced brine.</w:t>
      </w:r>
      <w:r w:rsidR="00FE0109">
        <w:rPr>
          <w:rFonts w:eastAsiaTheme="minorHAnsi"/>
        </w:rPr>
        <w:t xml:space="preserve"> </w:t>
      </w:r>
    </w:p>
    <w:p w14:paraId="575D9ABC" w14:textId="77D03E87" w:rsidR="005F569C" w:rsidRDefault="007D1AEE" w:rsidP="005F569C">
      <w:pPr>
        <w:rPr>
          <w:rFonts w:eastAsiaTheme="minorHAnsi"/>
        </w:rPr>
      </w:pPr>
      <w:r w:rsidRPr="007D1AEE">
        <w:rPr>
          <w:rFonts w:eastAsiaTheme="minorHAnsi"/>
        </w:rPr>
        <w:tab/>
      </w:r>
      <w:r w:rsidR="004E4781">
        <w:rPr>
          <w:rFonts w:eastAsiaTheme="minorHAnsi"/>
        </w:rPr>
        <w:t>R</w:t>
      </w:r>
      <w:r>
        <w:rPr>
          <w:rFonts w:eastAsiaTheme="minorHAnsi"/>
        </w:rPr>
        <w:t xml:space="preserve">esults also indicate that </w:t>
      </w:r>
      <w:r w:rsidR="00104AC4">
        <w:rPr>
          <w:rFonts w:eastAsiaTheme="minorHAnsi"/>
        </w:rPr>
        <w:t>divalent cations do</w:t>
      </w:r>
      <w:r w:rsidR="005558A6" w:rsidRPr="007D1AEE">
        <w:rPr>
          <w:rFonts w:eastAsiaTheme="minorHAnsi"/>
        </w:rPr>
        <w:t xml:space="preserve"> not increase the reactivity between biosurfactant</w:t>
      </w:r>
      <w:r>
        <w:rPr>
          <w:rFonts w:eastAsiaTheme="minorHAnsi"/>
        </w:rPr>
        <w:t xml:space="preserve"> (glycolipids</w:t>
      </w:r>
      <w:r w:rsidR="002C0F1F">
        <w:rPr>
          <w:rFonts w:eastAsiaTheme="minorHAnsi"/>
        </w:rPr>
        <w:t>)</w:t>
      </w:r>
      <w:r w:rsidR="005558A6" w:rsidRPr="007D1AEE">
        <w:rPr>
          <w:rFonts w:eastAsiaTheme="minorHAnsi"/>
        </w:rPr>
        <w:t xml:space="preserve"> and </w:t>
      </w:r>
      <w:r w:rsidR="008F6BD9">
        <w:rPr>
          <w:rFonts w:eastAsiaTheme="minorHAnsi"/>
        </w:rPr>
        <w:t>clay surface compared to amphoteric surfactants</w:t>
      </w:r>
      <w:r w:rsidR="005558A6" w:rsidRPr="007D1AEE">
        <w:rPr>
          <w:rFonts w:eastAsiaTheme="minorHAnsi"/>
        </w:rPr>
        <w:t xml:space="preserve">. </w:t>
      </w:r>
      <w:r w:rsidR="00C33C56">
        <w:rPr>
          <w:rFonts w:eastAsiaTheme="minorHAnsi"/>
        </w:rPr>
        <w:t>P</w:t>
      </w:r>
      <w:r w:rsidR="005558A6" w:rsidRPr="007D1AEE">
        <w:rPr>
          <w:rFonts w:eastAsiaTheme="minorHAnsi"/>
        </w:rPr>
        <w:t xml:space="preserve">recipitation of </w:t>
      </w:r>
      <w:r>
        <w:rPr>
          <w:rFonts w:eastAsiaTheme="minorHAnsi"/>
        </w:rPr>
        <w:t xml:space="preserve">divalent cations </w:t>
      </w:r>
      <w:r w:rsidR="005558A6" w:rsidRPr="007D1AEE">
        <w:rPr>
          <w:rFonts w:eastAsiaTheme="minorHAnsi"/>
        </w:rPr>
        <w:t>ions from the solution to rock surface</w:t>
      </w:r>
      <w:r>
        <w:rPr>
          <w:rFonts w:eastAsiaTheme="minorHAnsi"/>
        </w:rPr>
        <w:t xml:space="preserve"> </w:t>
      </w:r>
      <w:r w:rsidR="008F6BD9">
        <w:rPr>
          <w:rFonts w:eastAsiaTheme="minorHAnsi"/>
        </w:rPr>
        <w:t xml:space="preserve">is lower </w:t>
      </w:r>
      <w:r w:rsidR="00EF275A">
        <w:rPr>
          <w:rFonts w:eastAsiaTheme="minorHAnsi"/>
        </w:rPr>
        <w:t xml:space="preserve">in biosurfactant </w:t>
      </w:r>
      <w:r w:rsidR="008F6BD9">
        <w:rPr>
          <w:rFonts w:eastAsiaTheme="minorHAnsi"/>
        </w:rPr>
        <w:t xml:space="preserve">than </w:t>
      </w:r>
      <w:r w:rsidR="00B73D68">
        <w:rPr>
          <w:rFonts w:eastAsiaTheme="minorHAnsi"/>
        </w:rPr>
        <w:t xml:space="preserve">that of </w:t>
      </w:r>
      <w:r w:rsidR="008F6BD9">
        <w:rPr>
          <w:rFonts w:eastAsiaTheme="minorHAnsi"/>
        </w:rPr>
        <w:t>amphoteric surfactants</w:t>
      </w:r>
      <w:r w:rsidR="00104AC4">
        <w:rPr>
          <w:rFonts w:eastAsiaTheme="minorHAnsi"/>
        </w:rPr>
        <w:t>,</w:t>
      </w:r>
      <w:r w:rsidR="008F6BD9">
        <w:rPr>
          <w:rFonts w:eastAsiaTheme="minorHAnsi"/>
        </w:rPr>
        <w:t xml:space="preserve"> but there is some precipitation as oil recovery using biosurfactants is not much higher than produced brine. </w:t>
      </w:r>
      <w:r w:rsidR="00F00EEA">
        <w:rPr>
          <w:rFonts w:eastAsiaTheme="minorHAnsi"/>
        </w:rPr>
        <w:fldChar w:fldCharType="begin"/>
      </w:r>
      <w:r w:rsidR="00F00EEA">
        <w:rPr>
          <w:rFonts w:eastAsiaTheme="minorHAnsi"/>
        </w:rPr>
        <w:instrText xml:space="preserve"> REF _Ref119891066 \h </w:instrText>
      </w:r>
      <w:r w:rsidR="00F00EEA">
        <w:rPr>
          <w:rFonts w:eastAsiaTheme="minorHAnsi"/>
        </w:rPr>
      </w:r>
      <w:r w:rsidR="00F00EEA">
        <w:rPr>
          <w:rFonts w:eastAsiaTheme="minorHAnsi"/>
        </w:rPr>
        <w:fldChar w:fldCharType="separate"/>
      </w:r>
      <w:r w:rsidR="002F3906">
        <w:t xml:space="preserve">Table </w:t>
      </w:r>
      <w:r w:rsidR="002F3906">
        <w:rPr>
          <w:noProof/>
        </w:rPr>
        <w:t>8</w:t>
      </w:r>
      <w:r w:rsidR="00F00EEA">
        <w:rPr>
          <w:rFonts w:eastAsiaTheme="minorHAnsi"/>
        </w:rPr>
        <w:fldChar w:fldCharType="end"/>
      </w:r>
      <w:r w:rsidR="00F00EEA">
        <w:rPr>
          <w:rFonts w:eastAsiaTheme="minorHAnsi"/>
        </w:rPr>
        <w:t xml:space="preserve"> </w:t>
      </w:r>
      <w:r w:rsidR="00F00EEA" w:rsidRPr="00E24319">
        <w:rPr>
          <w:rFonts w:eastAsiaTheme="minorHAnsi"/>
        </w:rPr>
        <w:t>summarizes the imbibition experiment results.</w:t>
      </w:r>
      <w:r w:rsidR="00F00EEA">
        <w:rPr>
          <w:rFonts w:eastAsiaTheme="minorHAnsi"/>
        </w:rPr>
        <w:t xml:space="preserve"> </w:t>
      </w:r>
      <w:r w:rsidR="008F6BD9">
        <w:rPr>
          <w:rFonts w:eastAsiaTheme="minorHAnsi"/>
        </w:rPr>
        <w:t xml:space="preserve">Considering the </w:t>
      </w:r>
      <w:r w:rsidR="00407253">
        <w:rPr>
          <w:rFonts w:eastAsiaTheme="minorHAnsi"/>
        </w:rPr>
        <w:t xml:space="preserve">economics, it might be more favorable to use only produced brine with no surfactant in </w:t>
      </w:r>
      <w:r w:rsidR="00104AC4">
        <w:rPr>
          <w:rFonts w:eastAsiaTheme="minorHAnsi"/>
        </w:rPr>
        <w:t>a field-scale</w:t>
      </w:r>
      <w:r w:rsidR="00407253">
        <w:rPr>
          <w:rFonts w:eastAsiaTheme="minorHAnsi"/>
        </w:rPr>
        <w:t xml:space="preserve"> application.</w:t>
      </w:r>
    </w:p>
    <w:p w14:paraId="2344E41C" w14:textId="77777777" w:rsidR="0072450F" w:rsidRDefault="005558A6" w:rsidP="0072450F">
      <w:pPr>
        <w:keepNext/>
        <w:jc w:val="center"/>
      </w:pPr>
      <w:r w:rsidRPr="00D971FC">
        <w:rPr>
          <w:noProof/>
        </w:rPr>
        <w:lastRenderedPageBreak/>
        <w:drawing>
          <wp:inline distT="0" distB="0" distL="0" distR="0" wp14:anchorId="269418D1" wp14:editId="1267B37E">
            <wp:extent cx="5943600" cy="3474720"/>
            <wp:effectExtent l="0" t="0" r="0" b="0"/>
            <wp:docPr id="13" name="Chart 13">
              <a:extLst xmlns:a="http://schemas.openxmlformats.org/drawingml/2006/main">
                <a:ext uri="{FF2B5EF4-FFF2-40B4-BE49-F238E27FC236}">
                  <a16:creationId xmlns:a16="http://schemas.microsoft.com/office/drawing/2014/main" id="{D51AD4D5-869F-D942-BC07-23741E3935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825E94A" w14:textId="1F59D031" w:rsidR="005D3439" w:rsidRDefault="0072450F" w:rsidP="0072450F">
      <w:pPr>
        <w:pStyle w:val="NoSpacing"/>
      </w:pPr>
      <w:bookmarkStart w:id="172" w:name="_Ref118853550"/>
      <w:bookmarkStart w:id="173" w:name="_Toc121470306"/>
      <w:r>
        <w:t xml:space="preserve">Figure </w:t>
      </w:r>
      <w:fldSimple w:instr=" SEQ Figure \* ARABIC ">
        <w:r w:rsidR="002F3906">
          <w:rPr>
            <w:noProof/>
          </w:rPr>
          <w:t>32</w:t>
        </w:r>
      </w:fldSimple>
      <w:bookmarkEnd w:id="172"/>
      <w:r>
        <w:t xml:space="preserve"> - Oil recovery measured experimentally using imbibition of produced brine and surfactants at 2 gpt concentration in three Bone Spring sandstone samples at 500 psi and 145</w:t>
      </w:r>
      <w:r w:rsidRPr="00782AFF">
        <w:rPr>
          <w:vertAlign w:val="superscript"/>
        </w:rPr>
        <w:t>o</w:t>
      </w:r>
      <w:r>
        <w:t>F. All three samples were exposed to brine and surfactants in a series of tests, as shown in</w:t>
      </w:r>
      <w:r w:rsidR="00C25B5F">
        <w:t xml:space="preserve"> </w:t>
      </w:r>
      <w:r w:rsidR="00C25B5F">
        <w:fldChar w:fldCharType="begin"/>
      </w:r>
      <w:r w:rsidR="00C25B5F">
        <w:instrText xml:space="preserve"> REF _Ref118592075 \h </w:instrText>
      </w:r>
      <w:r w:rsidR="00C25B5F">
        <w:fldChar w:fldCharType="separate"/>
      </w:r>
      <w:r w:rsidR="002F3906" w:rsidRPr="00DF2BBA">
        <w:t xml:space="preserve">Table </w:t>
      </w:r>
      <w:r w:rsidR="002F3906">
        <w:rPr>
          <w:noProof/>
        </w:rPr>
        <w:t>1</w:t>
      </w:r>
      <w:r w:rsidR="00C25B5F">
        <w:fldChar w:fldCharType="end"/>
      </w:r>
      <w:r>
        <w:t>. 12 MHz NMR was used to quantify the oil recovery by calculating the volume of oil inside the sample before and after imbibition.</w:t>
      </w:r>
      <w:bookmarkEnd w:id="173"/>
    </w:p>
    <w:p w14:paraId="4C4FB45F" w14:textId="28C77FE6" w:rsidR="00C25B5F" w:rsidRDefault="00C25B5F" w:rsidP="0072450F">
      <w:pPr>
        <w:pStyle w:val="NoSpacing"/>
      </w:pPr>
    </w:p>
    <w:p w14:paraId="02AC9634" w14:textId="77777777" w:rsidR="00C25B5F" w:rsidRDefault="00C25B5F" w:rsidP="00C25B5F">
      <w:pPr>
        <w:pStyle w:val="NoSpacing"/>
        <w:keepNext/>
        <w:jc w:val="center"/>
      </w:pPr>
      <w:r w:rsidRPr="00D756B3">
        <w:rPr>
          <w:noProof/>
        </w:rPr>
        <w:drawing>
          <wp:inline distT="0" distB="0" distL="0" distR="0" wp14:anchorId="177B8657" wp14:editId="2F5D93DC">
            <wp:extent cx="5394960" cy="2651760"/>
            <wp:effectExtent l="0" t="0" r="0" b="0"/>
            <wp:docPr id="14" name="Chart 14">
              <a:extLst xmlns:a="http://schemas.openxmlformats.org/drawingml/2006/main">
                <a:ext uri="{FF2B5EF4-FFF2-40B4-BE49-F238E27FC236}">
                  <a16:creationId xmlns:a16="http://schemas.microsoft.com/office/drawing/2014/main" id="{337678D7-93C6-4948-90C5-0EBA9506F1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2497C2F" w14:textId="77777777" w:rsidR="00C25B5F" w:rsidRDefault="00C25B5F" w:rsidP="00C25B5F">
      <w:pPr>
        <w:pStyle w:val="NoSpacing"/>
      </w:pPr>
    </w:p>
    <w:p w14:paraId="088256CD" w14:textId="3B798042" w:rsidR="00C25B5F" w:rsidRDefault="00C25B5F" w:rsidP="00C25B5F">
      <w:pPr>
        <w:pStyle w:val="NoSpacing"/>
      </w:pPr>
      <w:bookmarkStart w:id="174" w:name="_Ref118853705"/>
      <w:bookmarkStart w:id="175" w:name="_Toc121470307"/>
      <w:r>
        <w:t xml:space="preserve">Figure </w:t>
      </w:r>
      <w:fldSimple w:instr=" SEQ Figure \* ARABIC ">
        <w:r w:rsidR="002F3906">
          <w:rPr>
            <w:noProof/>
          </w:rPr>
          <w:t>33</w:t>
        </w:r>
      </w:fldSimple>
      <w:bookmarkEnd w:id="174"/>
      <w:r>
        <w:t xml:space="preserve"> - Average oil recovery measured experimentally using imbibition of produced brine and surfactants</w:t>
      </w:r>
      <w:r w:rsidRPr="00635A6E">
        <w:t xml:space="preserve"> </w:t>
      </w:r>
      <w:r>
        <w:t>at 2 gpt concentration on three Bone Spring sandstone samples at 500 psi and 145</w:t>
      </w:r>
      <w:r w:rsidRPr="00782AFF">
        <w:rPr>
          <w:vertAlign w:val="superscript"/>
        </w:rPr>
        <w:t>o</w:t>
      </w:r>
      <w:r>
        <w:t>F.</w:t>
      </w:r>
      <w:bookmarkEnd w:id="175"/>
    </w:p>
    <w:p w14:paraId="11C8820C" w14:textId="77777777" w:rsidR="004C080E" w:rsidRDefault="004C080E" w:rsidP="00C25B5F">
      <w:pPr>
        <w:pStyle w:val="NoSpacing"/>
      </w:pPr>
    </w:p>
    <w:tbl>
      <w:tblPr>
        <w:tblStyle w:val="TableGrid"/>
        <w:tblW w:w="9361" w:type="dxa"/>
        <w:tblLayout w:type="fixed"/>
        <w:tblLook w:val="04A0" w:firstRow="1" w:lastRow="0" w:firstColumn="1" w:lastColumn="0" w:noHBand="0" w:noVBand="1"/>
      </w:tblPr>
      <w:tblGrid>
        <w:gridCol w:w="1435"/>
        <w:gridCol w:w="1683"/>
        <w:gridCol w:w="1069"/>
        <w:gridCol w:w="1185"/>
        <w:gridCol w:w="1184"/>
        <w:gridCol w:w="1591"/>
        <w:gridCol w:w="1214"/>
      </w:tblGrid>
      <w:tr w:rsidR="000C534A" w14:paraId="48140AE2" w14:textId="77777777" w:rsidTr="000C534A">
        <w:trPr>
          <w:trHeight w:val="636"/>
        </w:trPr>
        <w:tc>
          <w:tcPr>
            <w:tcW w:w="1435" w:type="dxa"/>
            <w:vAlign w:val="center"/>
          </w:tcPr>
          <w:p w14:paraId="01DD1383" w14:textId="77777777" w:rsidR="004C080E" w:rsidRDefault="004C080E" w:rsidP="000C534A">
            <w:pPr>
              <w:pStyle w:val="Table"/>
            </w:pPr>
            <w:r>
              <w:lastRenderedPageBreak/>
              <w:t>Fluid</w:t>
            </w:r>
          </w:p>
        </w:tc>
        <w:tc>
          <w:tcPr>
            <w:tcW w:w="1683" w:type="dxa"/>
            <w:vAlign w:val="center"/>
          </w:tcPr>
          <w:p w14:paraId="095CE1FF" w14:textId="77777777" w:rsidR="000C534A" w:rsidRDefault="006F50CE" w:rsidP="000C534A">
            <w:pPr>
              <w:pStyle w:val="Table"/>
            </w:pPr>
            <w:r>
              <w:t xml:space="preserve">Surfactant </w:t>
            </w:r>
          </w:p>
          <w:p w14:paraId="19423CD1" w14:textId="407FFEC0" w:rsidR="004C080E" w:rsidRDefault="004C080E" w:rsidP="000C534A">
            <w:pPr>
              <w:pStyle w:val="Table"/>
            </w:pPr>
            <w:r>
              <w:t>Type</w:t>
            </w:r>
          </w:p>
        </w:tc>
        <w:tc>
          <w:tcPr>
            <w:tcW w:w="1069" w:type="dxa"/>
            <w:vAlign w:val="center"/>
          </w:tcPr>
          <w:p w14:paraId="1D23E88F" w14:textId="77777777" w:rsidR="004C080E" w:rsidRDefault="004C080E" w:rsidP="000C534A">
            <w:pPr>
              <w:pStyle w:val="Table"/>
            </w:pPr>
            <w:r>
              <w:t>IFT</w:t>
            </w:r>
          </w:p>
          <w:p w14:paraId="059D7D23" w14:textId="77777777" w:rsidR="004C080E" w:rsidRDefault="004C080E" w:rsidP="000C534A">
            <w:pPr>
              <w:pStyle w:val="Table"/>
            </w:pPr>
            <w:r>
              <w:t>(mN/m)</w:t>
            </w:r>
          </w:p>
        </w:tc>
        <w:tc>
          <w:tcPr>
            <w:tcW w:w="1185" w:type="dxa"/>
            <w:vAlign w:val="center"/>
          </w:tcPr>
          <w:p w14:paraId="05D64A43" w14:textId="77777777" w:rsidR="004C080E" w:rsidRDefault="004C080E" w:rsidP="000C534A">
            <w:pPr>
              <w:pStyle w:val="Table"/>
            </w:pPr>
            <w:r>
              <w:t>Initial Contact</w:t>
            </w:r>
          </w:p>
          <w:p w14:paraId="08EB95B4" w14:textId="77777777" w:rsidR="004C080E" w:rsidRDefault="004C080E" w:rsidP="000C534A">
            <w:pPr>
              <w:pStyle w:val="Table"/>
            </w:pPr>
            <w:r>
              <w:t>Angle</w:t>
            </w:r>
          </w:p>
          <w:p w14:paraId="50DAD80E" w14:textId="77777777" w:rsidR="004C080E" w:rsidRDefault="004C080E" w:rsidP="000C534A">
            <w:pPr>
              <w:pStyle w:val="Table"/>
            </w:pPr>
            <w:r>
              <w:t>(degrees)</w:t>
            </w:r>
          </w:p>
        </w:tc>
        <w:tc>
          <w:tcPr>
            <w:tcW w:w="1184" w:type="dxa"/>
            <w:vAlign w:val="center"/>
          </w:tcPr>
          <w:p w14:paraId="1AD6E0EF" w14:textId="77777777" w:rsidR="000C534A" w:rsidRDefault="004C080E" w:rsidP="000C534A">
            <w:pPr>
              <w:pStyle w:val="Table"/>
            </w:pPr>
            <w:r>
              <w:t xml:space="preserve">Final </w:t>
            </w:r>
          </w:p>
          <w:p w14:paraId="769F7DBB" w14:textId="5A5F734B" w:rsidR="004C080E" w:rsidRDefault="004C080E" w:rsidP="000C534A">
            <w:pPr>
              <w:pStyle w:val="Table"/>
            </w:pPr>
            <w:r>
              <w:t>Contact</w:t>
            </w:r>
          </w:p>
          <w:p w14:paraId="5FA7574F" w14:textId="77777777" w:rsidR="004C080E" w:rsidRDefault="004C080E" w:rsidP="000C534A">
            <w:pPr>
              <w:pStyle w:val="Table"/>
            </w:pPr>
            <w:r>
              <w:t>Angle</w:t>
            </w:r>
          </w:p>
          <w:p w14:paraId="31CD4C97" w14:textId="77777777" w:rsidR="004C080E" w:rsidRDefault="004C080E" w:rsidP="000C534A">
            <w:pPr>
              <w:pStyle w:val="Table"/>
            </w:pPr>
            <w:r>
              <w:t>(degrees)</w:t>
            </w:r>
          </w:p>
        </w:tc>
        <w:tc>
          <w:tcPr>
            <w:tcW w:w="1591" w:type="dxa"/>
            <w:vAlign w:val="center"/>
          </w:tcPr>
          <w:p w14:paraId="2BFFFCFF" w14:textId="77777777" w:rsidR="004C080E" w:rsidRDefault="004C080E" w:rsidP="000C534A">
            <w:pPr>
              <w:pStyle w:val="Table"/>
            </w:pPr>
            <w:r>
              <w:t>Surfactant Adsorption</w:t>
            </w:r>
          </w:p>
          <w:p w14:paraId="169988B3" w14:textId="77777777" w:rsidR="004C080E" w:rsidRDefault="004C080E" w:rsidP="000C534A">
            <w:pPr>
              <w:pStyle w:val="Table"/>
            </w:pPr>
            <w:r>
              <w:t>(mg/gm-rock)</w:t>
            </w:r>
          </w:p>
        </w:tc>
        <w:tc>
          <w:tcPr>
            <w:tcW w:w="1214" w:type="dxa"/>
            <w:vAlign w:val="center"/>
          </w:tcPr>
          <w:p w14:paraId="1B1DE823" w14:textId="77777777" w:rsidR="004C080E" w:rsidRDefault="004C080E" w:rsidP="000C534A">
            <w:pPr>
              <w:pStyle w:val="Table"/>
            </w:pPr>
            <w:r>
              <w:t>Oil</w:t>
            </w:r>
          </w:p>
          <w:p w14:paraId="655F4787" w14:textId="77777777" w:rsidR="004C080E" w:rsidRDefault="004C080E" w:rsidP="000C534A">
            <w:pPr>
              <w:pStyle w:val="Table"/>
            </w:pPr>
            <w:r>
              <w:t>Recovery</w:t>
            </w:r>
          </w:p>
          <w:p w14:paraId="1347E475" w14:textId="77777777" w:rsidR="004C080E" w:rsidRDefault="004C080E" w:rsidP="000C534A">
            <w:pPr>
              <w:pStyle w:val="Table"/>
            </w:pPr>
            <w:r>
              <w:t>(%)</w:t>
            </w:r>
          </w:p>
        </w:tc>
      </w:tr>
      <w:tr w:rsidR="000C534A" w14:paraId="2E06DF3B" w14:textId="77777777" w:rsidTr="006330C5">
        <w:trPr>
          <w:trHeight w:val="432"/>
        </w:trPr>
        <w:tc>
          <w:tcPr>
            <w:tcW w:w="1435" w:type="dxa"/>
            <w:vAlign w:val="center"/>
          </w:tcPr>
          <w:p w14:paraId="43F26AA6" w14:textId="77777777" w:rsidR="004C080E" w:rsidRDefault="004C080E" w:rsidP="000C534A">
            <w:pPr>
              <w:pStyle w:val="Table"/>
            </w:pPr>
            <w:r>
              <w:t>Produced Brine</w:t>
            </w:r>
          </w:p>
        </w:tc>
        <w:tc>
          <w:tcPr>
            <w:tcW w:w="1683" w:type="dxa"/>
            <w:vAlign w:val="center"/>
          </w:tcPr>
          <w:p w14:paraId="45F24762" w14:textId="77777777" w:rsidR="004C080E" w:rsidRDefault="004C080E" w:rsidP="000C534A">
            <w:pPr>
              <w:pStyle w:val="Table"/>
            </w:pPr>
            <w:r>
              <w:t>–</w:t>
            </w:r>
          </w:p>
        </w:tc>
        <w:tc>
          <w:tcPr>
            <w:tcW w:w="1069" w:type="dxa"/>
            <w:vAlign w:val="center"/>
          </w:tcPr>
          <w:p w14:paraId="7AA955B6" w14:textId="77777777" w:rsidR="004C080E" w:rsidRDefault="004C080E" w:rsidP="000C534A">
            <w:pPr>
              <w:pStyle w:val="Table"/>
            </w:pPr>
            <w:r>
              <w:t>17.3</w:t>
            </w:r>
          </w:p>
        </w:tc>
        <w:tc>
          <w:tcPr>
            <w:tcW w:w="1185" w:type="dxa"/>
            <w:vAlign w:val="center"/>
          </w:tcPr>
          <w:p w14:paraId="4D4A2286" w14:textId="77777777" w:rsidR="004C080E" w:rsidRDefault="004C080E" w:rsidP="000C534A">
            <w:pPr>
              <w:pStyle w:val="Table"/>
            </w:pPr>
            <w:r>
              <w:t>110</w:t>
            </w:r>
          </w:p>
        </w:tc>
        <w:tc>
          <w:tcPr>
            <w:tcW w:w="1184" w:type="dxa"/>
            <w:vAlign w:val="center"/>
          </w:tcPr>
          <w:p w14:paraId="301B4ED0" w14:textId="7D344353" w:rsidR="004C080E" w:rsidRDefault="00406AFE" w:rsidP="000C534A">
            <w:pPr>
              <w:pStyle w:val="Table"/>
            </w:pPr>
            <w:r>
              <w:t>94</w:t>
            </w:r>
          </w:p>
        </w:tc>
        <w:tc>
          <w:tcPr>
            <w:tcW w:w="1591" w:type="dxa"/>
            <w:vAlign w:val="center"/>
          </w:tcPr>
          <w:p w14:paraId="22AB5D21" w14:textId="77777777" w:rsidR="004C080E" w:rsidRDefault="004C080E" w:rsidP="000C534A">
            <w:pPr>
              <w:pStyle w:val="Table"/>
            </w:pPr>
            <w:r w:rsidRPr="004B6035">
              <w:t>–</w:t>
            </w:r>
          </w:p>
        </w:tc>
        <w:tc>
          <w:tcPr>
            <w:tcW w:w="1214" w:type="dxa"/>
            <w:vAlign w:val="center"/>
          </w:tcPr>
          <w:p w14:paraId="23206D1E" w14:textId="77777777" w:rsidR="004C080E" w:rsidRDefault="004C080E" w:rsidP="000C534A">
            <w:pPr>
              <w:pStyle w:val="Table"/>
            </w:pPr>
            <w:r>
              <w:t>54</w:t>
            </w:r>
          </w:p>
        </w:tc>
      </w:tr>
      <w:tr w:rsidR="000C534A" w14:paraId="28738C3A" w14:textId="77777777" w:rsidTr="000A06C5">
        <w:trPr>
          <w:trHeight w:hRule="exact" w:val="432"/>
        </w:trPr>
        <w:tc>
          <w:tcPr>
            <w:tcW w:w="1435" w:type="dxa"/>
            <w:vAlign w:val="center"/>
          </w:tcPr>
          <w:p w14:paraId="58AEB146" w14:textId="77777777" w:rsidR="004C080E" w:rsidRDefault="004C080E" w:rsidP="000C534A">
            <w:pPr>
              <w:pStyle w:val="Table"/>
            </w:pPr>
            <w:r>
              <w:t>Surfactant 1</w:t>
            </w:r>
          </w:p>
        </w:tc>
        <w:tc>
          <w:tcPr>
            <w:tcW w:w="1683" w:type="dxa"/>
            <w:vAlign w:val="center"/>
          </w:tcPr>
          <w:p w14:paraId="40D3B846" w14:textId="77777777" w:rsidR="004C080E" w:rsidRDefault="004C080E" w:rsidP="000C534A">
            <w:pPr>
              <w:pStyle w:val="Table"/>
            </w:pPr>
            <w:r>
              <w:t>Amphoteric</w:t>
            </w:r>
          </w:p>
        </w:tc>
        <w:tc>
          <w:tcPr>
            <w:tcW w:w="1069" w:type="dxa"/>
            <w:vAlign w:val="center"/>
          </w:tcPr>
          <w:p w14:paraId="15513A36" w14:textId="77777777" w:rsidR="004C080E" w:rsidRDefault="004C080E" w:rsidP="000C534A">
            <w:pPr>
              <w:pStyle w:val="Table"/>
            </w:pPr>
            <w:r>
              <w:t>3.6</w:t>
            </w:r>
          </w:p>
        </w:tc>
        <w:tc>
          <w:tcPr>
            <w:tcW w:w="1185" w:type="dxa"/>
            <w:vAlign w:val="center"/>
          </w:tcPr>
          <w:p w14:paraId="6832E8DB" w14:textId="77777777" w:rsidR="004C080E" w:rsidRDefault="004C080E" w:rsidP="000C534A">
            <w:pPr>
              <w:pStyle w:val="Table"/>
            </w:pPr>
            <w:r>
              <w:t>97</w:t>
            </w:r>
          </w:p>
        </w:tc>
        <w:tc>
          <w:tcPr>
            <w:tcW w:w="1184" w:type="dxa"/>
            <w:vAlign w:val="center"/>
          </w:tcPr>
          <w:p w14:paraId="041BFF17" w14:textId="77777777" w:rsidR="004C080E" w:rsidRDefault="004C080E" w:rsidP="000C534A">
            <w:pPr>
              <w:pStyle w:val="Table"/>
            </w:pPr>
            <w:r>
              <w:t>73</w:t>
            </w:r>
          </w:p>
        </w:tc>
        <w:tc>
          <w:tcPr>
            <w:tcW w:w="1591" w:type="dxa"/>
            <w:vAlign w:val="center"/>
          </w:tcPr>
          <w:p w14:paraId="4115CD8D" w14:textId="77777777" w:rsidR="004C080E" w:rsidRDefault="004C080E" w:rsidP="000C534A">
            <w:pPr>
              <w:pStyle w:val="Table"/>
            </w:pPr>
            <w:r>
              <w:t>15</w:t>
            </w:r>
          </w:p>
        </w:tc>
        <w:tc>
          <w:tcPr>
            <w:tcW w:w="1214" w:type="dxa"/>
            <w:vAlign w:val="center"/>
          </w:tcPr>
          <w:p w14:paraId="7C7B7CE6" w14:textId="77777777" w:rsidR="004C080E" w:rsidRDefault="004C080E" w:rsidP="000C534A">
            <w:pPr>
              <w:pStyle w:val="Table"/>
            </w:pPr>
            <w:r>
              <w:t>45</w:t>
            </w:r>
          </w:p>
        </w:tc>
      </w:tr>
      <w:tr w:rsidR="000C534A" w14:paraId="741C4666" w14:textId="77777777" w:rsidTr="000A06C5">
        <w:trPr>
          <w:trHeight w:hRule="exact" w:val="432"/>
        </w:trPr>
        <w:tc>
          <w:tcPr>
            <w:tcW w:w="1435" w:type="dxa"/>
            <w:vAlign w:val="center"/>
          </w:tcPr>
          <w:p w14:paraId="73D74C88" w14:textId="77777777" w:rsidR="004C080E" w:rsidRDefault="004C080E" w:rsidP="000C534A">
            <w:pPr>
              <w:pStyle w:val="Table"/>
            </w:pPr>
            <w:r>
              <w:t>Surfactant 2</w:t>
            </w:r>
          </w:p>
        </w:tc>
        <w:tc>
          <w:tcPr>
            <w:tcW w:w="1683" w:type="dxa"/>
            <w:vAlign w:val="center"/>
          </w:tcPr>
          <w:p w14:paraId="259FF7D7" w14:textId="77777777" w:rsidR="004C080E" w:rsidRDefault="004C080E" w:rsidP="000C534A">
            <w:pPr>
              <w:pStyle w:val="Table"/>
            </w:pPr>
            <w:r>
              <w:t>Amphoteric</w:t>
            </w:r>
          </w:p>
        </w:tc>
        <w:tc>
          <w:tcPr>
            <w:tcW w:w="1069" w:type="dxa"/>
            <w:vAlign w:val="center"/>
          </w:tcPr>
          <w:p w14:paraId="04F3C575" w14:textId="77777777" w:rsidR="004C080E" w:rsidRDefault="004C080E" w:rsidP="000C534A">
            <w:pPr>
              <w:pStyle w:val="Table"/>
            </w:pPr>
            <w:r>
              <w:t>4.4</w:t>
            </w:r>
          </w:p>
        </w:tc>
        <w:tc>
          <w:tcPr>
            <w:tcW w:w="1185" w:type="dxa"/>
            <w:vAlign w:val="center"/>
          </w:tcPr>
          <w:p w14:paraId="16EABE85" w14:textId="77777777" w:rsidR="004C080E" w:rsidRDefault="004C080E" w:rsidP="000C534A">
            <w:pPr>
              <w:pStyle w:val="Table"/>
            </w:pPr>
            <w:r>
              <w:t>102</w:t>
            </w:r>
          </w:p>
        </w:tc>
        <w:tc>
          <w:tcPr>
            <w:tcW w:w="1184" w:type="dxa"/>
            <w:vAlign w:val="center"/>
          </w:tcPr>
          <w:p w14:paraId="469BC3D1" w14:textId="77777777" w:rsidR="004C080E" w:rsidRDefault="004C080E" w:rsidP="000C534A">
            <w:pPr>
              <w:pStyle w:val="Table"/>
            </w:pPr>
            <w:r>
              <w:t>76</w:t>
            </w:r>
          </w:p>
        </w:tc>
        <w:tc>
          <w:tcPr>
            <w:tcW w:w="1591" w:type="dxa"/>
            <w:vAlign w:val="center"/>
          </w:tcPr>
          <w:p w14:paraId="60B3F80C" w14:textId="77777777" w:rsidR="004C080E" w:rsidRDefault="004C080E" w:rsidP="000C534A">
            <w:pPr>
              <w:pStyle w:val="Table"/>
            </w:pPr>
            <w:r>
              <w:t>17</w:t>
            </w:r>
          </w:p>
        </w:tc>
        <w:tc>
          <w:tcPr>
            <w:tcW w:w="1214" w:type="dxa"/>
            <w:vAlign w:val="center"/>
          </w:tcPr>
          <w:p w14:paraId="733FDD5E" w14:textId="77777777" w:rsidR="004C080E" w:rsidRDefault="004C080E" w:rsidP="000C534A">
            <w:pPr>
              <w:pStyle w:val="Table"/>
            </w:pPr>
            <w:r>
              <w:t>41</w:t>
            </w:r>
          </w:p>
        </w:tc>
      </w:tr>
      <w:tr w:rsidR="000C534A" w14:paraId="19641E42" w14:textId="77777777" w:rsidTr="000A06C5">
        <w:trPr>
          <w:trHeight w:hRule="exact" w:val="432"/>
        </w:trPr>
        <w:tc>
          <w:tcPr>
            <w:tcW w:w="1435" w:type="dxa"/>
            <w:vAlign w:val="center"/>
          </w:tcPr>
          <w:p w14:paraId="7BC59C94" w14:textId="77777777" w:rsidR="004C080E" w:rsidRDefault="004C080E" w:rsidP="000C534A">
            <w:pPr>
              <w:pStyle w:val="Table"/>
            </w:pPr>
            <w:r>
              <w:t>Surfactant 3</w:t>
            </w:r>
          </w:p>
        </w:tc>
        <w:tc>
          <w:tcPr>
            <w:tcW w:w="1683" w:type="dxa"/>
            <w:vAlign w:val="center"/>
          </w:tcPr>
          <w:p w14:paraId="6714DEC3" w14:textId="73CDB918" w:rsidR="004C080E" w:rsidRDefault="004C080E" w:rsidP="000C534A">
            <w:pPr>
              <w:pStyle w:val="Table"/>
            </w:pPr>
            <w:r>
              <w:t>Biosurfactant</w:t>
            </w:r>
          </w:p>
        </w:tc>
        <w:tc>
          <w:tcPr>
            <w:tcW w:w="1069" w:type="dxa"/>
            <w:vAlign w:val="center"/>
          </w:tcPr>
          <w:p w14:paraId="26B2C891" w14:textId="77777777" w:rsidR="004C080E" w:rsidRDefault="004C080E" w:rsidP="000C534A">
            <w:pPr>
              <w:pStyle w:val="Table"/>
            </w:pPr>
            <w:r>
              <w:t>0.7</w:t>
            </w:r>
          </w:p>
        </w:tc>
        <w:tc>
          <w:tcPr>
            <w:tcW w:w="1185" w:type="dxa"/>
            <w:vAlign w:val="center"/>
          </w:tcPr>
          <w:p w14:paraId="33C52177" w14:textId="77777777" w:rsidR="004C080E" w:rsidRDefault="004C080E" w:rsidP="000C534A">
            <w:pPr>
              <w:pStyle w:val="Table"/>
            </w:pPr>
            <w:r>
              <w:t>92</w:t>
            </w:r>
          </w:p>
        </w:tc>
        <w:tc>
          <w:tcPr>
            <w:tcW w:w="1184" w:type="dxa"/>
            <w:vAlign w:val="center"/>
          </w:tcPr>
          <w:p w14:paraId="2CA1B450" w14:textId="77777777" w:rsidR="004C080E" w:rsidRDefault="004C080E" w:rsidP="000C534A">
            <w:pPr>
              <w:pStyle w:val="Table"/>
            </w:pPr>
            <w:r>
              <w:t>55</w:t>
            </w:r>
          </w:p>
        </w:tc>
        <w:tc>
          <w:tcPr>
            <w:tcW w:w="1591" w:type="dxa"/>
            <w:vAlign w:val="center"/>
          </w:tcPr>
          <w:p w14:paraId="528F31FC" w14:textId="77777777" w:rsidR="004C080E" w:rsidRDefault="004C080E" w:rsidP="000C534A">
            <w:pPr>
              <w:pStyle w:val="Table"/>
            </w:pPr>
            <w:r>
              <w:t>9</w:t>
            </w:r>
          </w:p>
        </w:tc>
        <w:tc>
          <w:tcPr>
            <w:tcW w:w="1214" w:type="dxa"/>
            <w:vAlign w:val="center"/>
          </w:tcPr>
          <w:p w14:paraId="5A7D70FA" w14:textId="77777777" w:rsidR="004C080E" w:rsidRDefault="004C080E" w:rsidP="000C534A">
            <w:pPr>
              <w:pStyle w:val="Table"/>
            </w:pPr>
            <w:r>
              <w:t>61</w:t>
            </w:r>
          </w:p>
        </w:tc>
      </w:tr>
    </w:tbl>
    <w:p w14:paraId="589E610A" w14:textId="77777777" w:rsidR="006F50CE" w:rsidRDefault="006F50CE" w:rsidP="006F50CE">
      <w:pPr>
        <w:pStyle w:val="Caption"/>
      </w:pPr>
      <w:bookmarkStart w:id="176" w:name="_Ref118853629"/>
    </w:p>
    <w:p w14:paraId="77AA7E95" w14:textId="22705F91" w:rsidR="009347BA" w:rsidRDefault="006F50CE" w:rsidP="00F5153F">
      <w:pPr>
        <w:pStyle w:val="NoSpacing"/>
      </w:pPr>
      <w:bookmarkStart w:id="177" w:name="_Ref119891066"/>
      <w:bookmarkStart w:id="178" w:name="_Toc121470315"/>
      <w:r>
        <w:t xml:space="preserve">Table </w:t>
      </w:r>
      <w:fldSimple w:instr=" SEQ Table \* ARABIC ">
        <w:r w:rsidR="002F3906">
          <w:rPr>
            <w:noProof/>
          </w:rPr>
          <w:t>8</w:t>
        </w:r>
      </w:fldSimple>
      <w:bookmarkEnd w:id="176"/>
      <w:bookmarkEnd w:id="177"/>
      <w:r>
        <w:t xml:space="preserve"> - Summary of IFT, contact angle, surfactant adsorption, and oil recovery experiment results using produced brine and surfactants at 2 gpt concentration.</w:t>
      </w:r>
      <w:bookmarkEnd w:id="178"/>
      <w:r w:rsidR="00EA666A">
        <w:br w:type="page"/>
      </w:r>
    </w:p>
    <w:p w14:paraId="22AA0DA8" w14:textId="6159F018" w:rsidR="007B18F6" w:rsidRDefault="00EC60E5" w:rsidP="00652013">
      <w:pPr>
        <w:pStyle w:val="Heading1"/>
        <w:jc w:val="both"/>
      </w:pPr>
      <w:bookmarkStart w:id="179" w:name="_Toc118484078"/>
      <w:bookmarkStart w:id="180" w:name="_Toc118485290"/>
      <w:bookmarkStart w:id="181" w:name="_Toc121470270"/>
      <w:r>
        <w:lastRenderedPageBreak/>
        <w:t xml:space="preserve">: </w:t>
      </w:r>
      <w:r w:rsidR="007553AF">
        <w:t>Conclusions</w:t>
      </w:r>
      <w:bookmarkEnd w:id="179"/>
      <w:bookmarkEnd w:id="180"/>
      <w:r w:rsidR="007C1AE4">
        <w:t xml:space="preserve">, </w:t>
      </w:r>
      <w:r w:rsidR="00826A34">
        <w:t>Surfactant Selection</w:t>
      </w:r>
      <w:r w:rsidR="007C1AE4">
        <w:t xml:space="preserve"> </w:t>
      </w:r>
      <w:r w:rsidR="00652013">
        <w:t>Strategy</w:t>
      </w:r>
      <w:r w:rsidR="00097356">
        <w:t xml:space="preserve"> </w:t>
      </w:r>
      <w:r w:rsidR="007C1AE4">
        <w:t xml:space="preserve">and Future </w:t>
      </w:r>
      <w:r w:rsidR="00652013">
        <w:t xml:space="preserve">Work </w:t>
      </w:r>
      <w:r w:rsidR="007C1AE4">
        <w:t>Recommendations</w:t>
      </w:r>
      <w:bookmarkEnd w:id="181"/>
    </w:p>
    <w:p w14:paraId="2C2F1D09" w14:textId="7EFEB1FD" w:rsidR="007C1AE4" w:rsidRDefault="007C1AE4" w:rsidP="007C1AE4">
      <w:pPr>
        <w:pStyle w:val="Heading2"/>
      </w:pPr>
      <w:bookmarkStart w:id="182" w:name="_Toc121470271"/>
      <w:r>
        <w:t>5.1 Conclusions</w:t>
      </w:r>
      <w:bookmarkEnd w:id="182"/>
    </w:p>
    <w:p w14:paraId="4BA5D984" w14:textId="1A8DF6A9" w:rsidR="00F43960" w:rsidRDefault="00824E9E" w:rsidP="00442F35">
      <w:r>
        <w:t>Currently</w:t>
      </w:r>
      <w:r w:rsidR="00955132">
        <w:t xml:space="preserve"> </w:t>
      </w:r>
      <w:r w:rsidR="00546D42">
        <w:t xml:space="preserve">available </w:t>
      </w:r>
      <w:r>
        <w:t xml:space="preserve">literature </w:t>
      </w:r>
      <w:r w:rsidR="00546D42">
        <w:t>lacks</w:t>
      </w:r>
      <w:r w:rsidR="006C3D7C">
        <w:t xml:space="preserve"> </w:t>
      </w:r>
      <w:r w:rsidR="001166BB">
        <w:t xml:space="preserve">a </w:t>
      </w:r>
      <w:r w:rsidR="00C22AFB">
        <w:t>study o</w:t>
      </w:r>
      <w:r w:rsidR="00751730">
        <w:t>n</w:t>
      </w:r>
      <w:r w:rsidR="00C22AFB">
        <w:t xml:space="preserve"> </w:t>
      </w:r>
      <w:r w:rsidR="001E6ED5">
        <w:t xml:space="preserve">the </w:t>
      </w:r>
      <w:r w:rsidR="00442F35">
        <w:t xml:space="preserve">combined effect of IFT and wettability on oil recovery </w:t>
      </w:r>
      <w:r w:rsidR="001E6ED5">
        <w:t>and</w:t>
      </w:r>
      <w:r w:rsidR="00442F35">
        <w:t xml:space="preserve"> surfactant adsorption</w:t>
      </w:r>
      <w:r w:rsidR="00751730">
        <w:t xml:space="preserve"> </w:t>
      </w:r>
      <w:r w:rsidR="009D49BF">
        <w:t>on</w:t>
      </w:r>
      <w:r w:rsidR="00751730">
        <w:t xml:space="preserve"> </w:t>
      </w:r>
      <w:r w:rsidR="00BF4722">
        <w:t xml:space="preserve">shaly </w:t>
      </w:r>
      <w:r w:rsidR="001E6ED5">
        <w:t>sandstone</w:t>
      </w:r>
      <w:r w:rsidR="001A4B17">
        <w:t xml:space="preserve">. </w:t>
      </w:r>
      <w:r w:rsidR="00442F35">
        <w:t xml:space="preserve">Literature </w:t>
      </w:r>
      <w:r w:rsidR="00A4650C">
        <w:t>is mainly</w:t>
      </w:r>
      <w:r w:rsidR="00D644B8">
        <w:t xml:space="preserve"> </w:t>
      </w:r>
      <w:r w:rsidR="00CF2CB4">
        <w:t xml:space="preserve">focused </w:t>
      </w:r>
      <w:r w:rsidR="00A4650C">
        <w:t>on</w:t>
      </w:r>
      <w:r w:rsidR="00442F35">
        <w:t xml:space="preserve"> surfactant adsorption o</w:t>
      </w:r>
      <w:r w:rsidR="00326F59">
        <w:t>n</w:t>
      </w:r>
      <w:r w:rsidR="00442F35">
        <w:t xml:space="preserve"> pure minerals</w:t>
      </w:r>
      <w:r w:rsidR="00903EA1">
        <w:t xml:space="preserve"> (clays and quartz)</w:t>
      </w:r>
      <w:r w:rsidR="00A52541">
        <w:t>, clean sandstone</w:t>
      </w:r>
      <w:r w:rsidR="0011686E">
        <w:t>s</w:t>
      </w:r>
      <w:r w:rsidR="00A52541">
        <w:t xml:space="preserve">, </w:t>
      </w:r>
      <w:r w:rsidR="001A4B17">
        <w:t>and</w:t>
      </w:r>
      <w:r w:rsidR="00442F35">
        <w:t xml:space="preserve"> carbonates</w:t>
      </w:r>
      <w:r w:rsidR="00D8495D">
        <w:t xml:space="preserve">. </w:t>
      </w:r>
      <w:r w:rsidR="00A7663D">
        <w:t>Also, m</w:t>
      </w:r>
      <w:r w:rsidR="008627E8">
        <w:t>ost surfactant testing using microbial surfactant</w:t>
      </w:r>
      <w:r w:rsidR="007435EB">
        <w:t>s</w:t>
      </w:r>
      <w:r w:rsidR="008627E8">
        <w:t xml:space="preserve"> have been done at low salinity and temperature. Though some studies </w:t>
      </w:r>
      <w:r w:rsidR="0030590E">
        <w:t>claim</w:t>
      </w:r>
      <w:r w:rsidR="008627E8">
        <w:t xml:space="preserve"> that microbial surfactants work at high TDS and </w:t>
      </w:r>
      <w:r w:rsidR="0030590E">
        <w:t>temperatures</w:t>
      </w:r>
      <w:r w:rsidR="008627E8">
        <w:t xml:space="preserve">, no </w:t>
      </w:r>
      <w:r w:rsidR="00F43960">
        <w:t>thorough experimental investigation ha</w:t>
      </w:r>
      <w:r w:rsidR="009C27A3">
        <w:t>ve</w:t>
      </w:r>
      <w:r w:rsidR="00F43960">
        <w:t xml:space="preserve"> been done on plug samples.</w:t>
      </w:r>
      <w:r w:rsidR="00807BDD">
        <w:t xml:space="preserve">  </w:t>
      </w:r>
      <w:r w:rsidR="006A5B8C">
        <w:t xml:space="preserve">As well as there is </w:t>
      </w:r>
      <w:r w:rsidR="00AC6BA2">
        <w:t xml:space="preserve">a </w:t>
      </w:r>
      <w:r w:rsidR="00807BDD">
        <w:t>pa</w:t>
      </w:r>
      <w:r w:rsidR="00971234">
        <w:t>ucity</w:t>
      </w:r>
      <w:r w:rsidR="006A5B8C">
        <w:t xml:space="preserve"> of literature on </w:t>
      </w:r>
      <w:r w:rsidR="00F43960">
        <w:t>sandstone with clay</w:t>
      </w:r>
      <w:r w:rsidR="006457AD">
        <w:t>s</w:t>
      </w:r>
      <w:r w:rsidR="006A5B8C">
        <w:t xml:space="preserve"> using amphoteric surfactants.</w:t>
      </w:r>
    </w:p>
    <w:p w14:paraId="28F591C4" w14:textId="36C3ED82" w:rsidR="00246134" w:rsidRDefault="00F43960" w:rsidP="00C9210F">
      <w:pPr>
        <w:ind w:firstLine="360"/>
      </w:pPr>
      <w:r>
        <w:t xml:space="preserve">This study tried to </w:t>
      </w:r>
      <w:r w:rsidR="00507E1A">
        <w:t xml:space="preserve">close this gap </w:t>
      </w:r>
      <w:r w:rsidR="00824E9E">
        <w:t>by testing t</w:t>
      </w:r>
      <w:r w:rsidR="00246134">
        <w:t xml:space="preserve">wo amphoteric surfactants and one </w:t>
      </w:r>
      <w:r w:rsidR="00A748D8">
        <w:t xml:space="preserve">nonionic </w:t>
      </w:r>
      <w:r w:rsidR="00246134">
        <w:t xml:space="preserve">biosurfactant especially designed </w:t>
      </w:r>
      <w:r w:rsidR="00246134" w:rsidRPr="00824E9E">
        <w:rPr>
          <w:rFonts w:eastAsiaTheme="minorHAnsi"/>
        </w:rPr>
        <w:t xml:space="preserve">to be stable in </w:t>
      </w:r>
      <w:r w:rsidR="00217C69" w:rsidRPr="00824E9E">
        <w:rPr>
          <w:rFonts w:eastAsiaTheme="minorHAnsi"/>
        </w:rPr>
        <w:t>reservoirs</w:t>
      </w:r>
      <w:r w:rsidR="00246134" w:rsidRPr="00824E9E">
        <w:rPr>
          <w:rFonts w:eastAsiaTheme="minorHAnsi"/>
        </w:rPr>
        <w:t xml:space="preserve"> with high TDS and temperature </w:t>
      </w:r>
      <w:r w:rsidR="006457AD">
        <w:rPr>
          <w:rFonts w:eastAsiaTheme="minorHAnsi"/>
        </w:rPr>
        <w:t>on shaly sandstone</w:t>
      </w:r>
      <w:r w:rsidR="00E66D05">
        <w:rPr>
          <w:rFonts w:eastAsiaTheme="minorHAnsi"/>
        </w:rPr>
        <w:t>s</w:t>
      </w:r>
      <w:r w:rsidR="00246134">
        <w:t>.</w:t>
      </w:r>
      <w:r w:rsidR="00C9210F">
        <w:t xml:space="preserve"> </w:t>
      </w:r>
      <w:r w:rsidR="00824E9E">
        <w:t xml:space="preserve">Following are the observations and conclusions which can be drawn from this study: </w:t>
      </w:r>
    </w:p>
    <w:p w14:paraId="47D9C081" w14:textId="4421C277" w:rsidR="00A748D8" w:rsidRDefault="00A748D8" w:rsidP="00246134">
      <w:pPr>
        <w:pStyle w:val="ListParagraph"/>
        <w:numPr>
          <w:ilvl w:val="0"/>
          <w:numId w:val="24"/>
        </w:numPr>
      </w:pPr>
      <w:r>
        <w:t xml:space="preserve">Petrophysical analysis of plug samples used for imbibition experiments </w:t>
      </w:r>
      <w:r w:rsidR="00217C69">
        <w:t>shows</w:t>
      </w:r>
      <w:r>
        <w:t xml:space="preserve"> that t</w:t>
      </w:r>
      <w:r w:rsidR="007C23E2">
        <w:t xml:space="preserve">he main constituents </w:t>
      </w:r>
      <w:r w:rsidR="00A24FFF">
        <w:t>are</w:t>
      </w:r>
      <w:r w:rsidR="007C23E2">
        <w:t xml:space="preserve"> q</w:t>
      </w:r>
      <w:r>
        <w:t xml:space="preserve">uartz </w:t>
      </w:r>
      <w:r w:rsidR="007C23E2">
        <w:t>(</w:t>
      </w:r>
      <w:r>
        <w:t>41 to 54 wt.%</w:t>
      </w:r>
      <w:r w:rsidR="007C23E2">
        <w:t>)</w:t>
      </w:r>
      <w:r>
        <w:t xml:space="preserve"> and clays </w:t>
      </w:r>
      <w:r w:rsidR="007C23E2">
        <w:t>(</w:t>
      </w:r>
      <w:r>
        <w:t>9 to 34 wt.%</w:t>
      </w:r>
      <w:r w:rsidR="007C23E2">
        <w:t>).</w:t>
      </w:r>
    </w:p>
    <w:p w14:paraId="77AC1307" w14:textId="72233EA9" w:rsidR="00E30D3E" w:rsidRDefault="00E30D3E" w:rsidP="00E30D3E">
      <w:pPr>
        <w:pStyle w:val="ListParagraph"/>
        <w:numPr>
          <w:ilvl w:val="0"/>
          <w:numId w:val="24"/>
        </w:numPr>
        <w:rPr>
          <w:rFonts w:cs="Times New Roman"/>
        </w:rPr>
      </w:pPr>
      <w:r w:rsidRPr="00E30D3E">
        <w:rPr>
          <w:rFonts w:cs="Times New Roman"/>
        </w:rPr>
        <w:t xml:space="preserve">Fluid/fluid interactions between crude oil and surfactants </w:t>
      </w:r>
      <w:r w:rsidRPr="00E30D3E">
        <w:rPr>
          <w:rFonts w:eastAsiaTheme="minorHAnsi" w:cs="Times New Roman"/>
        </w:rPr>
        <w:t xml:space="preserve">showed a reduction in IFT, with </w:t>
      </w:r>
      <w:r w:rsidRPr="00E30D3E">
        <w:rPr>
          <w:rFonts w:cs="Times New Roman"/>
        </w:rPr>
        <w:t xml:space="preserve">biosurfactant showing </w:t>
      </w:r>
      <w:r w:rsidR="00217C69">
        <w:rPr>
          <w:rFonts w:cs="Times New Roman"/>
        </w:rPr>
        <w:t xml:space="preserve">a </w:t>
      </w:r>
      <w:r w:rsidR="003975D7">
        <w:rPr>
          <w:rFonts w:cs="Times New Roman"/>
        </w:rPr>
        <w:t xml:space="preserve">maximum </w:t>
      </w:r>
      <w:r w:rsidRPr="00E30D3E">
        <w:rPr>
          <w:rFonts w:cs="Times New Roman"/>
        </w:rPr>
        <w:t>95% reduction in IFT compared to produced brine.</w:t>
      </w:r>
    </w:p>
    <w:p w14:paraId="5199E6E5" w14:textId="4C52A119" w:rsidR="00C93C4C" w:rsidRPr="00C93C4C" w:rsidRDefault="00E30D3E" w:rsidP="00C93C4C">
      <w:pPr>
        <w:pStyle w:val="ListParagraph"/>
        <w:numPr>
          <w:ilvl w:val="0"/>
          <w:numId w:val="24"/>
        </w:numPr>
        <w:rPr>
          <w:rFonts w:cs="Times New Roman"/>
        </w:rPr>
      </w:pPr>
      <w:r w:rsidRPr="00E30D3E">
        <w:t xml:space="preserve">Rock/fluid interaction between rock samples and surfactants </w:t>
      </w:r>
      <w:r w:rsidRPr="00E30D3E">
        <w:rPr>
          <w:rFonts w:eastAsiaTheme="minorHAnsi"/>
          <w:szCs w:val="20"/>
        </w:rPr>
        <w:t xml:space="preserve">showed </w:t>
      </w:r>
      <w:r w:rsidRPr="00E30D3E">
        <w:rPr>
          <w:rFonts w:eastAsiaTheme="minorHAnsi"/>
        </w:rPr>
        <w:t xml:space="preserve">that </w:t>
      </w:r>
      <w:r w:rsidR="00390027">
        <w:rPr>
          <w:rFonts w:eastAsiaTheme="minorHAnsi"/>
        </w:rPr>
        <w:t>the initial wettability of sandstone samples is oil-and-intermediate wet</w:t>
      </w:r>
      <w:r w:rsidR="00713C2C">
        <w:rPr>
          <w:rFonts w:eastAsiaTheme="minorHAnsi"/>
        </w:rPr>
        <w:t>.</w:t>
      </w:r>
    </w:p>
    <w:p w14:paraId="397393FD" w14:textId="114DD9C2" w:rsidR="00713C2C" w:rsidRPr="00713C2C" w:rsidRDefault="00390027" w:rsidP="00713C2C">
      <w:pPr>
        <w:pStyle w:val="ListParagraph"/>
        <w:numPr>
          <w:ilvl w:val="0"/>
          <w:numId w:val="24"/>
        </w:numPr>
        <w:rPr>
          <w:rFonts w:cs="Times New Roman"/>
        </w:rPr>
      </w:pPr>
      <w:r w:rsidRPr="00713C2C">
        <w:rPr>
          <w:rFonts w:eastAsiaTheme="minorHAnsi"/>
        </w:rPr>
        <w:t>A</w:t>
      </w:r>
      <w:r w:rsidR="00E30D3E" w:rsidRPr="00713C2C">
        <w:rPr>
          <w:rFonts w:eastAsiaTheme="minorHAnsi"/>
        </w:rPr>
        <w:t>ll the surfactants alter wettability to water wet</w:t>
      </w:r>
      <w:r w:rsidR="00217C69">
        <w:rPr>
          <w:rFonts w:eastAsiaTheme="minorHAnsi"/>
        </w:rPr>
        <w:t>,</w:t>
      </w:r>
      <w:r w:rsidR="00E30D3E" w:rsidRPr="00713C2C">
        <w:rPr>
          <w:rFonts w:eastAsiaTheme="minorHAnsi"/>
        </w:rPr>
        <w:t xml:space="preserve"> but biosurfactant </w:t>
      </w:r>
      <w:r w:rsidR="00C93C4C">
        <w:rPr>
          <w:rFonts w:eastAsiaTheme="minorHAnsi"/>
        </w:rPr>
        <w:t>was the most effective.</w:t>
      </w:r>
    </w:p>
    <w:p w14:paraId="526E49F6" w14:textId="246902DC" w:rsidR="00C85EAF" w:rsidRPr="00C85EAF" w:rsidRDefault="0086089E" w:rsidP="00F30662">
      <w:pPr>
        <w:pStyle w:val="ListParagraph"/>
        <w:numPr>
          <w:ilvl w:val="0"/>
          <w:numId w:val="24"/>
        </w:numPr>
      </w:pPr>
      <w:r w:rsidRPr="0086089E">
        <w:t xml:space="preserve">Surfactant adsorption measurements </w:t>
      </w:r>
      <w:r w:rsidR="00F30662">
        <w:t xml:space="preserve">showed that amphoteric surfactants get strongly adsorbed, while </w:t>
      </w:r>
      <w:r w:rsidR="00BC25BD">
        <w:t>bio</w:t>
      </w:r>
      <w:r w:rsidR="00F30662">
        <w:t xml:space="preserve">surfactant showed the least adsorption </w:t>
      </w:r>
      <w:r w:rsidR="00C85EAF" w:rsidRPr="00F30662">
        <w:rPr>
          <w:rFonts w:eastAsiaTheme="minorHAnsi"/>
          <w:szCs w:val="20"/>
        </w:rPr>
        <w:t>on studied sandstone.</w:t>
      </w:r>
    </w:p>
    <w:p w14:paraId="3A9985B1" w14:textId="6872D818" w:rsidR="00E30D3E" w:rsidRPr="00390027" w:rsidRDefault="00584A92" w:rsidP="00390027">
      <w:pPr>
        <w:pStyle w:val="ListParagraph"/>
        <w:numPr>
          <w:ilvl w:val="0"/>
          <w:numId w:val="24"/>
        </w:numPr>
        <w:rPr>
          <w:rFonts w:cs="Times New Roman"/>
        </w:rPr>
      </w:pPr>
      <w:r>
        <w:rPr>
          <w:rFonts w:eastAsiaTheme="minorHAnsi"/>
          <w:szCs w:val="20"/>
        </w:rPr>
        <w:lastRenderedPageBreak/>
        <w:t>For amphoteric surfactant</w:t>
      </w:r>
      <w:r w:rsidR="008A4F24">
        <w:rPr>
          <w:rFonts w:eastAsiaTheme="minorHAnsi"/>
          <w:szCs w:val="20"/>
        </w:rPr>
        <w:t>s</w:t>
      </w:r>
      <w:r>
        <w:rPr>
          <w:rFonts w:eastAsiaTheme="minorHAnsi"/>
          <w:szCs w:val="20"/>
        </w:rPr>
        <w:t xml:space="preserve">, </w:t>
      </w:r>
      <w:r w:rsidR="00F63E83">
        <w:rPr>
          <w:rFonts w:eastAsiaTheme="minorHAnsi"/>
        </w:rPr>
        <w:t>increase in clay concentration increase</w:t>
      </w:r>
      <w:r w:rsidR="00890258">
        <w:rPr>
          <w:rFonts w:eastAsiaTheme="minorHAnsi"/>
        </w:rPr>
        <w:t>d</w:t>
      </w:r>
      <w:r w:rsidR="00F63E83">
        <w:rPr>
          <w:rFonts w:eastAsiaTheme="minorHAnsi"/>
        </w:rPr>
        <w:t xml:space="preserve"> surfactant adsorption</w:t>
      </w:r>
      <w:r w:rsidR="00217C69">
        <w:rPr>
          <w:rFonts w:eastAsiaTheme="minorHAnsi"/>
        </w:rPr>
        <w:t>,</w:t>
      </w:r>
      <w:r w:rsidR="00F63E83">
        <w:rPr>
          <w:rFonts w:eastAsiaTheme="minorHAnsi"/>
        </w:rPr>
        <w:t xml:space="preserve"> which show</w:t>
      </w:r>
      <w:r w:rsidR="00890258">
        <w:rPr>
          <w:rFonts w:eastAsiaTheme="minorHAnsi"/>
        </w:rPr>
        <w:t>ed</w:t>
      </w:r>
      <w:r w:rsidR="00F63E83">
        <w:rPr>
          <w:rFonts w:eastAsiaTheme="minorHAnsi"/>
        </w:rPr>
        <w:t xml:space="preserve"> presence of clays is the main reason for higher surfactant </w:t>
      </w:r>
      <w:r w:rsidR="009B56F3">
        <w:rPr>
          <w:rFonts w:eastAsiaTheme="minorHAnsi"/>
        </w:rPr>
        <w:t>adsorption</w:t>
      </w:r>
      <w:r w:rsidR="00F30662">
        <w:rPr>
          <w:rFonts w:eastAsiaTheme="minorHAnsi"/>
        </w:rPr>
        <w:t xml:space="preserve">. </w:t>
      </w:r>
      <w:r w:rsidR="00B50B99">
        <w:rPr>
          <w:rFonts w:eastAsiaTheme="minorHAnsi"/>
        </w:rPr>
        <w:t xml:space="preserve">This </w:t>
      </w:r>
      <w:r w:rsidR="00890258">
        <w:rPr>
          <w:rFonts w:eastAsiaTheme="minorHAnsi"/>
        </w:rPr>
        <w:t>was</w:t>
      </w:r>
      <w:r w:rsidR="00B50B99">
        <w:rPr>
          <w:rFonts w:eastAsiaTheme="minorHAnsi"/>
        </w:rPr>
        <w:t xml:space="preserve"> not observed for biosurfactant. </w:t>
      </w:r>
    </w:p>
    <w:p w14:paraId="3BFDF360" w14:textId="036E8296" w:rsidR="00246134" w:rsidRDefault="00246134" w:rsidP="008268BD">
      <w:pPr>
        <w:pStyle w:val="ListParagraph"/>
        <w:numPr>
          <w:ilvl w:val="0"/>
          <w:numId w:val="24"/>
        </w:numPr>
      </w:pPr>
      <w:r w:rsidRPr="008268BD">
        <w:rPr>
          <w:rFonts w:eastAsiaTheme="minorHAnsi"/>
          <w:szCs w:val="20"/>
        </w:rPr>
        <w:t xml:space="preserve">With biosurfactant having </w:t>
      </w:r>
      <w:r w:rsidR="00045F5D">
        <w:rPr>
          <w:rFonts w:eastAsiaTheme="minorHAnsi"/>
          <w:szCs w:val="20"/>
        </w:rPr>
        <w:t>l</w:t>
      </w:r>
      <w:r w:rsidRPr="008268BD">
        <w:rPr>
          <w:rFonts w:eastAsiaTheme="minorHAnsi"/>
          <w:szCs w:val="20"/>
        </w:rPr>
        <w:t xml:space="preserve">ow IFT, most reduction in wettability, and least surfactant adsorption, we see highest oil recovery, </w:t>
      </w:r>
      <w:r w:rsidR="00B53CF0">
        <w:rPr>
          <w:rFonts w:eastAsiaTheme="minorHAnsi"/>
          <w:szCs w:val="20"/>
        </w:rPr>
        <w:t xml:space="preserve">while </w:t>
      </w:r>
      <w:r w:rsidRPr="008268BD">
        <w:rPr>
          <w:rFonts w:eastAsiaTheme="minorHAnsi"/>
          <w:szCs w:val="20"/>
        </w:rPr>
        <w:t xml:space="preserve">amphoteric surfactants show approximately 16 to 24% lower oil recovery than </w:t>
      </w:r>
      <w:r w:rsidR="008268BD">
        <w:rPr>
          <w:rFonts w:eastAsiaTheme="minorHAnsi"/>
          <w:szCs w:val="20"/>
        </w:rPr>
        <w:t xml:space="preserve">produced </w:t>
      </w:r>
      <w:r w:rsidRPr="008268BD">
        <w:rPr>
          <w:rFonts w:eastAsiaTheme="minorHAnsi"/>
          <w:szCs w:val="20"/>
        </w:rPr>
        <w:t xml:space="preserve">brine due to </w:t>
      </w:r>
      <w:r w:rsidRPr="008268BD">
        <w:t xml:space="preserve">loss of surfactants </w:t>
      </w:r>
      <w:r w:rsidR="00DE2042">
        <w:t xml:space="preserve">and precipitation of divalent cations </w:t>
      </w:r>
      <w:r w:rsidRPr="008268BD">
        <w:t xml:space="preserve">from bulk volume to </w:t>
      </w:r>
      <w:r w:rsidR="00A312F1">
        <w:t>rock surface.</w:t>
      </w:r>
    </w:p>
    <w:p w14:paraId="186E7003" w14:textId="49548DE3" w:rsidR="00246134" w:rsidRPr="00D41FAC" w:rsidRDefault="00246134" w:rsidP="00246134">
      <w:pPr>
        <w:pStyle w:val="ListParagraph"/>
        <w:numPr>
          <w:ilvl w:val="0"/>
          <w:numId w:val="24"/>
        </w:numPr>
      </w:pPr>
      <w:r w:rsidRPr="00D41FAC">
        <w:t xml:space="preserve">This study shows that wettability and IFT alteration always do not favor higher oil recovery in </w:t>
      </w:r>
      <w:r w:rsidR="00033FFC">
        <w:t xml:space="preserve">shaly </w:t>
      </w:r>
      <w:r w:rsidRPr="00D41FAC">
        <w:t xml:space="preserve">sandstone reservoirs with high TDS and temperature. Thoroughly performed lab experiments are required with </w:t>
      </w:r>
      <w:r w:rsidR="00065463">
        <w:t>plug</w:t>
      </w:r>
      <w:r w:rsidRPr="00D41FAC">
        <w:t xml:space="preserve"> samples, </w:t>
      </w:r>
      <w:r w:rsidR="005843FD">
        <w:t xml:space="preserve">produced </w:t>
      </w:r>
      <w:r w:rsidRPr="00D41FAC">
        <w:t>brine, and crude oil before using any type of surfactant for chemical EOR operation at well site.</w:t>
      </w:r>
    </w:p>
    <w:p w14:paraId="0ED6BE84" w14:textId="165CB191" w:rsidR="007B1F44" w:rsidRPr="00581567" w:rsidRDefault="00D41FAC" w:rsidP="00581567">
      <w:pPr>
        <w:pStyle w:val="ListParagraph"/>
        <w:numPr>
          <w:ilvl w:val="0"/>
          <w:numId w:val="24"/>
        </w:numPr>
      </w:pPr>
      <w:r w:rsidRPr="00D41FAC">
        <w:t xml:space="preserve">This study suggests that </w:t>
      </w:r>
      <w:r w:rsidRPr="00D41FAC">
        <w:rPr>
          <w:rFonts w:eastAsiaTheme="minorHAnsi"/>
        </w:rPr>
        <w:t xml:space="preserve">biosurfactant </w:t>
      </w:r>
      <w:r w:rsidRPr="00D41FAC">
        <w:rPr>
          <w:rFonts w:eastAsiaTheme="minorHAnsi"/>
          <w:szCs w:val="20"/>
        </w:rPr>
        <w:t>can be effectively used in Bone Spring sandstone with high TDS and temperature.</w:t>
      </w:r>
      <w:r>
        <w:rPr>
          <w:rFonts w:eastAsiaTheme="minorHAnsi"/>
          <w:szCs w:val="20"/>
        </w:rPr>
        <w:t xml:space="preserve"> </w:t>
      </w:r>
      <w:r w:rsidRPr="00D41FAC">
        <w:rPr>
          <w:rFonts w:eastAsiaTheme="minorHAnsi"/>
        </w:rPr>
        <w:t>Considering the economics, it might be more favorable to use only produced brine with no surfactant in a field-scale application.</w:t>
      </w:r>
      <w:bookmarkStart w:id="183" w:name="_Toc118484079"/>
      <w:bookmarkStart w:id="184" w:name="_Toc118485291"/>
      <w:bookmarkEnd w:id="183"/>
      <w:bookmarkEnd w:id="184"/>
    </w:p>
    <w:p w14:paraId="38D35415" w14:textId="6B94A6A3" w:rsidR="00826A34" w:rsidRDefault="007C1AE4" w:rsidP="007C1AE4">
      <w:pPr>
        <w:pStyle w:val="Heading2"/>
      </w:pPr>
      <w:bookmarkStart w:id="185" w:name="_Toc121470272"/>
      <w:r>
        <w:t xml:space="preserve">5.2 </w:t>
      </w:r>
      <w:r w:rsidR="00826A34">
        <w:t>Surfactant Selection</w:t>
      </w:r>
      <w:r w:rsidR="00581567">
        <w:t xml:space="preserve"> Strategy</w:t>
      </w:r>
      <w:r w:rsidR="00A03BA4" w:rsidRPr="00A03BA4">
        <w:t xml:space="preserve"> </w:t>
      </w:r>
      <w:r w:rsidR="00A03BA4">
        <w:t>for Sandstones</w:t>
      </w:r>
      <w:bookmarkEnd w:id="185"/>
    </w:p>
    <w:p w14:paraId="1E069319" w14:textId="79243AE1" w:rsidR="00A070E5" w:rsidRDefault="00277504" w:rsidP="00E66010">
      <w:r>
        <w:t xml:space="preserve">This study shows that a set of correlated laboratory experiments are required before using any surfactant </w:t>
      </w:r>
      <w:r w:rsidR="005C1DE9">
        <w:t xml:space="preserve">for field </w:t>
      </w:r>
      <w:r w:rsidR="00E605AF">
        <w:t>trial.</w:t>
      </w:r>
      <w:r w:rsidR="005C1DE9">
        <w:t xml:space="preserve"> </w:t>
      </w:r>
      <w:r w:rsidR="009A6407">
        <w:t>Below are the</w:t>
      </w:r>
      <w:r w:rsidR="00A070E5">
        <w:t xml:space="preserve"> </w:t>
      </w:r>
      <w:r w:rsidR="009A6407">
        <w:t xml:space="preserve">standardized experimental tests which we </w:t>
      </w:r>
      <w:r w:rsidR="000463F1">
        <w:t>recommend</w:t>
      </w:r>
      <w:r w:rsidR="009A6407">
        <w:t xml:space="preserve"> </w:t>
      </w:r>
      <w:r w:rsidR="00E130A8">
        <w:t>on the basis of</w:t>
      </w:r>
      <w:r w:rsidR="00432992">
        <w:t xml:space="preserve"> </w:t>
      </w:r>
      <w:r w:rsidR="00E130A8">
        <w:t>experimental observation</w:t>
      </w:r>
      <w:r w:rsidR="00A03BA4">
        <w:t>s</w:t>
      </w:r>
      <w:r w:rsidR="00E130A8">
        <w:t xml:space="preserve"> and literature revie</w:t>
      </w:r>
      <w:r w:rsidR="00E46861">
        <w:t>w</w:t>
      </w:r>
      <w:r w:rsidR="00183C81">
        <w:t xml:space="preserve"> on plug samples of 1 inch diameter and 1 to </w:t>
      </w:r>
      <w:r w:rsidR="00D83713">
        <w:t>2</w:t>
      </w:r>
      <w:r w:rsidR="001E09D7">
        <w:t xml:space="preserve"> </w:t>
      </w:r>
      <w:r w:rsidR="00183C81">
        <w:t>inc</w:t>
      </w:r>
      <w:r w:rsidR="003365F8">
        <w:t>h</w:t>
      </w:r>
      <w:r w:rsidR="00183C81">
        <w:t xml:space="preserve"> thickness</w:t>
      </w:r>
      <w:r w:rsidR="004960A0">
        <w:t>:</w:t>
      </w:r>
    </w:p>
    <w:p w14:paraId="0A0AF4A4" w14:textId="06542DD9" w:rsidR="00F06E07" w:rsidRDefault="00F06E07" w:rsidP="00E66010">
      <w:pPr>
        <w:pStyle w:val="ListParagraph"/>
        <w:numPr>
          <w:ilvl w:val="0"/>
          <w:numId w:val="29"/>
        </w:numPr>
      </w:pPr>
      <w:r>
        <w:t>Surfactant stability test at var</w:t>
      </w:r>
      <w:r w:rsidR="00D56FB7">
        <w:t>ying</w:t>
      </w:r>
      <w:r>
        <w:t xml:space="preserve"> concentrations at reservoir and room temperature.</w:t>
      </w:r>
    </w:p>
    <w:p w14:paraId="288F11EE" w14:textId="13AFA218" w:rsidR="00EC2C9C" w:rsidRDefault="00F50629" w:rsidP="001E316B">
      <w:pPr>
        <w:pStyle w:val="ListParagraph"/>
        <w:numPr>
          <w:ilvl w:val="0"/>
          <w:numId w:val="27"/>
        </w:numPr>
      </w:pPr>
      <w:r>
        <w:t>CMC measurement of surfactant solution</w:t>
      </w:r>
      <w:r w:rsidR="00252477">
        <w:t xml:space="preserve"> at reservoir temperature and salinity</w:t>
      </w:r>
      <w:r w:rsidR="00EC2C9C">
        <w:t>.</w:t>
      </w:r>
    </w:p>
    <w:p w14:paraId="62585541" w14:textId="33577D80" w:rsidR="005E6398" w:rsidRDefault="005E6398" w:rsidP="005E6398">
      <w:pPr>
        <w:pStyle w:val="ListParagraph"/>
        <w:numPr>
          <w:ilvl w:val="0"/>
          <w:numId w:val="27"/>
        </w:numPr>
      </w:pPr>
      <w:r>
        <w:t>IFT measurement of surfactant solution with crude oil</w:t>
      </w:r>
      <w:r w:rsidR="00097544">
        <w:t xml:space="preserve"> and produced brine</w:t>
      </w:r>
      <w:r>
        <w:t xml:space="preserve"> </w:t>
      </w:r>
      <w:r w:rsidR="00602970">
        <w:t xml:space="preserve">at reservoir </w:t>
      </w:r>
      <w:r w:rsidR="0031764D">
        <w:t xml:space="preserve">and room </w:t>
      </w:r>
      <w:r w:rsidR="00097544">
        <w:t>temperature</w:t>
      </w:r>
      <w:r w:rsidR="00592921">
        <w:t>.</w:t>
      </w:r>
    </w:p>
    <w:p w14:paraId="4E8C87CE" w14:textId="664CF186" w:rsidR="00097544" w:rsidRDefault="00E36B1F" w:rsidP="00A070E5">
      <w:pPr>
        <w:pStyle w:val="ListParagraph"/>
        <w:numPr>
          <w:ilvl w:val="0"/>
          <w:numId w:val="26"/>
        </w:numPr>
      </w:pPr>
      <w:r>
        <w:lastRenderedPageBreak/>
        <w:t>Contact angle</w:t>
      </w:r>
      <w:r w:rsidR="00097544">
        <w:t xml:space="preserve"> measurement of reservoir rock with surfactant solution and produced brine. First, after 100% oil saturation and second, after imbi</w:t>
      </w:r>
      <w:r w:rsidR="008848C3">
        <w:t>bi</w:t>
      </w:r>
      <w:r w:rsidR="00097544">
        <w:t>tion with surfactant solution and produced brine</w:t>
      </w:r>
      <w:r w:rsidR="00221140">
        <w:t xml:space="preserve"> to measure wettability alteration.</w:t>
      </w:r>
    </w:p>
    <w:p w14:paraId="31C28C4C" w14:textId="04EFCA02" w:rsidR="00E130A8" w:rsidRDefault="004D2FE3" w:rsidP="0074074B">
      <w:r>
        <w:t xml:space="preserve">IFT and contact angle measurements are the first order of tests </w:t>
      </w:r>
      <w:r w:rsidR="002B6BE6">
        <w:t>that</w:t>
      </w:r>
      <w:r>
        <w:t xml:space="preserve"> should be performed after surfactant stability and CMC measurement for every surfactant. These tests </w:t>
      </w:r>
      <w:r w:rsidR="002B6BE6">
        <w:t>give</w:t>
      </w:r>
      <w:r>
        <w:t xml:space="preserve"> us </w:t>
      </w:r>
      <w:r w:rsidR="000B2CD1">
        <w:t>a</w:t>
      </w:r>
      <w:r w:rsidR="003800EF">
        <w:t xml:space="preserve"> first</w:t>
      </w:r>
      <w:r w:rsidR="000B2CD1">
        <w:t xml:space="preserve"> indication</w:t>
      </w:r>
      <w:r>
        <w:t xml:space="preserve"> </w:t>
      </w:r>
      <w:r w:rsidR="002B6BE6">
        <w:t xml:space="preserve">of </w:t>
      </w:r>
      <w:r>
        <w:t xml:space="preserve">which surfactant </w:t>
      </w:r>
      <w:r w:rsidR="000B2CD1">
        <w:t>works the bes</w:t>
      </w:r>
      <w:r w:rsidR="00563E76">
        <w:t>t.</w:t>
      </w:r>
    </w:p>
    <w:p w14:paraId="737D57B6" w14:textId="5B925E58" w:rsidR="004D2FE3" w:rsidRDefault="0074074B" w:rsidP="004D2FE3">
      <w:pPr>
        <w:pStyle w:val="ListParagraph"/>
        <w:numPr>
          <w:ilvl w:val="0"/>
          <w:numId w:val="26"/>
        </w:numPr>
      </w:pPr>
      <w:r>
        <w:t>Zeta potential measurement to determine the affinity of produced brine and surfactant solution with rock surface</w:t>
      </w:r>
    </w:p>
    <w:p w14:paraId="6DE2C797" w14:textId="0458AB09" w:rsidR="004D2FE3" w:rsidRDefault="0074074B" w:rsidP="004D2FE3">
      <w:pPr>
        <w:pStyle w:val="ListParagraph"/>
        <w:numPr>
          <w:ilvl w:val="0"/>
          <w:numId w:val="26"/>
        </w:numPr>
      </w:pPr>
      <w:r>
        <w:t>Surfactant adsorption measurements to determine which surfactant shows the most surfactant adsorption on rock surface</w:t>
      </w:r>
    </w:p>
    <w:p w14:paraId="73A6316A" w14:textId="53814DC4" w:rsidR="005A0B77" w:rsidRDefault="0074074B" w:rsidP="005A0B77">
      <w:r>
        <w:t xml:space="preserve">Zeta Potential and surfactant adsorption measurements are </w:t>
      </w:r>
      <w:r w:rsidR="00B74BC9">
        <w:t xml:space="preserve">the </w:t>
      </w:r>
      <w:r>
        <w:t xml:space="preserve">second order of tests </w:t>
      </w:r>
      <w:r w:rsidR="002B6BE6">
        <w:t>that</w:t>
      </w:r>
      <w:r>
        <w:t xml:space="preserve"> should be perform</w:t>
      </w:r>
      <w:r w:rsidR="00563E76">
        <w:t>ed</w:t>
      </w:r>
      <w:r>
        <w:t xml:space="preserve"> to study the interaction between the rock surface, produced brine</w:t>
      </w:r>
      <w:r w:rsidR="002139AC">
        <w:t>,</w:t>
      </w:r>
      <w:r>
        <w:t xml:space="preserve"> and surfactant solution. These tests </w:t>
      </w:r>
      <w:r w:rsidR="002139AC">
        <w:t>give</w:t>
      </w:r>
      <w:r>
        <w:t xml:space="preserve"> us a</w:t>
      </w:r>
      <w:r w:rsidR="003800EF">
        <w:t xml:space="preserve"> second indication </w:t>
      </w:r>
      <w:r w:rsidR="002139AC">
        <w:t xml:space="preserve">of </w:t>
      </w:r>
      <w:r w:rsidR="003800EF">
        <w:t>which surfactant works the best</w:t>
      </w:r>
      <w:r w:rsidR="005A0B77">
        <w:t>.</w:t>
      </w:r>
    </w:p>
    <w:p w14:paraId="04225F5E" w14:textId="5C0618A9" w:rsidR="004D2FE3" w:rsidRDefault="005A0B77" w:rsidP="005A0B77">
      <w:pPr>
        <w:pStyle w:val="ListParagraph"/>
        <w:numPr>
          <w:ilvl w:val="0"/>
          <w:numId w:val="32"/>
        </w:numPr>
      </w:pPr>
      <w:r>
        <w:t>At the end</w:t>
      </w:r>
      <w:r w:rsidR="00063317">
        <w:t>, imbibition experiments should be conducted using oil saturated plug samples at reservoir pressure and temperature to calculate the oil recovery.</w:t>
      </w:r>
    </w:p>
    <w:p w14:paraId="3E95C4AE" w14:textId="22913D22" w:rsidR="004D2FE3" w:rsidRDefault="00C2425C" w:rsidP="004D2FE3">
      <w:r>
        <w:t>Surfactant selection for field tr</w:t>
      </w:r>
      <w:r w:rsidR="006E2715">
        <w:t>ia</w:t>
      </w:r>
      <w:r>
        <w:t xml:space="preserve">l should be based on all the measurements from IFT, contact angle, </w:t>
      </w:r>
      <w:r w:rsidR="006E2715">
        <w:t>zeta potential, surfactant adsorption</w:t>
      </w:r>
      <w:r w:rsidR="002139AC">
        <w:t>,</w:t>
      </w:r>
      <w:r w:rsidR="006E2715">
        <w:t xml:space="preserve"> and imbibition experiment. Selection should never be skewed by seeing results from one experiment</w:t>
      </w:r>
      <w:r w:rsidR="004555A2">
        <w:t>.</w:t>
      </w:r>
    </w:p>
    <w:p w14:paraId="4975359C" w14:textId="00A54E51" w:rsidR="00826A34" w:rsidRDefault="00826A34" w:rsidP="00826A34">
      <w:pPr>
        <w:pStyle w:val="Heading2"/>
      </w:pPr>
      <w:bookmarkStart w:id="186" w:name="_Toc121470273"/>
      <w:r>
        <w:t>5.3 Future Work Recommendations</w:t>
      </w:r>
      <w:bookmarkEnd w:id="186"/>
    </w:p>
    <w:p w14:paraId="0FBF6815" w14:textId="7E8BA88C" w:rsidR="00E050EA" w:rsidRDefault="00826A34" w:rsidP="00E050EA">
      <w:r>
        <w:t>This section discusses recommendations for future work</w:t>
      </w:r>
      <w:r w:rsidR="00424497">
        <w:t xml:space="preserve"> using surfactants to increase </w:t>
      </w:r>
      <w:r w:rsidR="00212706">
        <w:t xml:space="preserve">hydrocarbon </w:t>
      </w:r>
      <w:r w:rsidR="00424497">
        <w:t>recovery</w:t>
      </w:r>
      <w:r w:rsidR="00E829D3">
        <w:t xml:space="preserve"> in shaly sandstones at high TDS and temperature</w:t>
      </w:r>
      <w:r w:rsidR="00256C8C">
        <w:t>:</w:t>
      </w:r>
    </w:p>
    <w:p w14:paraId="50B03261" w14:textId="5A7D30A1" w:rsidR="00826A34" w:rsidRDefault="004738A7" w:rsidP="00F1240B">
      <w:pPr>
        <w:pStyle w:val="ListParagraph"/>
        <w:numPr>
          <w:ilvl w:val="0"/>
          <w:numId w:val="25"/>
        </w:numPr>
      </w:pPr>
      <w:r>
        <w:t>CMC measurements of surfactant solutions at reservoir temperature and salinit</w:t>
      </w:r>
      <w:r w:rsidR="00026D96">
        <w:t>y.</w:t>
      </w:r>
      <w:r w:rsidR="00D24452">
        <w:t xml:space="preserve"> </w:t>
      </w:r>
    </w:p>
    <w:p w14:paraId="315E23D8" w14:textId="40331BB0" w:rsidR="00026D96" w:rsidRDefault="00026D96" w:rsidP="00F1240B">
      <w:pPr>
        <w:pStyle w:val="ListParagraph"/>
        <w:numPr>
          <w:ilvl w:val="0"/>
          <w:numId w:val="25"/>
        </w:numPr>
      </w:pPr>
      <w:r>
        <w:lastRenderedPageBreak/>
        <w:t>Zeta potential measurements to determine the net charge on rock surface</w:t>
      </w:r>
      <w:r w:rsidR="0023274B">
        <w:t xml:space="preserve"> </w:t>
      </w:r>
      <w:r>
        <w:t>in presence of produced brine.</w:t>
      </w:r>
    </w:p>
    <w:p w14:paraId="24942A3A" w14:textId="7039DD80" w:rsidR="008D4060" w:rsidRDefault="008D4060" w:rsidP="00F1240B">
      <w:pPr>
        <w:pStyle w:val="ListParagraph"/>
        <w:numPr>
          <w:ilvl w:val="0"/>
          <w:numId w:val="25"/>
        </w:numPr>
      </w:pPr>
      <w:r>
        <w:t xml:space="preserve">TAN/TBN measurements to </w:t>
      </w:r>
      <w:r w:rsidR="005C276D">
        <w:t>calculate the concentration</w:t>
      </w:r>
      <w:r>
        <w:t xml:space="preserve"> </w:t>
      </w:r>
      <w:r w:rsidR="005C276D">
        <w:t>of</w:t>
      </w:r>
      <w:r>
        <w:t xml:space="preserve"> acidic/basic constituents</w:t>
      </w:r>
      <w:r w:rsidR="00EE2BB9">
        <w:t xml:space="preserve"> of the crude oil.</w:t>
      </w:r>
    </w:p>
    <w:p w14:paraId="2DF62E15" w14:textId="524CDF81" w:rsidR="00351C72" w:rsidRDefault="00026D96" w:rsidP="006901EF">
      <w:pPr>
        <w:pStyle w:val="ListParagraph"/>
        <w:numPr>
          <w:ilvl w:val="0"/>
          <w:numId w:val="25"/>
        </w:numPr>
      </w:pPr>
      <w:r>
        <w:t xml:space="preserve">Cation Exchange Capacity (CEC) measurements </w:t>
      </w:r>
      <w:r w:rsidR="006756CB">
        <w:t xml:space="preserve">along with UV Vis spectroscopy to </w:t>
      </w:r>
      <w:r w:rsidR="00F1240B">
        <w:t>understand surface chemistry</w:t>
      </w:r>
      <w:r w:rsidR="006901EF">
        <w:t xml:space="preserve"> and </w:t>
      </w:r>
      <w:r w:rsidR="00894374">
        <w:t xml:space="preserve">confirm </w:t>
      </w:r>
      <w:r w:rsidR="008D4060">
        <w:t xml:space="preserve">cation </w:t>
      </w:r>
      <w:r w:rsidR="00306CA4">
        <w:t>precipitation</w:t>
      </w:r>
      <w:r w:rsidR="00783CD2">
        <w:t xml:space="preserve">, followed by </w:t>
      </w:r>
      <w:r w:rsidR="00DD4B62">
        <w:t>excess</w:t>
      </w:r>
      <w:r w:rsidR="008D4060">
        <w:t xml:space="preserve"> surfactant adsorption </w:t>
      </w:r>
      <w:r w:rsidR="00306CA4">
        <w:t>is a function of</w:t>
      </w:r>
      <w:r w:rsidR="008D4060">
        <w:t xml:space="preserve"> </w:t>
      </w:r>
      <w:r w:rsidR="00317A3B">
        <w:t>mineralogy on the</w:t>
      </w:r>
      <w:r w:rsidR="00306CA4">
        <w:t xml:space="preserve"> rock surface.</w:t>
      </w:r>
    </w:p>
    <w:p w14:paraId="6F3839BA" w14:textId="6E525116" w:rsidR="007C1AE4" w:rsidRDefault="00997DB0" w:rsidP="00997DB0">
      <w:pPr>
        <w:pStyle w:val="ListParagraph"/>
        <w:numPr>
          <w:ilvl w:val="0"/>
          <w:numId w:val="25"/>
        </w:numPr>
      </w:pPr>
      <w:r>
        <w:t xml:space="preserve">Investigate </w:t>
      </w:r>
      <w:r w:rsidR="005C45FD">
        <w:t xml:space="preserve">the </w:t>
      </w:r>
      <w:r>
        <w:t>effect of</w:t>
      </w:r>
      <w:r w:rsidRPr="00997DB0">
        <w:t xml:space="preserve"> </w:t>
      </w:r>
      <w:r>
        <w:t xml:space="preserve">cation precipitation on oil recovery in shaly sandstones by low </w:t>
      </w:r>
      <w:r w:rsidR="00884A55">
        <w:t xml:space="preserve">salinity </w:t>
      </w:r>
      <w:r w:rsidR="00560419">
        <w:t>imbibition</w:t>
      </w:r>
      <w:r w:rsidR="00884A55">
        <w:t xml:space="preserve"> </w:t>
      </w:r>
      <w:r w:rsidR="00C803D7">
        <w:t>experiments</w:t>
      </w:r>
      <w:r>
        <w:t>.</w:t>
      </w:r>
    </w:p>
    <w:p w14:paraId="019DA304" w14:textId="0BD1D885" w:rsidR="00D427F2" w:rsidRPr="00560419" w:rsidRDefault="00D427F2" w:rsidP="00560419">
      <w:pPr>
        <w:pStyle w:val="ListParagraph"/>
        <w:numPr>
          <w:ilvl w:val="0"/>
          <w:numId w:val="25"/>
        </w:numPr>
      </w:pPr>
      <w:r>
        <w:t xml:space="preserve">Develop a simulation model to understand </w:t>
      </w:r>
      <w:r w:rsidR="008A7412">
        <w:t>ion pair formation and surfactant adsorption mechanisms</w:t>
      </w:r>
      <w:r>
        <w:t xml:space="preserve"> between surfactant solution and oil wet sandstone surface</w:t>
      </w:r>
      <w:r w:rsidR="008D60D3">
        <w:t xml:space="preserve"> with different types of clays</w:t>
      </w:r>
      <w:r w:rsidR="00595AC2">
        <w:t xml:space="preserve">, </w:t>
      </w:r>
      <w:r w:rsidR="00D27093">
        <w:t xml:space="preserve">composite </w:t>
      </w:r>
      <w:r w:rsidR="00A5332A">
        <w:t>rock surface</w:t>
      </w:r>
      <w:r w:rsidR="00FD275B">
        <w:t>s</w:t>
      </w:r>
      <w:r w:rsidR="00A5332A">
        <w:t xml:space="preserve"> with different types of </w:t>
      </w:r>
      <w:r w:rsidR="00595AC2">
        <w:t xml:space="preserve">minerals </w:t>
      </w:r>
      <w:r w:rsidR="00D11F9C">
        <w:t>along with presence of</w:t>
      </w:r>
      <w:r w:rsidR="00595AC2">
        <w:t xml:space="preserve"> heavy hydrocarbon.</w:t>
      </w:r>
    </w:p>
    <w:p w14:paraId="08C3901C" w14:textId="77777777" w:rsidR="00A84D0C" w:rsidRDefault="00A84D0C">
      <w:pPr>
        <w:spacing w:line="240" w:lineRule="auto"/>
        <w:jc w:val="left"/>
        <w:rPr>
          <w:rFonts w:eastAsiaTheme="majorEastAsia" w:cstheme="majorBidi"/>
          <w:b/>
          <w:color w:val="000000" w:themeColor="text1"/>
          <w:szCs w:val="32"/>
        </w:rPr>
      </w:pPr>
      <w:r>
        <w:br w:type="page"/>
      </w:r>
    </w:p>
    <w:p w14:paraId="4F7A7F57" w14:textId="0149D6D6" w:rsidR="004800EC" w:rsidRDefault="00442AD2" w:rsidP="00442AD2">
      <w:pPr>
        <w:pStyle w:val="Heading1"/>
        <w:numPr>
          <w:ilvl w:val="0"/>
          <w:numId w:val="0"/>
        </w:numPr>
      </w:pPr>
      <w:bookmarkStart w:id="187" w:name="_Toc121470274"/>
      <w:r>
        <w:lastRenderedPageBreak/>
        <w:t>References</w:t>
      </w:r>
      <w:bookmarkEnd w:id="187"/>
    </w:p>
    <w:p w14:paraId="221C4701" w14:textId="77777777" w:rsidR="00465125" w:rsidRPr="00104AC4" w:rsidRDefault="00465125" w:rsidP="00104AC4">
      <w:pPr>
        <w:pStyle w:val="ListParagraph"/>
        <w:numPr>
          <w:ilvl w:val="0"/>
          <w:numId w:val="22"/>
        </w:numPr>
        <w:rPr>
          <w:rFonts w:cs="Times New Roman"/>
        </w:rPr>
      </w:pPr>
      <w:r w:rsidRPr="00104AC4">
        <w:rPr>
          <w:rFonts w:cs="Times New Roman"/>
        </w:rPr>
        <w:t>Abdullah W., Buckley J., Carnegie A., Edwards J.</w:t>
      </w:r>
      <w:r>
        <w:rPr>
          <w:rFonts w:cs="Times New Roman"/>
        </w:rPr>
        <w:t>J.</w:t>
      </w:r>
      <w:r w:rsidRPr="00104AC4">
        <w:rPr>
          <w:rFonts w:cs="Times New Roman"/>
        </w:rPr>
        <w:t>, Fordham E., Graue A., Habashy</w:t>
      </w:r>
      <w:r>
        <w:rPr>
          <w:rFonts w:cs="Times New Roman"/>
        </w:rPr>
        <w:t xml:space="preserve"> </w:t>
      </w:r>
      <w:r w:rsidRPr="00104AC4">
        <w:rPr>
          <w:rFonts w:cs="Times New Roman"/>
        </w:rPr>
        <w:t>T., Hussain H., Mentaron B., and Ziauddin M.</w:t>
      </w:r>
      <w:r>
        <w:rPr>
          <w:rFonts w:cs="Times New Roman"/>
        </w:rPr>
        <w:t xml:space="preserve">, </w:t>
      </w:r>
      <w:r w:rsidRPr="00104AC4">
        <w:rPr>
          <w:rFonts w:cs="Times New Roman"/>
        </w:rPr>
        <w:t>2007.</w:t>
      </w:r>
      <w:r>
        <w:rPr>
          <w:rFonts w:cs="Times New Roman"/>
        </w:rPr>
        <w:t xml:space="preserve"> </w:t>
      </w:r>
      <w:r w:rsidRPr="00104AC4">
        <w:rPr>
          <w:rFonts w:cs="Times New Roman"/>
        </w:rPr>
        <w:t xml:space="preserve">Fundamentals of Wettability. </w:t>
      </w:r>
      <w:r w:rsidRPr="00DD6DE7">
        <w:rPr>
          <w:rFonts w:cs="Times New Roman"/>
        </w:rPr>
        <w:t>Oilfield Review,</w:t>
      </w:r>
      <w:r w:rsidRPr="00104AC4">
        <w:rPr>
          <w:rFonts w:cs="Times New Roman"/>
        </w:rPr>
        <w:t xml:space="preserve"> 19 (2): 44-61.</w:t>
      </w:r>
    </w:p>
    <w:p w14:paraId="31DCB0D4" w14:textId="77777777" w:rsidR="00465125" w:rsidRPr="00104AC4" w:rsidRDefault="00465125" w:rsidP="00104AC4">
      <w:pPr>
        <w:pStyle w:val="ListParagraph"/>
        <w:numPr>
          <w:ilvl w:val="0"/>
          <w:numId w:val="22"/>
        </w:numPr>
        <w:rPr>
          <w:rFonts w:cs="Times New Roman"/>
        </w:rPr>
      </w:pPr>
      <w:r w:rsidRPr="00104AC4">
        <w:rPr>
          <w:rFonts w:cs="Times New Roman"/>
        </w:rPr>
        <w:t>Ahmad M.T.</w:t>
      </w:r>
      <w:r>
        <w:rPr>
          <w:rFonts w:cs="Times New Roman"/>
        </w:rPr>
        <w:t>,</w:t>
      </w:r>
      <w:r w:rsidRPr="00104AC4">
        <w:rPr>
          <w:rFonts w:cs="Times New Roman"/>
        </w:rPr>
        <w:t xml:space="preserve"> </w:t>
      </w:r>
      <w:r>
        <w:rPr>
          <w:rFonts w:cs="Times New Roman"/>
        </w:rPr>
        <w:t xml:space="preserve">2020. </w:t>
      </w:r>
      <w:r w:rsidRPr="00104AC4">
        <w:rPr>
          <w:rFonts w:cs="Times New Roman"/>
        </w:rPr>
        <w:t>Potential of Palm Kernel Alkanolamide Surfactant for Enhancing Oil Recovery from Sandstone Reservoir Rocks, Environment and Natural Resources Journal</w:t>
      </w:r>
      <w:r>
        <w:rPr>
          <w:rFonts w:cs="Times New Roman"/>
        </w:rPr>
        <w:t xml:space="preserve">, Volume </w:t>
      </w:r>
      <w:r w:rsidRPr="00104AC4">
        <w:rPr>
          <w:rFonts w:cs="Times New Roman"/>
        </w:rPr>
        <w:t>18</w:t>
      </w:r>
      <w:r>
        <w:rPr>
          <w:rFonts w:cs="Times New Roman"/>
        </w:rPr>
        <w:t xml:space="preserve"> (4)</w:t>
      </w:r>
      <w:r w:rsidRPr="00104AC4">
        <w:rPr>
          <w:rFonts w:cs="Times New Roman"/>
        </w:rPr>
        <w:t xml:space="preserve">. </w:t>
      </w:r>
      <w:hyperlink r:id="rId46" w:history="1">
        <w:r w:rsidRPr="00104AC4">
          <w:rPr>
            <w:rStyle w:val="Hyperlink"/>
            <w:rFonts w:cs="Times New Roman"/>
          </w:rPr>
          <w:t>https://doi.org/10.5599/jese.2012.0026</w:t>
        </w:r>
      </w:hyperlink>
      <w:r w:rsidRPr="00104AC4">
        <w:rPr>
          <w:rFonts w:cs="Times New Roman"/>
        </w:rPr>
        <w:t>.</w:t>
      </w:r>
    </w:p>
    <w:p w14:paraId="7A788915" w14:textId="77777777" w:rsidR="00465125" w:rsidRPr="00104AC4" w:rsidRDefault="00465125" w:rsidP="00104AC4">
      <w:pPr>
        <w:pStyle w:val="ListParagraph"/>
        <w:numPr>
          <w:ilvl w:val="0"/>
          <w:numId w:val="22"/>
        </w:numPr>
        <w:rPr>
          <w:rFonts w:cs="Times New Roman"/>
        </w:rPr>
      </w:pPr>
      <w:r w:rsidRPr="00104AC4">
        <w:rPr>
          <w:rFonts w:cs="Times New Roman"/>
        </w:rPr>
        <w:t>Ahmadi</w:t>
      </w:r>
      <w:r>
        <w:rPr>
          <w:rFonts w:cs="Times New Roman"/>
        </w:rPr>
        <w:t xml:space="preserve"> </w:t>
      </w:r>
      <w:r w:rsidRPr="00104AC4">
        <w:rPr>
          <w:rFonts w:cs="Times New Roman"/>
        </w:rPr>
        <w:t>M.A.,</w:t>
      </w:r>
      <w:r>
        <w:rPr>
          <w:rFonts w:cs="Times New Roman"/>
        </w:rPr>
        <w:t xml:space="preserve"> and </w:t>
      </w:r>
      <w:r w:rsidRPr="00104AC4">
        <w:rPr>
          <w:rFonts w:cs="Times New Roman"/>
        </w:rPr>
        <w:t>Shadizadeh</w:t>
      </w:r>
      <w:r>
        <w:rPr>
          <w:rFonts w:cs="Times New Roman"/>
        </w:rPr>
        <w:t xml:space="preserve"> </w:t>
      </w:r>
      <w:r w:rsidRPr="00104AC4">
        <w:rPr>
          <w:rFonts w:cs="Times New Roman"/>
        </w:rPr>
        <w:t xml:space="preserve">S.R., </w:t>
      </w:r>
      <w:r>
        <w:rPr>
          <w:rFonts w:cs="Times New Roman"/>
        </w:rPr>
        <w:t xml:space="preserve">2013. </w:t>
      </w:r>
      <w:r w:rsidRPr="00104AC4">
        <w:rPr>
          <w:rFonts w:cs="Times New Roman"/>
        </w:rPr>
        <w:t>Experimental investigation of adsorption of a new nonionic surfactant on carbonate minerals, Fuel. 104</w:t>
      </w:r>
      <w:r>
        <w:rPr>
          <w:rFonts w:cs="Times New Roman"/>
        </w:rPr>
        <w:t xml:space="preserve">, </w:t>
      </w:r>
      <w:r w:rsidRPr="00104AC4">
        <w:rPr>
          <w:rFonts w:cs="Times New Roman"/>
        </w:rPr>
        <w:t xml:space="preserve">462–467. </w:t>
      </w:r>
      <w:hyperlink r:id="rId47" w:history="1">
        <w:r w:rsidRPr="00104AC4">
          <w:rPr>
            <w:rStyle w:val="Hyperlink"/>
            <w:rFonts w:cs="Times New Roman"/>
          </w:rPr>
          <w:t>https://doi.org/10.1016/j.fuel.2012.07.039</w:t>
        </w:r>
      </w:hyperlink>
      <w:r w:rsidRPr="00104AC4">
        <w:rPr>
          <w:rFonts w:cs="Times New Roman"/>
        </w:rPr>
        <w:t>.</w:t>
      </w:r>
    </w:p>
    <w:p w14:paraId="7D2FE32F" w14:textId="77777777" w:rsidR="00465125" w:rsidRPr="00104AC4" w:rsidRDefault="00465125" w:rsidP="00104AC4">
      <w:pPr>
        <w:pStyle w:val="ListParagraph"/>
        <w:numPr>
          <w:ilvl w:val="0"/>
          <w:numId w:val="22"/>
        </w:numPr>
        <w:rPr>
          <w:rFonts w:cs="Times New Roman"/>
        </w:rPr>
      </w:pPr>
      <w:r w:rsidRPr="00104AC4">
        <w:rPr>
          <w:rFonts w:cs="Times New Roman"/>
        </w:rPr>
        <w:t>Ahmadi</w:t>
      </w:r>
      <w:r>
        <w:rPr>
          <w:rFonts w:cs="Times New Roman"/>
        </w:rPr>
        <w:t xml:space="preserve"> </w:t>
      </w:r>
      <w:r w:rsidRPr="00104AC4">
        <w:rPr>
          <w:rFonts w:cs="Times New Roman"/>
        </w:rPr>
        <w:t>M.A., Arabsahebi</w:t>
      </w:r>
      <w:r w:rsidRPr="004A5DEE">
        <w:rPr>
          <w:rFonts w:cs="Times New Roman"/>
        </w:rPr>
        <w:t xml:space="preserve"> </w:t>
      </w:r>
      <w:r w:rsidRPr="00104AC4">
        <w:rPr>
          <w:rFonts w:cs="Times New Roman"/>
        </w:rPr>
        <w:t>Y., Shadizadeh</w:t>
      </w:r>
      <w:r>
        <w:rPr>
          <w:rFonts w:cs="Times New Roman"/>
        </w:rPr>
        <w:t xml:space="preserve"> </w:t>
      </w:r>
      <w:r w:rsidRPr="00104AC4">
        <w:rPr>
          <w:rFonts w:cs="Times New Roman"/>
        </w:rPr>
        <w:t>S.R.</w:t>
      </w:r>
      <w:r>
        <w:rPr>
          <w:rFonts w:cs="Times New Roman"/>
        </w:rPr>
        <w:t>, and</w:t>
      </w:r>
      <w:r w:rsidRPr="00104AC4">
        <w:rPr>
          <w:rFonts w:cs="Times New Roman"/>
        </w:rPr>
        <w:t xml:space="preserve"> Shokrollahzadeh</w:t>
      </w:r>
      <w:r w:rsidRPr="004A5DEE">
        <w:rPr>
          <w:rFonts w:cs="Times New Roman"/>
        </w:rPr>
        <w:t xml:space="preserve"> </w:t>
      </w:r>
      <w:r w:rsidRPr="00104AC4">
        <w:rPr>
          <w:rFonts w:cs="Times New Roman"/>
        </w:rPr>
        <w:t>S.,</w:t>
      </w:r>
      <w:r>
        <w:rPr>
          <w:rFonts w:cs="Times New Roman"/>
        </w:rPr>
        <w:t xml:space="preserve"> 2014.</w:t>
      </w:r>
      <w:r w:rsidRPr="00104AC4">
        <w:rPr>
          <w:rFonts w:cs="Times New Roman"/>
        </w:rPr>
        <w:t xml:space="preserve"> Preliminary evaluation of mulberry leaf-derived surfactant on interfacial tension in an oil-aqueous system: EOR application, Fuel. 117</w:t>
      </w:r>
      <w:r>
        <w:rPr>
          <w:rFonts w:cs="Times New Roman"/>
        </w:rPr>
        <w:t xml:space="preserve">, </w:t>
      </w:r>
      <w:r w:rsidRPr="00104AC4">
        <w:rPr>
          <w:rFonts w:cs="Times New Roman"/>
        </w:rPr>
        <w:t>749–755.</w:t>
      </w:r>
      <w:r w:rsidRPr="00104AC4">
        <w:rPr>
          <w:rFonts w:cs="Times New Roman"/>
          <w:spacing w:val="-6"/>
        </w:rPr>
        <w:t xml:space="preserve"> </w:t>
      </w:r>
      <w:hyperlink r:id="rId48" w:history="1">
        <w:r w:rsidRPr="00104AC4">
          <w:rPr>
            <w:rStyle w:val="Hyperlink"/>
            <w:rFonts w:cs="Times New Roman"/>
          </w:rPr>
          <w:t>https://doi.org/10.1016/j.fuel.2013.08.081</w:t>
        </w:r>
      </w:hyperlink>
      <w:r w:rsidRPr="00104AC4">
        <w:rPr>
          <w:rFonts w:cs="Times New Roman"/>
        </w:rPr>
        <w:t>.</w:t>
      </w:r>
    </w:p>
    <w:p w14:paraId="312B8C51"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Ali F.S.M., and Stahl C.D., 1970. </w:t>
      </w:r>
      <w:r w:rsidRPr="00741695">
        <w:rPr>
          <w:rFonts w:eastAsiaTheme="minorHAnsi" w:cs="Times New Roman"/>
          <w:i/>
          <w:iCs/>
        </w:rPr>
        <w:t>Increased oil recovery by improved waterflooding</w:t>
      </w:r>
      <w:r w:rsidRPr="00104AC4">
        <w:rPr>
          <w:rFonts w:eastAsiaTheme="minorHAnsi" w:cs="Times New Roman"/>
        </w:rPr>
        <w:t xml:space="preserve">. Earth Miner. Sci., United States. </w:t>
      </w:r>
      <w:hyperlink r:id="rId49" w:history="1">
        <w:r w:rsidRPr="00104AC4">
          <w:rPr>
            <w:rStyle w:val="Hyperlink"/>
            <w:rFonts w:eastAsiaTheme="minorHAnsi" w:cs="Times New Roman"/>
          </w:rPr>
          <w:t>https://www.osti.gov/biblio/5001552</w:t>
        </w:r>
      </w:hyperlink>
    </w:p>
    <w:p w14:paraId="6EB2DE35"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Alvarez J.O., Saputra I.W.R., and Schechter D.S., 2017. Potential of Improving Oil Recovery with Surfactant Additives to Completion Fluids for the Bakken, Energy &amp; Fuels 31 (6): 5982–5994. </w:t>
      </w:r>
      <w:hyperlink r:id="rId50" w:history="1">
        <w:r w:rsidRPr="00104AC4">
          <w:rPr>
            <w:rStyle w:val="Hyperlink"/>
            <w:rFonts w:eastAsiaTheme="minorHAnsi" w:cs="Times New Roman"/>
          </w:rPr>
          <w:t>https://doi.org/10.1021/acs.energyfuels.7b00573</w:t>
        </w:r>
      </w:hyperlink>
      <w:r w:rsidRPr="00104AC4">
        <w:rPr>
          <w:rFonts w:eastAsiaTheme="minorHAnsi" w:cs="Times New Roman"/>
        </w:rPr>
        <w:t xml:space="preserve"> </w:t>
      </w:r>
    </w:p>
    <w:p w14:paraId="5F038ED6"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Aminian A.</w:t>
      </w:r>
      <w:r>
        <w:rPr>
          <w:rFonts w:eastAsiaTheme="minorHAnsi" w:cs="Times New Roman"/>
        </w:rPr>
        <w:t>,</w:t>
      </w:r>
      <w:r w:rsidRPr="00104AC4">
        <w:rPr>
          <w:rFonts w:eastAsiaTheme="minorHAnsi" w:cs="Times New Roman"/>
        </w:rPr>
        <w:t xml:space="preserve"> and ZareNezhad B., 2019. Wettability alteration in carbonate and sandstone rocks due to low salinity Surfactant flooding, Journal of Molecular Liquids, Volume 275, Pages 265-280, ISSN 0167-7322. </w:t>
      </w:r>
      <w:hyperlink r:id="rId51" w:history="1">
        <w:r w:rsidRPr="00104AC4">
          <w:rPr>
            <w:rStyle w:val="Hyperlink"/>
            <w:rFonts w:eastAsiaTheme="minorHAnsi" w:cs="Times New Roman"/>
          </w:rPr>
          <w:t>https://doi.org/10.1016/j.molliq.2018.11.080</w:t>
        </w:r>
      </w:hyperlink>
      <w:r w:rsidRPr="00104AC4">
        <w:rPr>
          <w:rFonts w:eastAsiaTheme="minorHAnsi" w:cs="Times New Roman"/>
        </w:rPr>
        <w:t>.</w:t>
      </w:r>
    </w:p>
    <w:p w14:paraId="268BA40D" w14:textId="77777777" w:rsidR="00465125" w:rsidRPr="00741695" w:rsidRDefault="00465125" w:rsidP="00741695">
      <w:pPr>
        <w:pStyle w:val="ListParagraph"/>
        <w:numPr>
          <w:ilvl w:val="0"/>
          <w:numId w:val="22"/>
        </w:numPr>
        <w:jc w:val="left"/>
        <w:rPr>
          <w:rFonts w:eastAsiaTheme="minorHAnsi" w:cs="Times New Roman"/>
        </w:rPr>
      </w:pPr>
      <w:r w:rsidRPr="00104AC4">
        <w:rPr>
          <w:rFonts w:eastAsiaTheme="minorHAnsi" w:cs="Times New Roman"/>
        </w:rPr>
        <w:lastRenderedPageBreak/>
        <w:t>Anderson W.G</w:t>
      </w:r>
      <w:r w:rsidRPr="00741695">
        <w:rPr>
          <w:rFonts w:eastAsiaTheme="minorHAnsi" w:cs="Times New Roman"/>
        </w:rPr>
        <w:t xml:space="preserve">., 1986. </w:t>
      </w:r>
      <w:r w:rsidRPr="00741695">
        <w:rPr>
          <w:rFonts w:eastAsiaTheme="minorHAnsi" w:cs="Times New Roman"/>
          <w:i/>
          <w:iCs/>
        </w:rPr>
        <w:t>Wettability Literature Survey—Part 2: Wettability Measurement</w:t>
      </w:r>
      <w:r w:rsidRPr="00741695">
        <w:rPr>
          <w:rFonts w:eastAsiaTheme="minorHAnsi" w:cs="Times New Roman"/>
        </w:rPr>
        <w:t>.</w:t>
      </w:r>
      <w:r w:rsidRPr="00104AC4">
        <w:rPr>
          <w:rFonts w:eastAsiaTheme="minorHAnsi" w:cs="Times New Roman"/>
        </w:rPr>
        <w:t xml:space="preserve"> J Pet Technol 38 (11):1246–1262. SPE-13933-PA</w:t>
      </w:r>
      <w:r>
        <w:rPr>
          <w:rFonts w:eastAsiaTheme="minorHAnsi" w:cs="Times New Roman"/>
        </w:rPr>
        <w:t xml:space="preserve"> </w:t>
      </w:r>
    </w:p>
    <w:p w14:paraId="5621474F" w14:textId="77777777" w:rsidR="00465125" w:rsidRPr="00104AC4" w:rsidRDefault="00465125" w:rsidP="00104AC4">
      <w:pPr>
        <w:pStyle w:val="ListParagraph"/>
        <w:numPr>
          <w:ilvl w:val="0"/>
          <w:numId w:val="22"/>
        </w:numPr>
        <w:rPr>
          <w:rFonts w:cs="Times New Roman"/>
        </w:rPr>
      </w:pPr>
      <w:r w:rsidRPr="00104AC4">
        <w:rPr>
          <w:rFonts w:cs="Times New Roman"/>
        </w:rPr>
        <w:t>Atta D.Y., Negash B.M.</w:t>
      </w:r>
      <w:r>
        <w:rPr>
          <w:rFonts w:cs="Times New Roman"/>
        </w:rPr>
        <w:t>,</w:t>
      </w:r>
      <w:r w:rsidRPr="00104AC4">
        <w:rPr>
          <w:rFonts w:cs="Times New Roman"/>
        </w:rPr>
        <w:t xml:space="preserve"> and Yekeen N., 2021. A state-of-the art review on the application of natural Surfactants in enhanced oil recovery, Journal of Molecular Liquids, Volume 321, ISSN 0167-7322. </w:t>
      </w:r>
      <w:hyperlink r:id="rId52" w:history="1">
        <w:r w:rsidRPr="00104AC4">
          <w:rPr>
            <w:rStyle w:val="Hyperlink"/>
            <w:rFonts w:eastAsiaTheme="majorEastAsia" w:cs="Times New Roman"/>
          </w:rPr>
          <w:t>https://doi.org/10.1016/j.molliq.2020.114888</w:t>
        </w:r>
      </w:hyperlink>
      <w:r w:rsidRPr="00104AC4">
        <w:rPr>
          <w:rFonts w:cs="Times New Roman"/>
        </w:rPr>
        <w:t>.</w:t>
      </w:r>
    </w:p>
    <w:p w14:paraId="55B99191" w14:textId="77777777" w:rsidR="00465125" w:rsidRPr="00104AC4" w:rsidRDefault="00465125" w:rsidP="00104AC4">
      <w:pPr>
        <w:pStyle w:val="ListParagraph"/>
        <w:numPr>
          <w:ilvl w:val="0"/>
          <w:numId w:val="22"/>
        </w:numPr>
        <w:rPr>
          <w:rFonts w:cs="Times New Roman"/>
        </w:rPr>
      </w:pPr>
      <w:r w:rsidRPr="00104AC4">
        <w:rPr>
          <w:rFonts w:cs="Times New Roman"/>
        </w:rPr>
        <w:t>Atta D.Y., Negash B.M., Yekeen N.</w:t>
      </w:r>
      <w:r>
        <w:rPr>
          <w:rFonts w:cs="Times New Roman"/>
        </w:rPr>
        <w:t>,</w:t>
      </w:r>
      <w:r w:rsidRPr="00104AC4">
        <w:rPr>
          <w:rFonts w:cs="Times New Roman"/>
        </w:rPr>
        <w:t xml:space="preserve"> and Habte A.D., 2020. A state-of-the-art review on the application of natural Surfactants in enhanced oil recovery, Journal of Molecular Liquids, Volume 321, ISSN 0167-7322. </w:t>
      </w:r>
      <w:hyperlink r:id="rId53" w:history="1">
        <w:r w:rsidRPr="00104AC4">
          <w:rPr>
            <w:rStyle w:val="Hyperlink"/>
            <w:rFonts w:eastAsiaTheme="majorEastAsia" w:cs="Times New Roman"/>
          </w:rPr>
          <w:t>https://doi.org/10.1016/j.molliq.2020.114888</w:t>
        </w:r>
      </w:hyperlink>
      <w:r w:rsidRPr="00104AC4">
        <w:rPr>
          <w:rFonts w:cs="Times New Roman"/>
        </w:rPr>
        <w:t>.</w:t>
      </w:r>
    </w:p>
    <w:p w14:paraId="4B1248C8"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Ballard B.D., 2007. Quantitative Mineralogy of Reservoir Rocks Using Fourier Transform Infrared Spectroscopy. Paper presented at the SPE Annual Technical Conference and Exhibition, Anaheim, California, USA, 11–14 November. SPE-113023-STU. </w:t>
      </w:r>
      <w:hyperlink r:id="rId54" w:history="1">
        <w:r w:rsidRPr="00104AC4">
          <w:rPr>
            <w:rStyle w:val="Hyperlink"/>
            <w:rFonts w:eastAsiaTheme="minorHAnsi" w:cs="Times New Roman"/>
          </w:rPr>
          <w:t>https://doi.org/10.2118/113023-STU</w:t>
        </w:r>
      </w:hyperlink>
      <w:r w:rsidRPr="00104AC4">
        <w:rPr>
          <w:rFonts w:eastAsiaTheme="minorHAnsi" w:cs="Times New Roman"/>
        </w:rPr>
        <w:t xml:space="preserve">. </w:t>
      </w:r>
    </w:p>
    <w:p w14:paraId="177F0A15" w14:textId="1BF5E02A" w:rsidR="00465125" w:rsidRPr="00104AC4" w:rsidRDefault="00465125" w:rsidP="00104AC4">
      <w:pPr>
        <w:pStyle w:val="ListParagraph"/>
        <w:numPr>
          <w:ilvl w:val="0"/>
          <w:numId w:val="22"/>
        </w:numPr>
        <w:rPr>
          <w:rFonts w:cs="Times New Roman"/>
        </w:rPr>
      </w:pPr>
      <w:r w:rsidRPr="00104AC4">
        <w:rPr>
          <w:rFonts w:cs="Times New Roman"/>
        </w:rPr>
        <w:t>Barati-Harooni A.</w:t>
      </w:r>
      <w:r>
        <w:rPr>
          <w:rFonts w:cs="Times New Roman"/>
        </w:rPr>
        <w:t>,</w:t>
      </w:r>
      <w:r w:rsidRPr="00104AC4">
        <w:rPr>
          <w:rFonts w:cs="Times New Roman"/>
        </w:rPr>
        <w:t xml:space="preserve"> Najafi-Marghmaleki S.M.</w:t>
      </w:r>
      <w:r>
        <w:rPr>
          <w:rFonts w:cs="Times New Roman"/>
        </w:rPr>
        <w:t xml:space="preserve"> and,</w:t>
      </w:r>
      <w:r w:rsidRPr="00104AC4">
        <w:rPr>
          <w:rFonts w:cs="Times New Roman"/>
        </w:rPr>
        <w:t xml:space="preserve"> Hosseini S,</w:t>
      </w:r>
      <w:r>
        <w:rPr>
          <w:rFonts w:cs="Times New Roman"/>
        </w:rPr>
        <w:t xml:space="preserve"> 2017.</w:t>
      </w:r>
      <w:r w:rsidRPr="00104AC4">
        <w:rPr>
          <w:rFonts w:cs="Times New Roman"/>
        </w:rPr>
        <w:t xml:space="preserve"> Experimental Investigation of Dynamic Adsorption–Desorption of New Nonionic Surfactant on Carbonate Rock: Application to Enhanced Oil Recovery, Journal of Energy Resources Technology139</w:t>
      </w:r>
      <w:r>
        <w:rPr>
          <w:rFonts w:cs="Times New Roman"/>
        </w:rPr>
        <w:t>-</w:t>
      </w:r>
      <w:r w:rsidRPr="00104AC4">
        <w:rPr>
          <w:rFonts w:cs="Times New Roman"/>
        </w:rPr>
        <w:t>42202.</w:t>
      </w:r>
      <w:r w:rsidR="000718A1">
        <w:rPr>
          <w:rFonts w:cs="Times New Roman"/>
        </w:rPr>
        <w:t xml:space="preserve"> </w:t>
      </w:r>
      <w:hyperlink r:id="rId55" w:history="1">
        <w:r w:rsidR="000718A1" w:rsidRPr="000718A1">
          <w:rPr>
            <w:rStyle w:val="Hyperlink"/>
            <w:rFonts w:cs="Times New Roman"/>
          </w:rPr>
          <w:t>https://doi.org/10.1115/1.4036046</w:t>
        </w:r>
      </w:hyperlink>
      <w:r w:rsidR="000718A1">
        <w:rPr>
          <w:rFonts w:cs="Times New Roman"/>
        </w:rPr>
        <w:t>.</w:t>
      </w:r>
    </w:p>
    <w:p w14:paraId="7FB290E8" w14:textId="77777777" w:rsidR="00465125" w:rsidRPr="00314B77" w:rsidRDefault="00465125" w:rsidP="00314B77">
      <w:pPr>
        <w:pStyle w:val="ListParagraph"/>
        <w:numPr>
          <w:ilvl w:val="0"/>
          <w:numId w:val="22"/>
        </w:numPr>
        <w:rPr>
          <w:rFonts w:eastAsiaTheme="minorHAnsi" w:cs="Times New Roman"/>
        </w:rPr>
      </w:pPr>
      <w:r w:rsidRPr="00314B77">
        <w:rPr>
          <w:rFonts w:cs="Times New Roman"/>
        </w:rPr>
        <w:t>Bashir</w:t>
      </w:r>
      <w:r>
        <w:rPr>
          <w:rFonts w:cs="Times New Roman"/>
        </w:rPr>
        <w:t xml:space="preserve"> A.</w:t>
      </w:r>
      <w:r w:rsidRPr="00314B77">
        <w:rPr>
          <w:rFonts w:cs="Times New Roman"/>
        </w:rPr>
        <w:t>,</w:t>
      </w:r>
      <w:r>
        <w:rPr>
          <w:rFonts w:cs="Times New Roman"/>
        </w:rPr>
        <w:t xml:space="preserve"> </w:t>
      </w:r>
      <w:r w:rsidRPr="00314B77">
        <w:rPr>
          <w:rFonts w:cs="Times New Roman"/>
        </w:rPr>
        <w:t>Haddad</w:t>
      </w:r>
      <w:r>
        <w:rPr>
          <w:rFonts w:cs="Times New Roman"/>
        </w:rPr>
        <w:t xml:space="preserve"> A.S.</w:t>
      </w:r>
      <w:r w:rsidRPr="00314B77">
        <w:rPr>
          <w:rFonts w:cs="Times New Roman"/>
        </w:rPr>
        <w:t>,</w:t>
      </w:r>
      <w:r>
        <w:rPr>
          <w:rFonts w:cs="Times New Roman"/>
        </w:rPr>
        <w:t xml:space="preserve"> and</w:t>
      </w:r>
      <w:r w:rsidRPr="00314B77">
        <w:rPr>
          <w:rFonts w:cs="Times New Roman"/>
        </w:rPr>
        <w:t xml:space="preserve"> Rafati</w:t>
      </w:r>
      <w:r>
        <w:rPr>
          <w:rFonts w:cs="Times New Roman"/>
        </w:rPr>
        <w:t xml:space="preserve"> R., 2022. </w:t>
      </w:r>
      <w:r w:rsidRPr="00314B77">
        <w:rPr>
          <w:rFonts w:cs="Times New Roman"/>
        </w:rPr>
        <w:t>A review of fluid displacement mechanisms in surfactant-based chemical enhanced oil recovery processes: Analyses of key influencing factors,</w:t>
      </w:r>
      <w:r>
        <w:rPr>
          <w:rFonts w:cs="Times New Roman"/>
        </w:rPr>
        <w:t xml:space="preserve"> </w:t>
      </w:r>
      <w:r w:rsidRPr="00314B77">
        <w:rPr>
          <w:rFonts w:cs="Times New Roman"/>
        </w:rPr>
        <w:t>Petroleum Science,</w:t>
      </w:r>
      <w:r>
        <w:rPr>
          <w:rFonts w:cs="Times New Roman"/>
        </w:rPr>
        <w:t xml:space="preserve"> </w:t>
      </w:r>
      <w:r w:rsidRPr="00314B77">
        <w:rPr>
          <w:rFonts w:cs="Times New Roman"/>
        </w:rPr>
        <w:t>Volume 19, Issue 3,</w:t>
      </w:r>
      <w:r>
        <w:rPr>
          <w:rFonts w:cs="Times New Roman"/>
        </w:rPr>
        <w:t xml:space="preserve"> </w:t>
      </w:r>
      <w:r w:rsidRPr="00314B77">
        <w:rPr>
          <w:rFonts w:cs="Times New Roman"/>
        </w:rPr>
        <w:t>Pages 1211-1235,</w:t>
      </w:r>
      <w:r>
        <w:rPr>
          <w:rFonts w:cs="Times New Roman"/>
        </w:rPr>
        <w:t xml:space="preserve"> </w:t>
      </w:r>
      <w:r w:rsidRPr="00314B77">
        <w:rPr>
          <w:rFonts w:cs="Times New Roman"/>
        </w:rPr>
        <w:t>ISSN 1995-8226,</w:t>
      </w:r>
      <w:r>
        <w:rPr>
          <w:rFonts w:cs="Times New Roman"/>
        </w:rPr>
        <w:t xml:space="preserve"> </w:t>
      </w:r>
      <w:hyperlink r:id="rId56" w:history="1">
        <w:r w:rsidRPr="00314B77">
          <w:rPr>
            <w:rStyle w:val="Hyperlink"/>
            <w:rFonts w:cs="Times New Roman"/>
          </w:rPr>
          <w:t>https://doi.org/10.1016/j.petsci.2021.11.021</w:t>
        </w:r>
      </w:hyperlink>
      <w:r w:rsidRPr="00314B77">
        <w:rPr>
          <w:rFonts w:cs="Times New Roman"/>
        </w:rPr>
        <w:t>.</w:t>
      </w:r>
    </w:p>
    <w:p w14:paraId="006E06DA" w14:textId="77777777" w:rsidR="00465125" w:rsidRPr="00104AC4" w:rsidRDefault="00465125" w:rsidP="007C693E">
      <w:pPr>
        <w:pStyle w:val="ListParagraph"/>
        <w:numPr>
          <w:ilvl w:val="0"/>
          <w:numId w:val="22"/>
        </w:numPr>
        <w:rPr>
          <w:rFonts w:cs="Times New Roman"/>
        </w:rPr>
      </w:pPr>
      <w:r w:rsidRPr="00104AC4">
        <w:rPr>
          <w:rFonts w:cs="Times New Roman"/>
        </w:rPr>
        <w:t xml:space="preserve">Basu S., </w:t>
      </w:r>
      <w:r>
        <w:rPr>
          <w:rFonts w:cs="Times New Roman"/>
        </w:rPr>
        <w:t xml:space="preserve">and </w:t>
      </w:r>
      <w:r w:rsidRPr="00104AC4">
        <w:rPr>
          <w:rFonts w:cs="Times New Roman"/>
        </w:rPr>
        <w:t>Sharma M. M.</w:t>
      </w:r>
      <w:r>
        <w:rPr>
          <w:rFonts w:cs="Times New Roman"/>
        </w:rPr>
        <w:t>,</w:t>
      </w:r>
      <w:r w:rsidRPr="00104AC4">
        <w:rPr>
          <w:rFonts w:cs="Times New Roman"/>
        </w:rPr>
        <w:t xml:space="preserve"> 1997. </w:t>
      </w:r>
      <w:r w:rsidRPr="00361AE9">
        <w:rPr>
          <w:rFonts w:cs="Times New Roman"/>
          <w:i/>
          <w:iCs/>
        </w:rPr>
        <w:t>Characterization of Mixed-Wettability States in Oil Reservoirs by Atomic Force Microscopy</w:t>
      </w:r>
      <w:r w:rsidRPr="00104AC4">
        <w:rPr>
          <w:rFonts w:cs="Times New Roman"/>
        </w:rPr>
        <w:t>. SPE Journal 2 (04): 427-435.</w:t>
      </w:r>
    </w:p>
    <w:p w14:paraId="18098255" w14:textId="77777777" w:rsidR="00465125" w:rsidRPr="007C693E" w:rsidRDefault="00465125" w:rsidP="007C693E">
      <w:pPr>
        <w:pStyle w:val="ListParagraph"/>
        <w:numPr>
          <w:ilvl w:val="0"/>
          <w:numId w:val="22"/>
        </w:numPr>
        <w:rPr>
          <w:rFonts w:cs="Times New Roman"/>
        </w:rPr>
      </w:pPr>
      <w:r w:rsidRPr="00104AC4">
        <w:rPr>
          <w:rFonts w:cs="Times New Roman"/>
        </w:rPr>
        <w:lastRenderedPageBreak/>
        <w:t>Bataweel M.A.</w:t>
      </w:r>
      <w:r>
        <w:rPr>
          <w:rFonts w:cs="Times New Roman"/>
        </w:rPr>
        <w:t>,</w:t>
      </w:r>
      <w:r w:rsidRPr="00104AC4">
        <w:rPr>
          <w:rFonts w:cs="Times New Roman"/>
        </w:rPr>
        <w:t xml:space="preserve"> and Nasr-El-Din H.A., 2012. ASP vs. SP flooding in high salinity/hardness and temperature in sandstone cores</w:t>
      </w:r>
      <w:r>
        <w:rPr>
          <w:rFonts w:cs="Times New Roman"/>
        </w:rPr>
        <w:t xml:space="preserve">, </w:t>
      </w:r>
      <w:r w:rsidRPr="007C693E">
        <w:rPr>
          <w:rFonts w:cs="Times New Roman"/>
        </w:rPr>
        <w:t>Paper presented at the SPE EOR Conference at Oil and Gas West Asia, Muscat, Oman, April 2012. </w:t>
      </w:r>
      <w:hyperlink r:id="rId57" w:history="1">
        <w:r w:rsidRPr="007C693E">
          <w:rPr>
            <w:rStyle w:val="Hyperlink"/>
            <w:rFonts w:cs="Times New Roman"/>
          </w:rPr>
          <w:t>https://doi.org/10.2118/155679-MS</w:t>
        </w:r>
      </w:hyperlink>
    </w:p>
    <w:p w14:paraId="3FD9C601" w14:textId="77777777" w:rsidR="00465125" w:rsidRPr="00104AC4" w:rsidRDefault="00465125" w:rsidP="00104AC4">
      <w:pPr>
        <w:pStyle w:val="ListParagraph"/>
        <w:numPr>
          <w:ilvl w:val="0"/>
          <w:numId w:val="22"/>
        </w:numPr>
        <w:rPr>
          <w:rFonts w:cs="Times New Roman"/>
        </w:rPr>
      </w:pPr>
      <w:r w:rsidRPr="00104AC4">
        <w:rPr>
          <w:rFonts w:cs="Times New Roman"/>
        </w:rPr>
        <w:t>Budhathoki M., Barnee S.H.R., Shiau B.J.</w:t>
      </w:r>
      <w:r>
        <w:rPr>
          <w:rFonts w:cs="Times New Roman"/>
        </w:rPr>
        <w:t>,</w:t>
      </w:r>
      <w:r w:rsidRPr="00104AC4">
        <w:rPr>
          <w:rFonts w:cs="Times New Roman"/>
        </w:rPr>
        <w:t xml:space="preserve"> and Harwell J.H., 2016. Improved oil recovery by reducing Surfactant adsorption with polyelectrolyte in high saline brine. Colloids and Surfaces A: Physicochemical and Engineering Aspects, Volume 498, Pages 66-73, ISSN 0927-7757. </w:t>
      </w:r>
      <w:hyperlink r:id="rId58" w:history="1">
        <w:r w:rsidRPr="00104AC4">
          <w:rPr>
            <w:rStyle w:val="Hyperlink"/>
            <w:rFonts w:eastAsiaTheme="majorEastAsia" w:cs="Times New Roman"/>
          </w:rPr>
          <w:t>http://dx.doi.org/10.1016%2Fj.colsurfa.2016.03.012</w:t>
        </w:r>
      </w:hyperlink>
      <w:r w:rsidRPr="00104AC4">
        <w:rPr>
          <w:rFonts w:cs="Times New Roman"/>
        </w:rPr>
        <w:t>.</w:t>
      </w:r>
    </w:p>
    <w:p w14:paraId="208DF283"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Camara J.M.D.A., Sousa M.A.S.B., Neto E.L.B.</w:t>
      </w:r>
      <w:r>
        <w:rPr>
          <w:rFonts w:eastAsiaTheme="minorHAnsi" w:cs="Times New Roman"/>
        </w:rPr>
        <w:t>,</w:t>
      </w:r>
      <w:r w:rsidRPr="00104AC4">
        <w:rPr>
          <w:rFonts w:eastAsiaTheme="minorHAnsi" w:cs="Times New Roman"/>
        </w:rPr>
        <w:t xml:space="preserve"> and Oilveira M.C.A., 2019. Application of rhamnolipid biosurfactant produced by Pseudomonas aeruginosa in microbial-enhanced oil recovery (MEOR). J Petrol Explor Prod Technol 9, 2333–2341. </w:t>
      </w:r>
      <w:hyperlink r:id="rId59" w:history="1">
        <w:r w:rsidRPr="00104AC4">
          <w:rPr>
            <w:rStyle w:val="Hyperlink"/>
            <w:rFonts w:eastAsiaTheme="minorHAnsi" w:cs="Times New Roman"/>
          </w:rPr>
          <w:t>https://doi.org/10.1007/s13202-019-0633-x</w:t>
        </w:r>
      </w:hyperlink>
    </w:p>
    <w:p w14:paraId="009D5B2B" w14:textId="77777777" w:rsidR="00465125" w:rsidRPr="00104AC4" w:rsidRDefault="00465125" w:rsidP="00104AC4">
      <w:pPr>
        <w:pStyle w:val="ListParagraph"/>
        <w:numPr>
          <w:ilvl w:val="0"/>
          <w:numId w:val="22"/>
        </w:numPr>
        <w:rPr>
          <w:rFonts w:cs="Times New Roman"/>
        </w:rPr>
      </w:pPr>
      <w:r w:rsidRPr="00104AC4">
        <w:rPr>
          <w:rFonts w:cs="Times New Roman"/>
        </w:rPr>
        <w:t xml:space="preserve">Cheng Y., Yang Y., Niu C., Feng Z., Zhao W., and Lu S., 2019. Progress in synthesis and application of zwitterionic Gemini Surfactants. Frontiers of Material Science, 13, 242–257. </w:t>
      </w:r>
      <w:hyperlink r:id="rId60" w:history="1">
        <w:r w:rsidRPr="00104AC4">
          <w:rPr>
            <w:rStyle w:val="Hyperlink"/>
            <w:rFonts w:eastAsiaTheme="majorEastAsia" w:cs="Times New Roman"/>
          </w:rPr>
          <w:t>https://doi.org/10.1007/s11706-019-0473-0</w:t>
        </w:r>
      </w:hyperlink>
    </w:p>
    <w:p w14:paraId="2FBF305A"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Dopfer O., 2006. Optical Spectroscopy in Chemistry and Life Sciences. An Introduction by Werner Schmidt Chem. Eur. J. of Chem. Phys., 7: 1598-1598. </w:t>
      </w:r>
      <w:hyperlink r:id="rId61" w:history="1">
        <w:r w:rsidRPr="00104AC4">
          <w:rPr>
            <w:rStyle w:val="Hyperlink"/>
            <w:rFonts w:eastAsiaTheme="minorHAnsi" w:cs="Times New Roman"/>
          </w:rPr>
          <w:t>https://doi.org/10.1002/cphc.200600042</w:t>
        </w:r>
      </w:hyperlink>
      <w:r w:rsidRPr="00104AC4">
        <w:rPr>
          <w:rFonts w:eastAsiaTheme="minorHAnsi" w:cs="Times New Roman"/>
        </w:rPr>
        <w:t>.</w:t>
      </w:r>
    </w:p>
    <w:p w14:paraId="54AEBB38" w14:textId="77777777" w:rsidR="00465125" w:rsidRPr="00104AC4" w:rsidRDefault="00465125" w:rsidP="00104AC4">
      <w:pPr>
        <w:pStyle w:val="ListParagraph"/>
        <w:numPr>
          <w:ilvl w:val="0"/>
          <w:numId w:val="22"/>
        </w:numPr>
        <w:rPr>
          <w:rFonts w:cs="Times New Roman"/>
        </w:rPr>
      </w:pPr>
      <w:r w:rsidRPr="00104AC4">
        <w:rPr>
          <w:rFonts w:cs="Times New Roman"/>
        </w:rPr>
        <w:t>Doust A.R., Puntervold T.</w:t>
      </w:r>
      <w:r>
        <w:rPr>
          <w:rFonts w:cs="Times New Roman"/>
        </w:rPr>
        <w:t>,</w:t>
      </w:r>
      <w:r w:rsidRPr="00104AC4">
        <w:rPr>
          <w:rFonts w:cs="Times New Roman"/>
        </w:rPr>
        <w:t xml:space="preserve"> and Austad T., 2011. Chemical verification of the EOR mechanism by using low saline/smart water in sandstone. Energy Fuels 25, 2151–2162. </w:t>
      </w:r>
      <w:hyperlink r:id="rId62" w:history="1">
        <w:r w:rsidRPr="00104AC4">
          <w:rPr>
            <w:rStyle w:val="Hyperlink"/>
            <w:rFonts w:eastAsiaTheme="majorEastAsia" w:cs="Times New Roman"/>
          </w:rPr>
          <w:t>https://doi.org/10.1021/ef200215y</w:t>
        </w:r>
      </w:hyperlink>
      <w:r w:rsidRPr="00104AC4">
        <w:rPr>
          <w:rFonts w:cs="Times New Roman"/>
        </w:rPr>
        <w:t>.</w:t>
      </w:r>
    </w:p>
    <w:p w14:paraId="4E514678" w14:textId="77777777" w:rsidR="00465125" w:rsidRPr="00104AC4" w:rsidRDefault="00465125" w:rsidP="00104AC4">
      <w:pPr>
        <w:pStyle w:val="ListParagraph"/>
        <w:numPr>
          <w:ilvl w:val="0"/>
          <w:numId w:val="22"/>
        </w:numPr>
        <w:rPr>
          <w:rFonts w:cs="Times New Roman"/>
        </w:rPr>
      </w:pPr>
      <w:r w:rsidRPr="00104AC4">
        <w:rPr>
          <w:rFonts w:cs="Times New Roman"/>
        </w:rPr>
        <w:t>Elraies</w:t>
      </w:r>
      <w:r>
        <w:rPr>
          <w:rFonts w:cs="Times New Roman"/>
        </w:rPr>
        <w:t xml:space="preserve"> K.A.</w:t>
      </w:r>
      <w:r w:rsidRPr="00104AC4">
        <w:rPr>
          <w:rFonts w:cs="Times New Roman"/>
        </w:rPr>
        <w:t>, Tan</w:t>
      </w:r>
      <w:r>
        <w:rPr>
          <w:rFonts w:cs="Times New Roman"/>
        </w:rPr>
        <w:t xml:space="preserve"> I.M.</w:t>
      </w:r>
      <w:r w:rsidRPr="00104AC4">
        <w:rPr>
          <w:rFonts w:cs="Times New Roman"/>
        </w:rPr>
        <w:t>,</w:t>
      </w:r>
      <w:r>
        <w:rPr>
          <w:rFonts w:cs="Times New Roman"/>
        </w:rPr>
        <w:t xml:space="preserve"> </w:t>
      </w:r>
      <w:r w:rsidRPr="00104AC4">
        <w:rPr>
          <w:rFonts w:cs="Times New Roman"/>
        </w:rPr>
        <w:t>Awang</w:t>
      </w:r>
      <w:r>
        <w:rPr>
          <w:rFonts w:cs="Times New Roman"/>
        </w:rPr>
        <w:t xml:space="preserve"> M., and</w:t>
      </w:r>
      <w:r w:rsidRPr="00104AC4">
        <w:rPr>
          <w:rFonts w:cs="Times New Roman"/>
        </w:rPr>
        <w:t xml:space="preserve"> Saaid</w:t>
      </w:r>
      <w:r>
        <w:rPr>
          <w:rFonts w:cs="Times New Roman"/>
        </w:rPr>
        <w:t xml:space="preserve"> I.</w:t>
      </w:r>
      <w:r w:rsidRPr="00104AC4">
        <w:rPr>
          <w:rFonts w:cs="Times New Roman"/>
        </w:rPr>
        <w:t>,</w:t>
      </w:r>
      <w:r>
        <w:rPr>
          <w:rFonts w:cs="Times New Roman"/>
        </w:rPr>
        <w:t xml:space="preserve"> 2010.</w:t>
      </w:r>
      <w:r w:rsidRPr="00104AC4">
        <w:rPr>
          <w:rFonts w:cs="Times New Roman"/>
        </w:rPr>
        <w:t xml:space="preserve"> The synthesis and performance of sodium methyl ester sulfonate for enhanced oil recovery, Petroleum Science and Technology. 28</w:t>
      </w:r>
      <w:r>
        <w:rPr>
          <w:rFonts w:cs="Times New Roman"/>
        </w:rPr>
        <w:t xml:space="preserve">, </w:t>
      </w:r>
      <w:r w:rsidRPr="00104AC4">
        <w:rPr>
          <w:rFonts w:cs="Times New Roman"/>
        </w:rPr>
        <w:t xml:space="preserve">1799–1806. </w:t>
      </w:r>
      <w:hyperlink r:id="rId63" w:history="1">
        <w:r w:rsidRPr="0010421B">
          <w:rPr>
            <w:rStyle w:val="Hyperlink"/>
            <w:rFonts w:cs="Times New Roman"/>
          </w:rPr>
          <w:t>https://doi.org/10.1080/10916460903226072</w:t>
        </w:r>
      </w:hyperlink>
      <w:r w:rsidRPr="00104AC4">
        <w:rPr>
          <w:rFonts w:cs="Times New Roman"/>
        </w:rPr>
        <w:t>.</w:t>
      </w:r>
    </w:p>
    <w:p w14:paraId="1F095A23"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lastRenderedPageBreak/>
        <w:t xml:space="preserve">Gannaway G., 2014. NMR Investigation of Pore Structure in Gas Shales. Paper presented at the SPE Annual Technical Conference and Exhibition. </w:t>
      </w:r>
      <w:hyperlink r:id="rId64" w:history="1">
        <w:r w:rsidRPr="00104AC4">
          <w:rPr>
            <w:rStyle w:val="Hyperlink"/>
            <w:rFonts w:eastAsiaTheme="minorHAnsi" w:cs="Times New Roman"/>
          </w:rPr>
          <w:t>https://doi.org/10.2118/173474-STU</w:t>
        </w:r>
      </w:hyperlink>
      <w:r w:rsidRPr="00104AC4">
        <w:rPr>
          <w:rFonts w:eastAsiaTheme="minorHAnsi" w:cs="Times New Roman"/>
        </w:rPr>
        <w:t>.</w:t>
      </w:r>
    </w:p>
    <w:p w14:paraId="44D3C3CF" w14:textId="77777777" w:rsidR="00465125" w:rsidRPr="00104AC4" w:rsidRDefault="00465125" w:rsidP="00104AC4">
      <w:pPr>
        <w:pStyle w:val="ListParagraph"/>
        <w:numPr>
          <w:ilvl w:val="0"/>
          <w:numId w:val="22"/>
        </w:numPr>
        <w:rPr>
          <w:rFonts w:cs="Times New Roman"/>
        </w:rPr>
      </w:pPr>
      <w:r w:rsidRPr="00104AC4">
        <w:rPr>
          <w:rFonts w:cs="Times New Roman"/>
        </w:rPr>
        <w:t>Gomari S.R., Gomari, K.E., Islam M.</w:t>
      </w:r>
      <w:r>
        <w:rPr>
          <w:rFonts w:cs="Times New Roman"/>
        </w:rPr>
        <w:t>,</w:t>
      </w:r>
      <w:r w:rsidRPr="00104AC4">
        <w:rPr>
          <w:rFonts w:cs="Times New Roman"/>
        </w:rPr>
        <w:t xml:space="preserve"> and Hughes D., 2018. New Insight into the Influence of Rhamnolipid Bio-Surfactant on the Carbonate Rock/Water/Oil Interaction at Elevated Temperature. </w:t>
      </w:r>
      <w:r w:rsidRPr="00104AC4">
        <w:rPr>
          <w:rFonts w:eastAsiaTheme="majorEastAsia" w:cs="Times New Roman"/>
        </w:rPr>
        <w:t>Resources</w:t>
      </w:r>
      <w:r w:rsidRPr="00104AC4">
        <w:rPr>
          <w:rFonts w:cs="Times New Roman"/>
        </w:rPr>
        <w:t> 2018, </w:t>
      </w:r>
      <w:r w:rsidRPr="00104AC4">
        <w:rPr>
          <w:rFonts w:eastAsiaTheme="majorEastAsia" w:cs="Times New Roman"/>
        </w:rPr>
        <w:t>7</w:t>
      </w:r>
      <w:r w:rsidRPr="00104AC4">
        <w:rPr>
          <w:rFonts w:cs="Times New Roman"/>
        </w:rPr>
        <w:t xml:space="preserve">, 75. </w:t>
      </w:r>
      <w:hyperlink r:id="rId65" w:history="1">
        <w:r w:rsidRPr="00104AC4">
          <w:rPr>
            <w:rStyle w:val="Hyperlink"/>
            <w:rFonts w:cs="Times New Roman"/>
          </w:rPr>
          <w:t>https://doi.org/10.3390/resources7040075</w:t>
        </w:r>
      </w:hyperlink>
    </w:p>
    <w:p w14:paraId="0B0BC6E7" w14:textId="77777777" w:rsidR="00465125" w:rsidRPr="00104AC4" w:rsidRDefault="00465125" w:rsidP="00104AC4">
      <w:pPr>
        <w:pStyle w:val="ListParagraph"/>
        <w:numPr>
          <w:ilvl w:val="0"/>
          <w:numId w:val="22"/>
        </w:numPr>
        <w:rPr>
          <w:rFonts w:cs="Times New Roman"/>
        </w:rPr>
      </w:pPr>
      <w:r w:rsidRPr="00104AC4">
        <w:rPr>
          <w:rFonts w:cs="Times New Roman"/>
        </w:rPr>
        <w:t>Green D.W.</w:t>
      </w:r>
      <w:r>
        <w:rPr>
          <w:rFonts w:cs="Times New Roman"/>
        </w:rPr>
        <w:t>,</w:t>
      </w:r>
      <w:r w:rsidRPr="00104AC4">
        <w:rPr>
          <w:rFonts w:cs="Times New Roman"/>
        </w:rPr>
        <w:t xml:space="preserve"> and Willhite G.P., 1998. </w:t>
      </w:r>
      <w:r w:rsidRPr="007C693E">
        <w:rPr>
          <w:rFonts w:cs="Times New Roman"/>
          <w:i/>
          <w:iCs/>
        </w:rPr>
        <w:t>Enhanced Oil Recovery</w:t>
      </w:r>
      <w:r w:rsidRPr="00104AC4">
        <w:rPr>
          <w:rFonts w:cs="Times New Roman"/>
        </w:rPr>
        <w:t>, SPE Textbook Series, Volume 6</w:t>
      </w:r>
      <w:r>
        <w:rPr>
          <w:rFonts w:cs="Times New Roman"/>
        </w:rPr>
        <w:t xml:space="preserve">, </w:t>
      </w:r>
      <w:r w:rsidRPr="00104AC4">
        <w:rPr>
          <w:rFonts w:cs="Times New Roman"/>
        </w:rPr>
        <w:t xml:space="preserve">Society of Petroleum Engineers, Richardson, Texas. </w:t>
      </w:r>
    </w:p>
    <w:p w14:paraId="5DDA3234"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Gudina E.J., Rodrigues A.I., Alves E., Domingues M.R., Teixeira J.A</w:t>
      </w:r>
      <w:r>
        <w:rPr>
          <w:rFonts w:eastAsiaTheme="minorHAnsi" w:cs="Times New Roman"/>
        </w:rPr>
        <w:t>,</w:t>
      </w:r>
      <w:r w:rsidRPr="00104AC4">
        <w:rPr>
          <w:rFonts w:eastAsiaTheme="minorHAnsi" w:cs="Times New Roman"/>
        </w:rPr>
        <w:t xml:space="preserve"> and Ligia R.R., 2015. Bioconversion of agro-industrial by-products in rhamnolipids toward applications in enhanced oil recovery and bioremediation, Bioresource Technology, Volume 177, Pages 87-93, ISSN 0960-8524. </w:t>
      </w:r>
      <w:hyperlink r:id="rId66" w:history="1">
        <w:r w:rsidRPr="00104AC4">
          <w:rPr>
            <w:rStyle w:val="Hyperlink"/>
            <w:rFonts w:eastAsiaTheme="minorHAnsi" w:cs="Times New Roman"/>
          </w:rPr>
          <w:t>https://doi.org/10.1016/j.biortech.2014.11.069</w:t>
        </w:r>
      </w:hyperlink>
      <w:r w:rsidRPr="00104AC4">
        <w:rPr>
          <w:rFonts w:eastAsiaTheme="minorHAnsi" w:cs="Times New Roman"/>
        </w:rPr>
        <w:t>.</w:t>
      </w:r>
    </w:p>
    <w:p w14:paraId="16C4EE21" w14:textId="77777777" w:rsidR="00465125" w:rsidRPr="00104AC4" w:rsidRDefault="00465125" w:rsidP="00CF3557">
      <w:pPr>
        <w:pStyle w:val="ListParagraph"/>
        <w:numPr>
          <w:ilvl w:val="0"/>
          <w:numId w:val="22"/>
        </w:numPr>
        <w:rPr>
          <w:rFonts w:cs="Times New Roman"/>
        </w:rPr>
      </w:pPr>
      <w:r w:rsidRPr="00104AC4">
        <w:rPr>
          <w:rFonts w:cs="Times New Roman"/>
        </w:rPr>
        <w:t>Gunther M., Zibek S., and Rupp S., 2017. Fungal Glycolipids as Biosurfactants, Current Biotechnology, Volume 6</w:t>
      </w:r>
      <w:r>
        <w:rPr>
          <w:rFonts w:cs="Times New Roman"/>
        </w:rPr>
        <w:t xml:space="preserve">. </w:t>
      </w:r>
      <w:hyperlink r:id="rId67" w:history="1">
        <w:r w:rsidRPr="001076C8">
          <w:rPr>
            <w:rStyle w:val="Hyperlink"/>
            <w:rFonts w:eastAsiaTheme="majorEastAsia" w:cs="Times New Roman"/>
          </w:rPr>
          <w:t>http://dx.doi.org/10.2174/2211550105666160822170256</w:t>
        </w:r>
      </w:hyperlink>
      <w:r w:rsidRPr="00104AC4">
        <w:rPr>
          <w:rFonts w:cs="Times New Roman"/>
        </w:rPr>
        <w:t>.</w:t>
      </w:r>
    </w:p>
    <w:p w14:paraId="1BF0176C" w14:textId="77777777" w:rsidR="00465125" w:rsidRPr="00104AC4" w:rsidRDefault="00465125" w:rsidP="00104AC4">
      <w:pPr>
        <w:pStyle w:val="ListParagraph"/>
        <w:numPr>
          <w:ilvl w:val="0"/>
          <w:numId w:val="22"/>
        </w:numPr>
        <w:rPr>
          <w:rFonts w:cs="Times New Roman"/>
        </w:rPr>
      </w:pPr>
      <w:r w:rsidRPr="00104AC4">
        <w:rPr>
          <w:rFonts w:cs="Times New Roman"/>
        </w:rPr>
        <w:t xml:space="preserve">Gupta R. and Mohanty K.K., 2008. Wettability alteration of fractured carbonate reservoirs. In: SPE Symposium on Improved Oil Recovery. Society of Petroleum Engineers, pp. 19–23. </w:t>
      </w:r>
      <w:hyperlink r:id="rId68" w:history="1">
        <w:r w:rsidRPr="00104AC4">
          <w:rPr>
            <w:rStyle w:val="Hyperlink"/>
            <w:rFonts w:eastAsiaTheme="majorEastAsia" w:cs="Times New Roman"/>
          </w:rPr>
          <w:t>https://doi.org/10.2118/113407-MS</w:t>
        </w:r>
      </w:hyperlink>
      <w:r w:rsidRPr="00104AC4">
        <w:rPr>
          <w:rFonts w:cs="Times New Roman"/>
        </w:rPr>
        <w:t>.</w:t>
      </w:r>
    </w:p>
    <w:p w14:paraId="64BF3CE2" w14:textId="77777777" w:rsidR="00465125" w:rsidRPr="00104AC4" w:rsidRDefault="00465125" w:rsidP="00104AC4">
      <w:pPr>
        <w:pStyle w:val="ListParagraph"/>
        <w:numPr>
          <w:ilvl w:val="0"/>
          <w:numId w:val="22"/>
        </w:numPr>
        <w:rPr>
          <w:rFonts w:cs="Times New Roman"/>
        </w:rPr>
      </w:pPr>
      <w:r w:rsidRPr="00104AC4">
        <w:rPr>
          <w:rFonts w:cs="Times New Roman"/>
        </w:rPr>
        <w:t xml:space="preserve">Honciuc A., 2021. Chapter 4 - Surfactants and amphiphiles, Chemistry of Functional Materials Surfaces and Interfaces, Elsevier, Pages 43-77, ISBN 9780128210598. </w:t>
      </w:r>
      <w:hyperlink r:id="rId69" w:history="1">
        <w:r w:rsidRPr="00104AC4">
          <w:rPr>
            <w:rStyle w:val="Hyperlink"/>
            <w:rFonts w:cs="Times New Roman"/>
          </w:rPr>
          <w:t>https://doi.org/10.1016/B978-0-12-821059-8.00011-9</w:t>
        </w:r>
      </w:hyperlink>
      <w:r w:rsidRPr="00104AC4">
        <w:rPr>
          <w:rFonts w:cs="Times New Roman"/>
        </w:rPr>
        <w:t>.</w:t>
      </w:r>
    </w:p>
    <w:p w14:paraId="178FA237" w14:textId="77777777" w:rsidR="00465125" w:rsidRPr="00414B67" w:rsidRDefault="00465125" w:rsidP="00414B67">
      <w:pPr>
        <w:pStyle w:val="ListParagraph"/>
        <w:numPr>
          <w:ilvl w:val="0"/>
          <w:numId w:val="22"/>
        </w:numPr>
        <w:jc w:val="left"/>
        <w:rPr>
          <w:rFonts w:cs="Times New Roman"/>
        </w:rPr>
      </w:pPr>
      <w:r w:rsidRPr="00104AC4">
        <w:rPr>
          <w:rFonts w:cs="Times New Roman"/>
        </w:rPr>
        <w:t>Ines M.</w:t>
      </w:r>
      <w:r>
        <w:rPr>
          <w:rFonts w:cs="Times New Roman"/>
        </w:rPr>
        <w:t>,</w:t>
      </w:r>
      <w:r w:rsidRPr="00104AC4">
        <w:rPr>
          <w:rFonts w:cs="Times New Roman"/>
        </w:rPr>
        <w:t xml:space="preserve"> and Dhouha G., 2015. Glycolipid Biosurfactants: Potential related biomedical and biotechnological applications</w:t>
      </w:r>
      <w:r>
        <w:rPr>
          <w:rFonts w:cs="Times New Roman"/>
        </w:rPr>
        <w:t xml:space="preserve">, </w:t>
      </w:r>
      <w:r w:rsidRPr="00414B67">
        <w:rPr>
          <w:rFonts w:cs="Times New Roman"/>
        </w:rPr>
        <w:t>Carbohydrate Research,</w:t>
      </w:r>
      <w:r>
        <w:rPr>
          <w:rFonts w:cs="Times New Roman"/>
        </w:rPr>
        <w:t xml:space="preserve"> </w:t>
      </w:r>
      <w:r w:rsidRPr="00414B67">
        <w:rPr>
          <w:rFonts w:cs="Times New Roman"/>
        </w:rPr>
        <w:t>Volume 416,</w:t>
      </w:r>
      <w:r>
        <w:rPr>
          <w:rFonts w:cs="Times New Roman"/>
        </w:rPr>
        <w:t xml:space="preserve"> </w:t>
      </w:r>
      <w:r w:rsidRPr="00414B67">
        <w:rPr>
          <w:rFonts w:cs="Times New Roman"/>
        </w:rPr>
        <w:t>Pages 59-69,</w:t>
      </w:r>
      <w:r>
        <w:rPr>
          <w:rFonts w:cs="Times New Roman"/>
        </w:rPr>
        <w:t xml:space="preserve"> </w:t>
      </w:r>
      <w:r w:rsidRPr="00414B67">
        <w:rPr>
          <w:rFonts w:cs="Times New Roman"/>
        </w:rPr>
        <w:t>ISSN 0008-6215</w:t>
      </w:r>
      <w:r>
        <w:rPr>
          <w:rFonts w:cs="Times New Roman"/>
        </w:rPr>
        <w:t xml:space="preserve"> </w:t>
      </w:r>
      <w:hyperlink r:id="rId70" w:history="1">
        <w:r w:rsidRPr="001076C8">
          <w:rPr>
            <w:rStyle w:val="Hyperlink"/>
            <w:rFonts w:eastAsiaTheme="majorEastAsia" w:cs="Times New Roman"/>
          </w:rPr>
          <w:t>https://doi.org/10.1016/j.carres.2015.07.016</w:t>
        </w:r>
      </w:hyperlink>
      <w:r>
        <w:rPr>
          <w:rFonts w:eastAsiaTheme="majorEastAsia" w:cs="Times New Roman"/>
        </w:rPr>
        <w:t>.</w:t>
      </w:r>
    </w:p>
    <w:p w14:paraId="7C4ED1F9" w14:textId="77777777" w:rsidR="00465125" w:rsidRPr="00104AC4" w:rsidRDefault="00465125" w:rsidP="00104AC4">
      <w:pPr>
        <w:pStyle w:val="ListParagraph"/>
        <w:numPr>
          <w:ilvl w:val="0"/>
          <w:numId w:val="22"/>
        </w:numPr>
        <w:rPr>
          <w:rFonts w:cs="Times New Roman"/>
        </w:rPr>
      </w:pPr>
      <w:bookmarkStart w:id="188" w:name="OLE_LINK1"/>
      <w:r w:rsidRPr="00104AC4">
        <w:rPr>
          <w:rFonts w:cs="Times New Roman"/>
        </w:rPr>
        <w:lastRenderedPageBreak/>
        <w:t xml:space="preserve">Ingrid H., 2014. Investigation of adsorption of surfactants onto illite and relations to enhanced oil recovery methods, </w:t>
      </w:r>
      <w:r>
        <w:rPr>
          <w:rFonts w:cs="Times New Roman"/>
        </w:rPr>
        <w:t xml:space="preserve">MS Thesis, </w:t>
      </w:r>
      <w:r w:rsidRPr="00104AC4">
        <w:rPr>
          <w:rFonts w:cs="Times New Roman"/>
        </w:rPr>
        <w:t>Norwegian University of Science and Technology (NTNU), Trondheim</w:t>
      </w:r>
      <w:bookmarkEnd w:id="188"/>
      <w:r w:rsidRPr="00104AC4">
        <w:rPr>
          <w:rFonts w:cs="Times New Roman"/>
        </w:rPr>
        <w:t>.</w:t>
      </w:r>
    </w:p>
    <w:p w14:paraId="76DA2DEC" w14:textId="77777777" w:rsidR="00465125" w:rsidRPr="00104AC4" w:rsidRDefault="00465125" w:rsidP="00104AC4">
      <w:pPr>
        <w:pStyle w:val="ListParagraph"/>
        <w:numPr>
          <w:ilvl w:val="0"/>
          <w:numId w:val="22"/>
        </w:numPr>
        <w:rPr>
          <w:rFonts w:cs="Times New Roman"/>
        </w:rPr>
      </w:pPr>
      <w:r w:rsidRPr="00104AC4">
        <w:rPr>
          <w:rFonts w:cs="Times New Roman"/>
        </w:rPr>
        <w:t xml:space="preserve">Jahan R., Bodratti A.M., Tsianou M., and Alexandridis P., 2020. Biosurfactants, natural alternatives to synthetic Surfactants: Physicochemical properties and applications. Adv. Colloid Interface Sci., 275, 102061. </w:t>
      </w:r>
      <w:hyperlink r:id="rId71" w:history="1">
        <w:r w:rsidRPr="00104AC4">
          <w:rPr>
            <w:rStyle w:val="Hyperlink"/>
            <w:rFonts w:eastAsiaTheme="majorEastAsia" w:cs="Times New Roman"/>
          </w:rPr>
          <w:t>https://doi.org/10.1016/j.cis.2019.102061</w:t>
        </w:r>
      </w:hyperlink>
      <w:r w:rsidRPr="00104AC4">
        <w:rPr>
          <w:rFonts w:cs="Times New Roman"/>
        </w:rPr>
        <w:t>.</w:t>
      </w:r>
    </w:p>
    <w:p w14:paraId="2B20A94D" w14:textId="77777777" w:rsidR="00465125" w:rsidRPr="00104AC4" w:rsidRDefault="00465125" w:rsidP="00104AC4">
      <w:pPr>
        <w:pStyle w:val="ListParagraph"/>
        <w:numPr>
          <w:ilvl w:val="0"/>
          <w:numId w:val="22"/>
        </w:numPr>
        <w:rPr>
          <w:rFonts w:cs="Times New Roman"/>
        </w:rPr>
      </w:pPr>
      <w:r w:rsidRPr="00104AC4">
        <w:rPr>
          <w:rFonts w:cs="Times New Roman"/>
        </w:rPr>
        <w:t>Kamal M.S., Hussain S.M.S.</w:t>
      </w:r>
      <w:r>
        <w:rPr>
          <w:rFonts w:cs="Times New Roman"/>
        </w:rPr>
        <w:t>,</w:t>
      </w:r>
      <w:r w:rsidRPr="00104AC4">
        <w:rPr>
          <w:rFonts w:cs="Times New Roman"/>
        </w:rPr>
        <w:t xml:space="preserve"> and Fogang L.T., 2019. Role of ionic headgroups on the thermal, rheological, and foaming properties of novel betaine-based polyoxyethylene zwitterionic Surfactants for enhanced oil recovery. Processes, 7(12), 908. </w:t>
      </w:r>
      <w:hyperlink r:id="rId72" w:history="1">
        <w:r w:rsidRPr="00104AC4">
          <w:rPr>
            <w:rStyle w:val="Hyperlink"/>
            <w:rFonts w:eastAsiaTheme="majorEastAsia" w:cs="Times New Roman"/>
          </w:rPr>
          <w:t>https://doi.org/10.3390/pr7120908</w:t>
        </w:r>
      </w:hyperlink>
      <w:r w:rsidRPr="00104AC4">
        <w:rPr>
          <w:rStyle w:val="Hyperlink"/>
          <w:rFonts w:eastAsiaTheme="majorEastAsia" w:cs="Times New Roman"/>
        </w:rPr>
        <w:t>.</w:t>
      </w:r>
    </w:p>
    <w:p w14:paraId="1F0BBE79" w14:textId="77777777" w:rsidR="00465125" w:rsidRDefault="00465125" w:rsidP="00104AC4">
      <w:pPr>
        <w:pStyle w:val="ListParagraph"/>
        <w:numPr>
          <w:ilvl w:val="0"/>
          <w:numId w:val="22"/>
        </w:numPr>
        <w:rPr>
          <w:rFonts w:eastAsiaTheme="minorHAnsi" w:cs="Times New Roman"/>
        </w:rPr>
      </w:pPr>
      <w:r>
        <w:rPr>
          <w:rFonts w:eastAsiaTheme="minorHAnsi" w:cs="Times New Roman"/>
        </w:rPr>
        <w:t xml:space="preserve">Kruss, 2022. Critical Micelle Concentration. (accessed November 20, 2022) </w:t>
      </w:r>
    </w:p>
    <w:p w14:paraId="2096F715" w14:textId="77777777" w:rsidR="00465125" w:rsidRPr="00104AC4" w:rsidRDefault="00465125" w:rsidP="00104AC4">
      <w:pPr>
        <w:pStyle w:val="ListParagraph"/>
        <w:numPr>
          <w:ilvl w:val="0"/>
          <w:numId w:val="22"/>
        </w:numPr>
        <w:rPr>
          <w:rFonts w:cs="Times New Roman"/>
        </w:rPr>
      </w:pPr>
      <w:r w:rsidRPr="00104AC4">
        <w:rPr>
          <w:rFonts w:cs="Times New Roman"/>
        </w:rPr>
        <w:t>Kumar A.</w:t>
      </w:r>
      <w:r>
        <w:rPr>
          <w:rFonts w:cs="Times New Roman"/>
        </w:rPr>
        <w:t>,</w:t>
      </w:r>
      <w:r w:rsidRPr="00104AC4">
        <w:rPr>
          <w:rFonts w:cs="Times New Roman"/>
        </w:rPr>
        <w:t xml:space="preserve"> and Mandal A., 2019. Critical investigation of zwitterionic surfactant for enhanced oil recovery from both sandstone and carbonate reservoirs: Adsorption, wettability alteration and imbibition studies. Chemical Engineering Science, Volume 209, ISSN 0009-2509. </w:t>
      </w:r>
      <w:hyperlink r:id="rId73" w:history="1">
        <w:r w:rsidRPr="00104AC4">
          <w:rPr>
            <w:rStyle w:val="Hyperlink"/>
            <w:rFonts w:eastAsiaTheme="majorEastAsia" w:cs="Times New Roman"/>
          </w:rPr>
          <w:t>https://doi.org/10.1016/j.ces.2019.115222</w:t>
        </w:r>
      </w:hyperlink>
      <w:r w:rsidRPr="00104AC4">
        <w:rPr>
          <w:rFonts w:cs="Times New Roman"/>
        </w:rPr>
        <w:t>.</w:t>
      </w:r>
    </w:p>
    <w:p w14:paraId="5A91B346" w14:textId="77777777" w:rsidR="00465125" w:rsidRPr="00104AC4" w:rsidRDefault="00465125" w:rsidP="00104AC4">
      <w:pPr>
        <w:pStyle w:val="ListParagraph"/>
        <w:numPr>
          <w:ilvl w:val="0"/>
          <w:numId w:val="22"/>
        </w:numPr>
        <w:rPr>
          <w:rFonts w:cs="Times New Roman"/>
        </w:rPr>
      </w:pPr>
      <w:r w:rsidRPr="00104AC4">
        <w:rPr>
          <w:rFonts w:cs="Times New Roman"/>
        </w:rPr>
        <w:t xml:space="preserve">Lake L.W., 1989. </w:t>
      </w:r>
      <w:r w:rsidRPr="004C7F4D">
        <w:rPr>
          <w:rFonts w:cs="Times New Roman"/>
          <w:i/>
          <w:iCs/>
        </w:rPr>
        <w:t>Enhanced Oil Recovery, Chapter 9-Micellar-Polymer Flooding</w:t>
      </w:r>
      <w:r w:rsidRPr="00104AC4">
        <w:rPr>
          <w:rFonts w:cs="Times New Roman"/>
        </w:rPr>
        <w:t>, Upper Saddle River, NJ, 07458. Prentice-Hall Inc.</w:t>
      </w:r>
    </w:p>
    <w:p w14:paraId="22976BAF"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Law C., 1999. </w:t>
      </w:r>
      <w:r w:rsidRPr="004C7F4D">
        <w:rPr>
          <w:rFonts w:eastAsiaTheme="minorHAnsi" w:cs="Times New Roman"/>
          <w:i/>
          <w:iCs/>
        </w:rPr>
        <w:t>Evaluating Source Rocks in Treatise of Petroleum Geology: Exploring for Oil and Gas Traps</w:t>
      </w:r>
      <w:r w:rsidRPr="00104AC4">
        <w:rPr>
          <w:rFonts w:eastAsiaTheme="minorHAnsi" w:cs="Times New Roman"/>
        </w:rPr>
        <w:t xml:space="preserve">, Chap. 6, 1–41. Special Publications, Tulsa, Oklahoma, USA: AAPG, ISBN 978-1-58861-493-3. </w:t>
      </w:r>
    </w:p>
    <w:p w14:paraId="260AD797" w14:textId="77777777" w:rsidR="00465125" w:rsidRPr="00104AC4" w:rsidRDefault="00465125" w:rsidP="00104AC4">
      <w:pPr>
        <w:pStyle w:val="ListParagraph"/>
        <w:numPr>
          <w:ilvl w:val="0"/>
          <w:numId w:val="22"/>
        </w:numPr>
        <w:rPr>
          <w:rFonts w:cs="Times New Roman"/>
        </w:rPr>
      </w:pPr>
      <w:r w:rsidRPr="00104AC4">
        <w:rPr>
          <w:rFonts w:cs="Times New Roman"/>
        </w:rPr>
        <w:t>Lee K.S.</w:t>
      </w:r>
      <w:r>
        <w:rPr>
          <w:rFonts w:cs="Times New Roman"/>
        </w:rPr>
        <w:t>,</w:t>
      </w:r>
      <w:r w:rsidRPr="00104AC4">
        <w:rPr>
          <w:rFonts w:cs="Times New Roman"/>
        </w:rPr>
        <w:t xml:space="preserve"> and Lee J.J., 2019. </w:t>
      </w:r>
      <w:r w:rsidRPr="004C7F4D">
        <w:rPr>
          <w:rFonts w:cs="Times New Roman"/>
          <w:i/>
          <w:iCs/>
        </w:rPr>
        <w:t>Chapter 2 - Mechanisms of Low-Salinity and Smart Waterflood, Hybrid Enhanced Oil Recovery using Smart Waterflooding</w:t>
      </w:r>
      <w:r w:rsidRPr="00104AC4">
        <w:rPr>
          <w:rFonts w:cs="Times New Roman"/>
        </w:rPr>
        <w:t xml:space="preserve">, Gulf Professional </w:t>
      </w:r>
      <w:r w:rsidRPr="00104AC4">
        <w:rPr>
          <w:rFonts w:cs="Times New Roman"/>
        </w:rPr>
        <w:lastRenderedPageBreak/>
        <w:t xml:space="preserve">Publishing, Pages 27-37, ISBN 9780128167762. </w:t>
      </w:r>
      <w:hyperlink r:id="rId74" w:history="1">
        <w:r w:rsidRPr="00104AC4">
          <w:rPr>
            <w:rStyle w:val="Hyperlink"/>
            <w:rFonts w:cs="Times New Roman"/>
          </w:rPr>
          <w:t>https://doi.org/10.1016/B978-0-12-816776-2.00002-7</w:t>
        </w:r>
      </w:hyperlink>
    </w:p>
    <w:p w14:paraId="08FD8C7B" w14:textId="77777777" w:rsidR="00465125" w:rsidRPr="00104AC4" w:rsidRDefault="00465125" w:rsidP="00104AC4">
      <w:pPr>
        <w:pStyle w:val="ListParagraph"/>
        <w:numPr>
          <w:ilvl w:val="0"/>
          <w:numId w:val="22"/>
        </w:numPr>
        <w:rPr>
          <w:rFonts w:cs="Times New Roman"/>
        </w:rPr>
      </w:pPr>
      <w:r w:rsidRPr="00104AC4">
        <w:rPr>
          <w:rFonts w:cs="Times New Roman"/>
        </w:rPr>
        <w:t>Liu Z</w:t>
      </w:r>
      <w:r>
        <w:rPr>
          <w:rFonts w:cs="Times New Roman"/>
        </w:rPr>
        <w:t>.</w:t>
      </w:r>
      <w:r w:rsidRPr="00104AC4">
        <w:rPr>
          <w:rFonts w:cs="Times New Roman"/>
        </w:rPr>
        <w:t>, Ghatkesar M</w:t>
      </w:r>
      <w:r>
        <w:rPr>
          <w:rFonts w:cs="Times New Roman"/>
        </w:rPr>
        <w:t>.</w:t>
      </w:r>
      <w:r w:rsidRPr="00104AC4">
        <w:rPr>
          <w:rFonts w:cs="Times New Roman"/>
        </w:rPr>
        <w:t>K</w:t>
      </w:r>
      <w:r>
        <w:rPr>
          <w:rFonts w:cs="Times New Roman"/>
        </w:rPr>
        <w:t>.</w:t>
      </w:r>
      <w:r w:rsidRPr="00104AC4">
        <w:rPr>
          <w:rFonts w:cs="Times New Roman"/>
        </w:rPr>
        <w:t>, Sudholter E</w:t>
      </w:r>
      <w:r>
        <w:rPr>
          <w:rFonts w:cs="Times New Roman"/>
        </w:rPr>
        <w:t>.</w:t>
      </w:r>
      <w:r w:rsidRPr="00104AC4">
        <w:rPr>
          <w:rFonts w:cs="Times New Roman"/>
        </w:rPr>
        <w:t>J</w:t>
      </w:r>
      <w:r>
        <w:rPr>
          <w:rFonts w:cs="Times New Roman"/>
        </w:rPr>
        <w:t>.</w:t>
      </w:r>
      <w:r w:rsidRPr="00104AC4">
        <w:rPr>
          <w:rFonts w:cs="Times New Roman"/>
        </w:rPr>
        <w:t>, Singh B</w:t>
      </w:r>
      <w:r>
        <w:rPr>
          <w:rFonts w:cs="Times New Roman"/>
        </w:rPr>
        <w:t>., and</w:t>
      </w:r>
      <w:r w:rsidRPr="00104AC4">
        <w:rPr>
          <w:rFonts w:cs="Times New Roman"/>
        </w:rPr>
        <w:t xml:space="preserve"> Kumar N.</w:t>
      </w:r>
      <w:r>
        <w:rPr>
          <w:rFonts w:cs="Times New Roman"/>
        </w:rPr>
        <w:t xml:space="preserve">, 2019. </w:t>
      </w:r>
      <w:r w:rsidRPr="00104AC4">
        <w:rPr>
          <w:rFonts w:cs="Times New Roman"/>
        </w:rPr>
        <w:t>Understanding the cation dependent surfactant adsorption on clay minerals in oil recovery</w:t>
      </w:r>
      <w:r>
        <w:rPr>
          <w:rFonts w:cs="Times New Roman"/>
        </w:rPr>
        <w:t>,</w:t>
      </w:r>
      <w:r w:rsidRPr="00104AC4">
        <w:rPr>
          <w:rFonts w:cs="Times New Roman"/>
        </w:rPr>
        <w:t xml:space="preserve"> Energy Fuel;</w:t>
      </w:r>
      <w:r>
        <w:rPr>
          <w:rFonts w:cs="Times New Roman"/>
        </w:rPr>
        <w:t xml:space="preserve"> </w:t>
      </w:r>
      <w:r w:rsidRPr="00104AC4">
        <w:rPr>
          <w:rFonts w:cs="Times New Roman"/>
        </w:rPr>
        <w:t>33(12):12319–29</w:t>
      </w:r>
      <w:hyperlink r:id="rId75" w:history="1">
        <w:r w:rsidRPr="00465125">
          <w:rPr>
            <w:rStyle w:val="Hyperlink"/>
            <w:rFonts w:cs="Times New Roman"/>
          </w:rPr>
          <w:t>. https://doi.org/10.1021/acs.energyfuels.9b03109</w:t>
        </w:r>
      </w:hyperlink>
      <w:r>
        <w:rPr>
          <w:rFonts w:cs="Times New Roman"/>
        </w:rPr>
        <w:t>.</w:t>
      </w:r>
    </w:p>
    <w:p w14:paraId="02030F3F" w14:textId="223668F6" w:rsidR="00465125" w:rsidRPr="00104AC4" w:rsidRDefault="00465125" w:rsidP="00104AC4">
      <w:pPr>
        <w:pStyle w:val="ListParagraph"/>
        <w:numPr>
          <w:ilvl w:val="0"/>
          <w:numId w:val="22"/>
        </w:numPr>
        <w:rPr>
          <w:rFonts w:cs="Times New Roman"/>
        </w:rPr>
      </w:pPr>
      <w:r w:rsidRPr="00104AC4">
        <w:rPr>
          <w:rFonts w:cs="Times New Roman"/>
        </w:rPr>
        <w:t>Liu</w:t>
      </w:r>
      <w:r>
        <w:rPr>
          <w:rFonts w:cs="Times New Roman"/>
        </w:rPr>
        <w:t xml:space="preserve"> Z.</w:t>
      </w:r>
      <w:r w:rsidRPr="00104AC4">
        <w:rPr>
          <w:rFonts w:cs="Times New Roman"/>
        </w:rPr>
        <w:t>, Ghatkesar</w:t>
      </w:r>
      <w:r>
        <w:rPr>
          <w:rFonts w:cs="Times New Roman"/>
        </w:rPr>
        <w:t xml:space="preserve"> M.K.</w:t>
      </w:r>
      <w:r w:rsidRPr="00104AC4">
        <w:rPr>
          <w:rFonts w:cs="Times New Roman"/>
        </w:rPr>
        <w:t>, Sudh</w:t>
      </w:r>
      <w:r>
        <w:rPr>
          <w:rFonts w:cs="Times New Roman"/>
        </w:rPr>
        <w:t>o</w:t>
      </w:r>
      <w:r w:rsidRPr="00104AC4">
        <w:rPr>
          <w:rFonts w:cs="Times New Roman"/>
        </w:rPr>
        <w:t>lter</w:t>
      </w:r>
      <w:r>
        <w:rPr>
          <w:rFonts w:cs="Times New Roman"/>
        </w:rPr>
        <w:t xml:space="preserve"> E.J.R.</w:t>
      </w:r>
      <w:r w:rsidRPr="00104AC4">
        <w:rPr>
          <w:rFonts w:cs="Times New Roman"/>
        </w:rPr>
        <w:t>, Binder Singh, and Kumar</w:t>
      </w:r>
      <w:r>
        <w:rPr>
          <w:rFonts w:cs="Times New Roman"/>
        </w:rPr>
        <w:t xml:space="preserve"> N.</w:t>
      </w:r>
      <w:r w:rsidRPr="00104AC4">
        <w:rPr>
          <w:rFonts w:cs="Times New Roman"/>
        </w:rPr>
        <w:t xml:space="preserve">, 2019. Understanding the Cation-Dependent Surfactant Adsorption on Clay Minerals in Oil Recovery, </w:t>
      </w:r>
      <w:r w:rsidRPr="00CC1992">
        <w:rPr>
          <w:rStyle w:val="HTMLCite"/>
          <w:rFonts w:eastAsiaTheme="majorEastAsia" w:cs="Times New Roman"/>
          <w:i w:val="0"/>
          <w:iCs w:val="0"/>
          <w:color w:val="000000"/>
        </w:rPr>
        <w:t>Energy &amp; Fuels</w:t>
      </w:r>
      <w:r w:rsidRPr="00104AC4">
        <w:rPr>
          <w:rStyle w:val="apple-converted-space"/>
          <w:rFonts w:cs="Times New Roman"/>
          <w:color w:val="000000"/>
        </w:rPr>
        <w:t> </w:t>
      </w:r>
      <w:r w:rsidRPr="00104AC4">
        <w:rPr>
          <w:rStyle w:val="Strong"/>
          <w:rFonts w:cs="Times New Roman"/>
          <w:b w:val="0"/>
          <w:bCs w:val="0"/>
          <w:color w:val="000000"/>
        </w:rPr>
        <w:t>2019</w:t>
      </w:r>
      <w:r w:rsidRPr="00104AC4">
        <w:rPr>
          <w:rStyle w:val="apple-converted-space"/>
          <w:rFonts w:cs="Times New Roman"/>
          <w:color w:val="000000"/>
        </w:rPr>
        <w:t> </w:t>
      </w:r>
      <w:r w:rsidRPr="00104AC4">
        <w:rPr>
          <w:rStyle w:val="Emphasis"/>
          <w:rFonts w:cs="Times New Roman"/>
          <w:color w:val="000000"/>
        </w:rPr>
        <w:t>33</w:t>
      </w:r>
      <w:r w:rsidRPr="00104AC4">
        <w:rPr>
          <w:rStyle w:val="apple-converted-space"/>
          <w:rFonts w:cs="Times New Roman"/>
          <w:color w:val="000000"/>
        </w:rPr>
        <w:t> </w:t>
      </w:r>
      <w:r w:rsidRPr="00104AC4">
        <w:rPr>
          <w:rFonts w:cs="Times New Roman"/>
        </w:rPr>
        <w:t xml:space="preserve">(12), 12319-12329. </w:t>
      </w:r>
      <w:hyperlink r:id="rId76" w:history="1">
        <w:r w:rsidRPr="00104AC4">
          <w:rPr>
            <w:rStyle w:val="Hyperlink"/>
            <w:rFonts w:cs="Times New Roman"/>
          </w:rPr>
          <w:t>10.1021/acs.energyfuels.9b03109</w:t>
        </w:r>
      </w:hyperlink>
    </w:p>
    <w:p w14:paraId="4A6C9F14" w14:textId="77777777" w:rsidR="00465125" w:rsidRPr="00104AC4" w:rsidRDefault="00465125" w:rsidP="00104AC4">
      <w:pPr>
        <w:pStyle w:val="ListParagraph"/>
        <w:numPr>
          <w:ilvl w:val="0"/>
          <w:numId w:val="22"/>
        </w:numPr>
        <w:rPr>
          <w:rFonts w:cs="Times New Roman"/>
        </w:rPr>
      </w:pPr>
      <w:r w:rsidRPr="00104AC4">
        <w:rPr>
          <w:rFonts w:cs="Times New Roman"/>
        </w:rPr>
        <w:t>L</w:t>
      </w:r>
      <w:r>
        <w:rPr>
          <w:rFonts w:cs="Times New Roman"/>
        </w:rPr>
        <w:t>iu</w:t>
      </w:r>
      <w:r w:rsidRPr="00764109">
        <w:rPr>
          <w:rFonts w:cs="Times New Roman"/>
        </w:rPr>
        <w:t xml:space="preserve"> </w:t>
      </w:r>
      <w:r w:rsidRPr="00104AC4">
        <w:rPr>
          <w:rFonts w:cs="Times New Roman"/>
        </w:rPr>
        <w:t>Z</w:t>
      </w:r>
      <w:r>
        <w:rPr>
          <w:rFonts w:cs="Times New Roman"/>
        </w:rPr>
        <w:t>.</w:t>
      </w:r>
      <w:r w:rsidRPr="00104AC4">
        <w:rPr>
          <w:rFonts w:cs="Times New Roman"/>
        </w:rPr>
        <w:t>, Zhao</w:t>
      </w:r>
      <w:r>
        <w:rPr>
          <w:rFonts w:cs="Times New Roman"/>
        </w:rPr>
        <w:t xml:space="preserve"> G.</w:t>
      </w:r>
      <w:r w:rsidRPr="00104AC4">
        <w:rPr>
          <w:rFonts w:cs="Times New Roman"/>
        </w:rPr>
        <w:t>, Brewer</w:t>
      </w:r>
      <w:r>
        <w:rPr>
          <w:rFonts w:cs="Times New Roman"/>
        </w:rPr>
        <w:t xml:space="preserve"> M.</w:t>
      </w:r>
      <w:r w:rsidRPr="00104AC4">
        <w:rPr>
          <w:rFonts w:cs="Times New Roman"/>
        </w:rPr>
        <w:t xml:space="preserve">, Lv </w:t>
      </w:r>
      <w:r>
        <w:rPr>
          <w:rFonts w:cs="Times New Roman"/>
        </w:rPr>
        <w:t>Q., a</w:t>
      </w:r>
      <w:r w:rsidRPr="00104AC4">
        <w:rPr>
          <w:rFonts w:cs="Times New Roman"/>
        </w:rPr>
        <w:t>nd Sudh</w:t>
      </w:r>
      <w:r>
        <w:rPr>
          <w:rFonts w:cs="Times New Roman"/>
        </w:rPr>
        <w:t>o</w:t>
      </w:r>
      <w:r w:rsidRPr="00104AC4">
        <w:rPr>
          <w:rFonts w:cs="Times New Roman"/>
        </w:rPr>
        <w:t>lter</w:t>
      </w:r>
      <w:r>
        <w:rPr>
          <w:rFonts w:cs="Times New Roman"/>
        </w:rPr>
        <w:t xml:space="preserve"> E.J.R.</w:t>
      </w:r>
      <w:r w:rsidRPr="00104AC4">
        <w:rPr>
          <w:rFonts w:cs="Times New Roman"/>
        </w:rPr>
        <w:t xml:space="preserve">, 2021. Comprehensive review on surfactant adsorption on mineral surfaces in chemical enhanced oil recovery, Advances in Colloid and Interface Science, Volume 294, 102467, ISSN 0001-8686, </w:t>
      </w:r>
      <w:hyperlink r:id="rId77" w:history="1">
        <w:r w:rsidRPr="00104AC4">
          <w:rPr>
            <w:rStyle w:val="Hyperlink"/>
            <w:rFonts w:cs="Times New Roman"/>
          </w:rPr>
          <w:t>https://doi.org/10.1016/j.cis.2021.102467.</w:t>
        </w:r>
      </w:hyperlink>
    </w:p>
    <w:p w14:paraId="441FAF24" w14:textId="77777777" w:rsidR="00465125" w:rsidRPr="00104AC4" w:rsidRDefault="00465125" w:rsidP="00465125">
      <w:pPr>
        <w:pStyle w:val="ListParagraph"/>
        <w:numPr>
          <w:ilvl w:val="0"/>
          <w:numId w:val="22"/>
        </w:numPr>
        <w:rPr>
          <w:rFonts w:cs="Times New Roman"/>
        </w:rPr>
      </w:pPr>
      <w:r w:rsidRPr="00104AC4">
        <w:rPr>
          <w:rFonts w:cs="Times New Roman"/>
        </w:rPr>
        <w:t>Madani</w:t>
      </w:r>
      <w:r>
        <w:rPr>
          <w:rFonts w:cs="Times New Roman"/>
        </w:rPr>
        <w:t xml:space="preserve"> M.</w:t>
      </w:r>
      <w:r w:rsidRPr="00104AC4">
        <w:rPr>
          <w:rFonts w:cs="Times New Roman"/>
        </w:rPr>
        <w:t>, Zargar</w:t>
      </w:r>
      <w:r>
        <w:rPr>
          <w:rFonts w:cs="Times New Roman"/>
        </w:rPr>
        <w:t xml:space="preserve"> G.</w:t>
      </w:r>
      <w:r w:rsidRPr="00104AC4">
        <w:rPr>
          <w:rFonts w:cs="Times New Roman"/>
        </w:rPr>
        <w:t>,</w:t>
      </w:r>
      <w:r>
        <w:rPr>
          <w:rFonts w:cs="Times New Roman"/>
        </w:rPr>
        <w:t xml:space="preserve"> </w:t>
      </w:r>
      <w:r w:rsidRPr="00104AC4">
        <w:rPr>
          <w:rFonts w:cs="Times New Roman"/>
        </w:rPr>
        <w:t>Takassi</w:t>
      </w:r>
      <w:r>
        <w:rPr>
          <w:rFonts w:cs="Times New Roman"/>
        </w:rPr>
        <w:t xml:space="preserve"> M.A.</w:t>
      </w:r>
      <w:r w:rsidRPr="00104AC4">
        <w:rPr>
          <w:rFonts w:cs="Times New Roman"/>
        </w:rPr>
        <w:t>, Daryasafar</w:t>
      </w:r>
      <w:r>
        <w:rPr>
          <w:rFonts w:cs="Times New Roman"/>
        </w:rPr>
        <w:t xml:space="preserve"> A.</w:t>
      </w:r>
      <w:r w:rsidRPr="00104AC4">
        <w:rPr>
          <w:rFonts w:cs="Times New Roman"/>
        </w:rPr>
        <w:t>,</w:t>
      </w:r>
      <w:r>
        <w:rPr>
          <w:rFonts w:cs="Times New Roman"/>
        </w:rPr>
        <w:t xml:space="preserve"> </w:t>
      </w:r>
      <w:r w:rsidRPr="00104AC4">
        <w:rPr>
          <w:rFonts w:cs="Times New Roman"/>
        </w:rPr>
        <w:t>Wood</w:t>
      </w:r>
      <w:r>
        <w:rPr>
          <w:rFonts w:cs="Times New Roman"/>
        </w:rPr>
        <w:t xml:space="preserve"> </w:t>
      </w:r>
      <w:r w:rsidRPr="00104AC4">
        <w:rPr>
          <w:rFonts w:cs="Times New Roman"/>
        </w:rPr>
        <w:t xml:space="preserve">D.A., </w:t>
      </w:r>
      <w:r>
        <w:rPr>
          <w:rFonts w:cs="Times New Roman"/>
        </w:rPr>
        <w:t xml:space="preserve">and </w:t>
      </w:r>
      <w:r w:rsidRPr="00104AC4">
        <w:rPr>
          <w:rFonts w:cs="Times New Roman"/>
        </w:rPr>
        <w:t>Zhang</w:t>
      </w:r>
      <w:r>
        <w:rPr>
          <w:rFonts w:cs="Times New Roman"/>
        </w:rPr>
        <w:t xml:space="preserve"> </w:t>
      </w:r>
      <w:r w:rsidRPr="00104AC4">
        <w:rPr>
          <w:rFonts w:cs="Times New Roman"/>
        </w:rPr>
        <w:t>Z.,</w:t>
      </w:r>
      <w:r>
        <w:rPr>
          <w:rFonts w:cs="Times New Roman"/>
        </w:rPr>
        <w:t xml:space="preserve"> 2019.</w:t>
      </w:r>
      <w:r w:rsidRPr="00104AC4">
        <w:rPr>
          <w:rFonts w:cs="Times New Roman"/>
        </w:rPr>
        <w:t xml:space="preserve"> Fundamental investigation of an environmentally-friendly surfactant agent for chemical enhanced oil recovery, Fuel. 238</w:t>
      </w:r>
      <w:r>
        <w:rPr>
          <w:rFonts w:cs="Times New Roman"/>
        </w:rPr>
        <w:t xml:space="preserve">, </w:t>
      </w:r>
      <w:r w:rsidRPr="00104AC4">
        <w:rPr>
          <w:rFonts w:cs="Times New Roman"/>
        </w:rPr>
        <w:t>186–197.</w:t>
      </w:r>
      <w:r w:rsidRPr="00104AC4">
        <w:rPr>
          <w:rFonts w:cs="Times New Roman"/>
          <w:spacing w:val="-8"/>
        </w:rPr>
        <w:t xml:space="preserve"> </w:t>
      </w:r>
      <w:hyperlink r:id="rId78" w:history="1">
        <w:r w:rsidRPr="00465125">
          <w:rPr>
            <w:rStyle w:val="Hyperlink"/>
            <w:rFonts w:cs="Times New Roman"/>
            <w:spacing w:val="-8"/>
          </w:rPr>
          <w:t>https://doi.org/10.1016/j.fuel.2018.10.105</w:t>
        </w:r>
      </w:hyperlink>
    </w:p>
    <w:p w14:paraId="0E8EBFA3"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Mannhardt K., Schramm L., and Novosad J., 1993. Effect of rock type and brine composition on adsorption of two foam-forming Surfactants. SPE Advanced Technical Series, Volume 1, p. 212-218. </w:t>
      </w:r>
      <w:hyperlink r:id="rId79" w:history="1">
        <w:r w:rsidRPr="00104AC4">
          <w:rPr>
            <w:rStyle w:val="Hyperlink"/>
            <w:rFonts w:eastAsiaTheme="minorHAnsi" w:cs="Times New Roman"/>
          </w:rPr>
          <w:t xml:space="preserve">https://doi.org/10.2118/20463-PA. </w:t>
        </w:r>
      </w:hyperlink>
    </w:p>
    <w:p w14:paraId="155A959A"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Mantele W.</w:t>
      </w:r>
      <w:r>
        <w:rPr>
          <w:rFonts w:eastAsiaTheme="minorHAnsi" w:cs="Times New Roman"/>
        </w:rPr>
        <w:t>,</w:t>
      </w:r>
      <w:r w:rsidRPr="00104AC4">
        <w:rPr>
          <w:rFonts w:eastAsiaTheme="minorHAnsi" w:cs="Times New Roman"/>
        </w:rPr>
        <w:t xml:space="preserve"> and Deniz E., 2017. UV-VIS Absorption Spectroscopy: Lambert-Beer reloaded, Spectrochimica Acta Part A: Molecular and Biomolecular Spectroscopy, Volume 173, p. 965-968. </w:t>
      </w:r>
      <w:hyperlink r:id="rId80" w:history="1">
        <w:r w:rsidRPr="00104AC4">
          <w:rPr>
            <w:rStyle w:val="Hyperlink"/>
            <w:rFonts w:eastAsiaTheme="minorHAnsi" w:cs="Times New Roman"/>
          </w:rPr>
          <w:t>https://doi.org/10.1016/j.saa.2016.09.037</w:t>
        </w:r>
      </w:hyperlink>
    </w:p>
    <w:p w14:paraId="4F29F010" w14:textId="77777777" w:rsidR="00465125" w:rsidRPr="00104AC4" w:rsidRDefault="00465125" w:rsidP="00104AC4">
      <w:pPr>
        <w:pStyle w:val="ListParagraph"/>
        <w:numPr>
          <w:ilvl w:val="0"/>
          <w:numId w:val="22"/>
        </w:numPr>
        <w:rPr>
          <w:rFonts w:cs="Times New Roman"/>
        </w:rPr>
      </w:pPr>
      <w:r w:rsidRPr="00104AC4">
        <w:rPr>
          <w:rFonts w:cs="Times New Roman"/>
        </w:rPr>
        <w:lastRenderedPageBreak/>
        <w:t xml:space="preserve">Miller C., Bageri B.S., Zeng T., Patil S., and Mohanty K.K., 2020. Modified two-phase titration methods to quantify Surfactant concentrations in chemical-enhanced oil recovery applications. J. Surfactants Deterg. 23, 1159–1167. </w:t>
      </w:r>
      <w:hyperlink r:id="rId81" w:history="1">
        <w:r w:rsidRPr="00104AC4">
          <w:rPr>
            <w:rStyle w:val="Hyperlink"/>
            <w:rFonts w:eastAsiaTheme="majorEastAsia" w:cs="Times New Roman"/>
          </w:rPr>
          <w:t>https://doi.org/10.1002/jsde.12442</w:t>
        </w:r>
      </w:hyperlink>
      <w:r w:rsidRPr="00104AC4">
        <w:rPr>
          <w:rFonts w:cs="Times New Roman"/>
        </w:rPr>
        <w:t>.</w:t>
      </w:r>
    </w:p>
    <w:p w14:paraId="16EB7BB8"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Mushtaq M., Tan I. M., Ismail L., Nadeem M., Sagir M., Azam R., and Hashmet R., 2014. Influence of PZC (Point of Zero Charge) on the Static Adsorption of Anionic Surfactants on a Malaysian Sandstone, Journal of Dispersion Science and Technology, 35:3, p. 343-349. </w:t>
      </w:r>
      <w:hyperlink r:id="rId82" w:history="1">
        <w:r w:rsidRPr="00104AC4">
          <w:rPr>
            <w:rStyle w:val="Hyperlink"/>
            <w:rFonts w:eastAsiaTheme="minorHAnsi" w:cs="Times New Roman"/>
          </w:rPr>
          <w:t>https://doi.org/10.1080/01932691.2013.785362</w:t>
        </w:r>
      </w:hyperlink>
      <w:r w:rsidRPr="00104AC4">
        <w:rPr>
          <w:rStyle w:val="Hyperlink"/>
          <w:rFonts w:eastAsiaTheme="minorHAnsi" w:cs="Times New Roman"/>
        </w:rPr>
        <w:t>.</w:t>
      </w:r>
    </w:p>
    <w:p w14:paraId="62F5F684" w14:textId="1071FC9A" w:rsidR="00465125" w:rsidRPr="00104AC4" w:rsidRDefault="00465125" w:rsidP="00104AC4">
      <w:pPr>
        <w:pStyle w:val="ListParagraph"/>
        <w:numPr>
          <w:ilvl w:val="0"/>
          <w:numId w:val="22"/>
        </w:numPr>
        <w:rPr>
          <w:rFonts w:cs="Times New Roman"/>
        </w:rPr>
      </w:pPr>
      <w:r w:rsidRPr="00104AC4">
        <w:rPr>
          <w:rFonts w:cs="Times New Roman"/>
        </w:rPr>
        <w:t>Saxena</w:t>
      </w:r>
      <w:r w:rsidR="00200BCF">
        <w:rPr>
          <w:rFonts w:cs="Times New Roman"/>
        </w:rPr>
        <w:t xml:space="preserve"> N.</w:t>
      </w:r>
      <w:r w:rsidRPr="00104AC4">
        <w:rPr>
          <w:rFonts w:cs="Times New Roman"/>
        </w:rPr>
        <w:t>, Pal</w:t>
      </w:r>
      <w:r w:rsidR="00200BCF">
        <w:rPr>
          <w:rFonts w:cs="Times New Roman"/>
        </w:rPr>
        <w:t xml:space="preserve"> N.</w:t>
      </w:r>
      <w:r w:rsidRPr="00104AC4">
        <w:rPr>
          <w:rFonts w:cs="Times New Roman"/>
        </w:rPr>
        <w:t>, Dey</w:t>
      </w:r>
      <w:r w:rsidR="00200BCF">
        <w:rPr>
          <w:rFonts w:cs="Times New Roman"/>
        </w:rPr>
        <w:t xml:space="preserve"> S.</w:t>
      </w:r>
      <w:r w:rsidRPr="00104AC4">
        <w:rPr>
          <w:rFonts w:cs="Times New Roman"/>
        </w:rPr>
        <w:t xml:space="preserve">, </w:t>
      </w:r>
      <w:r>
        <w:rPr>
          <w:rFonts w:cs="Times New Roman"/>
        </w:rPr>
        <w:t>and</w:t>
      </w:r>
      <w:r w:rsidRPr="00104AC4">
        <w:rPr>
          <w:rFonts w:cs="Times New Roman"/>
        </w:rPr>
        <w:t xml:space="preserve"> Mandal</w:t>
      </w:r>
      <w:r w:rsidR="00200BCF">
        <w:rPr>
          <w:rFonts w:cs="Times New Roman"/>
        </w:rPr>
        <w:t xml:space="preserve"> A.</w:t>
      </w:r>
      <w:r w:rsidRPr="00104AC4">
        <w:rPr>
          <w:rFonts w:cs="Times New Roman"/>
        </w:rPr>
        <w:t xml:space="preserve">, </w:t>
      </w:r>
      <w:r>
        <w:rPr>
          <w:rFonts w:cs="Times New Roman"/>
        </w:rPr>
        <w:t xml:space="preserve">2017. </w:t>
      </w:r>
      <w:r w:rsidRPr="00104AC4">
        <w:rPr>
          <w:rFonts w:cs="Times New Roman"/>
        </w:rPr>
        <w:t xml:space="preserve">Characterizations of surfactant synthesized from palm oil </w:t>
      </w:r>
      <w:r w:rsidRPr="00104AC4">
        <w:rPr>
          <w:rFonts w:cs="Times New Roman"/>
          <w:spacing w:val="3"/>
        </w:rPr>
        <w:t xml:space="preserve">and </w:t>
      </w:r>
      <w:r w:rsidRPr="00104AC4">
        <w:rPr>
          <w:rFonts w:cs="Times New Roman"/>
        </w:rPr>
        <w:t>its application in enhanced oil recovery, Journal of the Taiwan Institute of Chemical Engineers</w:t>
      </w:r>
      <w:r w:rsidR="007A1E90">
        <w:rPr>
          <w:rFonts w:cs="Times New Roman"/>
        </w:rPr>
        <w:t xml:space="preserve">, </w:t>
      </w:r>
      <w:r w:rsidRPr="00104AC4">
        <w:rPr>
          <w:rFonts w:cs="Times New Roman"/>
        </w:rPr>
        <w:t>81</w:t>
      </w:r>
      <w:r>
        <w:rPr>
          <w:rFonts w:cs="Times New Roman"/>
        </w:rPr>
        <w:t xml:space="preserve">, </w:t>
      </w:r>
      <w:r w:rsidRPr="00104AC4">
        <w:rPr>
          <w:rFonts w:cs="Times New Roman"/>
        </w:rPr>
        <w:t>343–355.</w:t>
      </w:r>
      <w:r w:rsidRPr="00104AC4">
        <w:rPr>
          <w:rFonts w:cs="Times New Roman"/>
          <w:spacing w:val="-1"/>
        </w:rPr>
        <w:t xml:space="preserve"> </w:t>
      </w:r>
      <w:hyperlink r:id="rId83" w:history="1">
        <w:r w:rsidRPr="00104AC4">
          <w:rPr>
            <w:rStyle w:val="Hyperlink"/>
            <w:rFonts w:cs="Times New Roman"/>
          </w:rPr>
          <w:t>https://doi.org/10.1016/j.jtice.2017.09.014</w:t>
        </w:r>
      </w:hyperlink>
      <w:r w:rsidRPr="00104AC4">
        <w:rPr>
          <w:rFonts w:cs="Times New Roman"/>
        </w:rPr>
        <w:t>.</w:t>
      </w:r>
    </w:p>
    <w:p w14:paraId="10FF1A65" w14:textId="356C0DB6" w:rsidR="00465125" w:rsidRPr="00104AC4" w:rsidRDefault="00465125" w:rsidP="00104AC4">
      <w:pPr>
        <w:pStyle w:val="ListParagraph"/>
        <w:numPr>
          <w:ilvl w:val="0"/>
          <w:numId w:val="22"/>
        </w:numPr>
        <w:rPr>
          <w:rFonts w:cs="Times New Roman"/>
        </w:rPr>
      </w:pPr>
      <w:r w:rsidRPr="00104AC4">
        <w:rPr>
          <w:rFonts w:cs="Times New Roman"/>
        </w:rPr>
        <w:t>Nowrouzi A.H.</w:t>
      </w:r>
      <w:r>
        <w:rPr>
          <w:rFonts w:cs="Times New Roman"/>
        </w:rPr>
        <w:t>,</w:t>
      </w:r>
      <w:r w:rsidRPr="00104AC4">
        <w:rPr>
          <w:rFonts w:cs="Times New Roman"/>
        </w:rPr>
        <w:t xml:space="preserve"> Mohammadi A.K.</w:t>
      </w:r>
      <w:r>
        <w:rPr>
          <w:rFonts w:cs="Times New Roman"/>
        </w:rPr>
        <w:t>, and</w:t>
      </w:r>
      <w:r w:rsidRPr="00104AC4">
        <w:rPr>
          <w:rFonts w:cs="Times New Roman"/>
        </w:rPr>
        <w:t xml:space="preserve"> Manshad,</w:t>
      </w:r>
      <w:r>
        <w:rPr>
          <w:rFonts w:cs="Times New Roman"/>
        </w:rPr>
        <w:t xml:space="preserve"> 2020.</w:t>
      </w:r>
      <w:r w:rsidRPr="00104AC4">
        <w:rPr>
          <w:rFonts w:cs="Times New Roman"/>
        </w:rPr>
        <w:t xml:space="preserve"> Characterization and evaluation of a natural surfactant extracted from Soapwort plant for alkali-surfactant-polymer (ASP) slug injection into sandstone oil reservoirs, Journal of Molecular Liquids</w:t>
      </w:r>
      <w:r>
        <w:rPr>
          <w:rFonts w:cs="Times New Roman"/>
        </w:rPr>
        <w:t>.</w:t>
      </w:r>
      <w:r w:rsidRPr="00104AC4">
        <w:rPr>
          <w:rFonts w:cs="Times New Roman"/>
        </w:rPr>
        <w:t xml:space="preserve"> </w:t>
      </w:r>
      <w:hyperlink r:id="rId84" w:history="1">
        <w:r w:rsidRPr="000718A1">
          <w:rPr>
            <w:rStyle w:val="Hyperlink"/>
            <w:rFonts w:cs="Times New Roman"/>
          </w:rPr>
          <w:t>https://doi.org/10.1016/j.molliq.2020.114369</w:t>
        </w:r>
      </w:hyperlink>
      <w:r w:rsidRPr="00104AC4">
        <w:rPr>
          <w:rFonts w:cs="Times New Roman"/>
        </w:rPr>
        <w:t>.</w:t>
      </w:r>
    </w:p>
    <w:p w14:paraId="25A45282" w14:textId="77777777" w:rsidR="00465125" w:rsidRPr="00104AC4" w:rsidRDefault="00465125" w:rsidP="00104AC4">
      <w:pPr>
        <w:pStyle w:val="ListParagraph"/>
        <w:numPr>
          <w:ilvl w:val="0"/>
          <w:numId w:val="22"/>
        </w:numPr>
        <w:rPr>
          <w:rFonts w:cs="Times New Roman"/>
        </w:rPr>
      </w:pPr>
      <w:r w:rsidRPr="00104AC4">
        <w:rPr>
          <w:rFonts w:cs="Times New Roman"/>
        </w:rPr>
        <w:t>Nowrouzi I., Mohammadi A.H.</w:t>
      </w:r>
      <w:r>
        <w:rPr>
          <w:rFonts w:cs="Times New Roman"/>
        </w:rPr>
        <w:t>,</w:t>
      </w:r>
      <w:r w:rsidRPr="00104AC4">
        <w:rPr>
          <w:rFonts w:cs="Times New Roman"/>
        </w:rPr>
        <w:t xml:space="preserve"> and Manshad A.K., 2021a. Chemical enhanced oil recovery by different scenarios of slug injection into carbonate/sandstone composite oil reservoirs using an anionic surfactant derived from rapeseed oil. Energy Fuels 35, 1248–1258. </w:t>
      </w:r>
      <w:hyperlink r:id="rId85" w:history="1">
        <w:r w:rsidRPr="00104AC4">
          <w:rPr>
            <w:rStyle w:val="Hyperlink"/>
            <w:rFonts w:eastAsiaTheme="majorEastAsia" w:cs="Times New Roman"/>
          </w:rPr>
          <w:t>https://doi.org/10.1021/acs.energyfuels.0c03385</w:t>
        </w:r>
      </w:hyperlink>
      <w:r w:rsidRPr="00104AC4">
        <w:rPr>
          <w:rFonts w:cs="Times New Roman"/>
        </w:rPr>
        <w:t>.</w:t>
      </w:r>
    </w:p>
    <w:p w14:paraId="2BFE1973" w14:textId="6BA267E6" w:rsidR="00465125" w:rsidRPr="00252837" w:rsidRDefault="00465125" w:rsidP="00252837">
      <w:pPr>
        <w:pStyle w:val="ListParagraph"/>
        <w:numPr>
          <w:ilvl w:val="0"/>
          <w:numId w:val="22"/>
        </w:numPr>
        <w:rPr>
          <w:rFonts w:cs="Times New Roman"/>
        </w:rPr>
      </w:pPr>
      <w:r w:rsidRPr="00104AC4">
        <w:rPr>
          <w:rFonts w:cs="Times New Roman"/>
        </w:rPr>
        <w:t>Okoro E.E., Ewarezi E.A., Sanni S.E., Ojo T., Emertere M.E., and Omodara J.O., 2021.</w:t>
      </w:r>
      <w:r>
        <w:rPr>
          <w:rFonts w:cs="Times New Roman"/>
        </w:rPr>
        <w:t xml:space="preserve"> </w:t>
      </w:r>
      <w:r w:rsidRPr="00252837">
        <w:rPr>
          <w:rFonts w:cs="Times New Roman"/>
        </w:rPr>
        <w:t>Microbial Enhanced Oil Recovery using Biosurfactant produced with Hyperthermophiles isolated from Subsurface Sandstone Reservoir</w:t>
      </w:r>
      <w:r>
        <w:rPr>
          <w:rFonts w:cs="Times New Roman"/>
        </w:rPr>
        <w:t xml:space="preserve">, </w:t>
      </w:r>
      <w:r w:rsidRPr="00252837">
        <w:rPr>
          <w:rFonts w:eastAsiaTheme="majorEastAsia" w:cs="Times New Roman"/>
        </w:rPr>
        <w:t>IOP Conf. Ser.: Earth Environ. Sci.</w:t>
      </w:r>
      <w:r w:rsidRPr="00252837">
        <w:rPr>
          <w:rFonts w:cs="Times New Roman"/>
        </w:rPr>
        <w:t xml:space="preserve"> 665 012062. </w:t>
      </w:r>
      <w:hyperlink r:id="rId86" w:history="1">
        <w:r w:rsidRPr="00252837">
          <w:rPr>
            <w:rStyle w:val="Hyperlink"/>
            <w:rFonts w:cs="Times New Roman"/>
          </w:rPr>
          <w:t>10.1088/1755-1315/665/1/012062</w:t>
        </w:r>
      </w:hyperlink>
    </w:p>
    <w:p w14:paraId="4E230A8C" w14:textId="77777777" w:rsidR="00465125" w:rsidRPr="00A84D0C" w:rsidRDefault="00465125" w:rsidP="00A84D0C">
      <w:pPr>
        <w:pStyle w:val="ListParagraph"/>
        <w:numPr>
          <w:ilvl w:val="0"/>
          <w:numId w:val="22"/>
        </w:numPr>
        <w:rPr>
          <w:rStyle w:val="Hyperlink"/>
          <w:rFonts w:cs="Times New Roman"/>
          <w:color w:val="auto"/>
          <w:u w:val="none"/>
        </w:rPr>
      </w:pPr>
      <w:r w:rsidRPr="00A84D0C">
        <w:rPr>
          <w:rFonts w:cs="Times New Roman"/>
        </w:rPr>
        <w:lastRenderedPageBreak/>
        <w:t xml:space="preserve">Paternina C.A., Londono A.K., Rondon M., Mercado R., and Botett J., 2020. Influence of salinity and hardness on the static adsorption of an extended surfactant for an oil recovery purpose. J. Pet. Sci. Eng. 195. </w:t>
      </w:r>
      <w:hyperlink r:id="rId87" w:history="1">
        <w:r w:rsidRPr="00A84D0C">
          <w:rPr>
            <w:rStyle w:val="Hyperlink"/>
            <w:rFonts w:eastAsiaTheme="majorEastAsia" w:cs="Times New Roman"/>
          </w:rPr>
          <w:t>https://doi.org/10.1016/j.petrol.2020.107592</w:t>
        </w:r>
      </w:hyperlink>
      <w:r w:rsidRPr="00A84D0C">
        <w:rPr>
          <w:rStyle w:val="Hyperlink"/>
          <w:rFonts w:eastAsiaTheme="majorEastAsia" w:cs="Times New Roman"/>
        </w:rPr>
        <w:t>.</w:t>
      </w:r>
    </w:p>
    <w:p w14:paraId="3158786C"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Paulino B.N., Pessoa M.G., Mano M.C., Molina G., and Neri-Numa I.A., Pastore G.M., 2016. Current status in biotechnological production and applications of glycolipid biosurfactants, Applied Microbiology and Biotechnology 100, 10265–93. </w:t>
      </w:r>
      <w:hyperlink r:id="rId88" w:history="1">
        <w:r w:rsidRPr="00104AC4">
          <w:rPr>
            <w:rStyle w:val="Hyperlink"/>
            <w:rFonts w:eastAsiaTheme="minorHAnsi" w:cs="Times New Roman"/>
          </w:rPr>
          <w:t>https://doi.org/10.1007/s00253-016-7980-z.</w:t>
        </w:r>
      </w:hyperlink>
    </w:p>
    <w:p w14:paraId="2A109FBA" w14:textId="77777777" w:rsidR="00465125" w:rsidRDefault="00465125" w:rsidP="00A84D0C">
      <w:pPr>
        <w:pStyle w:val="ListParagraph"/>
        <w:numPr>
          <w:ilvl w:val="0"/>
          <w:numId w:val="22"/>
        </w:numPr>
        <w:rPr>
          <w:rFonts w:cs="Times New Roman"/>
        </w:rPr>
      </w:pPr>
      <w:r w:rsidRPr="00104AC4">
        <w:rPr>
          <w:rFonts w:cs="Times New Roman"/>
        </w:rPr>
        <w:t>Pillai</w:t>
      </w:r>
      <w:r>
        <w:rPr>
          <w:rFonts w:cs="Times New Roman"/>
        </w:rPr>
        <w:t xml:space="preserve"> </w:t>
      </w:r>
      <w:r w:rsidRPr="00104AC4">
        <w:rPr>
          <w:rFonts w:cs="Times New Roman"/>
        </w:rPr>
        <w:t>P.,</w:t>
      </w:r>
      <w:r>
        <w:rPr>
          <w:rFonts w:cs="Times New Roman"/>
        </w:rPr>
        <w:t xml:space="preserve"> and</w:t>
      </w:r>
      <w:r w:rsidRPr="00104AC4">
        <w:rPr>
          <w:rFonts w:cs="Times New Roman"/>
        </w:rPr>
        <w:t xml:space="preserve"> Mandal</w:t>
      </w:r>
      <w:r>
        <w:rPr>
          <w:rFonts w:cs="Times New Roman"/>
        </w:rPr>
        <w:t xml:space="preserve"> </w:t>
      </w:r>
      <w:r w:rsidRPr="00104AC4">
        <w:rPr>
          <w:rFonts w:cs="Times New Roman"/>
        </w:rPr>
        <w:t>A.,</w:t>
      </w:r>
      <w:r>
        <w:rPr>
          <w:rFonts w:cs="Times New Roman"/>
        </w:rPr>
        <w:t xml:space="preserve"> 2020.</w:t>
      </w:r>
      <w:r w:rsidRPr="00104AC4">
        <w:rPr>
          <w:rFonts w:cs="Times New Roman"/>
        </w:rPr>
        <w:t xml:space="preserve"> A comprehensive micro-scale study of poly-ionic liquid for application in enhanced oil recovery: Synthesis, characterization and evaluation of physicochemical properties, Journal of Molecular Liquids</w:t>
      </w:r>
      <w:r>
        <w:rPr>
          <w:rFonts w:cs="Times New Roman"/>
        </w:rPr>
        <w:t>,</w:t>
      </w:r>
      <w:r w:rsidRPr="00104AC4">
        <w:rPr>
          <w:rFonts w:cs="Times New Roman"/>
        </w:rPr>
        <w:t xml:space="preserve"> 302</w:t>
      </w:r>
      <w:r>
        <w:rPr>
          <w:rFonts w:cs="Times New Roman"/>
        </w:rPr>
        <w:t xml:space="preserve">, </w:t>
      </w:r>
      <w:r w:rsidRPr="00104AC4">
        <w:rPr>
          <w:rFonts w:cs="Times New Roman"/>
        </w:rPr>
        <w:t>112553.</w:t>
      </w:r>
      <w:r w:rsidRPr="00104AC4">
        <w:rPr>
          <w:rFonts w:cs="Times New Roman"/>
          <w:spacing w:val="-12"/>
        </w:rPr>
        <w:t xml:space="preserve"> </w:t>
      </w:r>
      <w:hyperlink r:id="rId89" w:history="1">
        <w:r w:rsidRPr="00104AC4">
          <w:rPr>
            <w:rStyle w:val="Hyperlink"/>
            <w:rFonts w:cs="Times New Roman"/>
          </w:rPr>
          <w:t>https://doi.org/10.1016/j.molliq.2020.112553</w:t>
        </w:r>
      </w:hyperlink>
      <w:r w:rsidRPr="00104AC4">
        <w:rPr>
          <w:rFonts w:cs="Times New Roman"/>
        </w:rPr>
        <w:t>.</w:t>
      </w:r>
    </w:p>
    <w:p w14:paraId="5ACC69E7" w14:textId="77777777" w:rsidR="00465125" w:rsidRPr="00104AC4" w:rsidRDefault="00465125" w:rsidP="00104AC4">
      <w:pPr>
        <w:pStyle w:val="ListParagraph"/>
        <w:numPr>
          <w:ilvl w:val="0"/>
          <w:numId w:val="22"/>
        </w:numPr>
        <w:rPr>
          <w:rFonts w:cs="Times New Roman"/>
        </w:rPr>
      </w:pPr>
      <w:r w:rsidRPr="00104AC4">
        <w:rPr>
          <w:rFonts w:cs="Times New Roman"/>
        </w:rPr>
        <w:t>Ravi</w:t>
      </w:r>
      <w:r>
        <w:rPr>
          <w:rFonts w:cs="Times New Roman"/>
        </w:rPr>
        <w:t xml:space="preserve"> </w:t>
      </w:r>
      <w:r w:rsidRPr="00104AC4">
        <w:rPr>
          <w:rFonts w:cs="Times New Roman"/>
        </w:rPr>
        <w:t>S.G., Shadizadeh</w:t>
      </w:r>
      <w:r>
        <w:rPr>
          <w:rFonts w:cs="Times New Roman"/>
        </w:rPr>
        <w:t xml:space="preserve"> </w:t>
      </w:r>
      <w:r w:rsidRPr="00104AC4">
        <w:rPr>
          <w:rFonts w:cs="Times New Roman"/>
        </w:rPr>
        <w:t>S.R.,</w:t>
      </w:r>
      <w:r>
        <w:rPr>
          <w:rFonts w:cs="Times New Roman"/>
        </w:rPr>
        <w:t xml:space="preserve"> and</w:t>
      </w:r>
      <w:r w:rsidRPr="00104AC4">
        <w:rPr>
          <w:rFonts w:cs="Times New Roman"/>
        </w:rPr>
        <w:t xml:space="preserve"> Moghaddasi</w:t>
      </w:r>
      <w:r>
        <w:rPr>
          <w:rFonts w:cs="Times New Roman"/>
        </w:rPr>
        <w:t xml:space="preserve"> </w:t>
      </w:r>
      <w:r w:rsidRPr="00104AC4">
        <w:rPr>
          <w:rFonts w:cs="Times New Roman"/>
        </w:rPr>
        <w:t>J.,</w:t>
      </w:r>
      <w:r>
        <w:rPr>
          <w:rFonts w:cs="Times New Roman"/>
        </w:rPr>
        <w:t xml:space="preserve"> 2015.</w:t>
      </w:r>
      <w:r w:rsidRPr="00104AC4">
        <w:rPr>
          <w:rFonts w:cs="Times New Roman"/>
        </w:rPr>
        <w:t xml:space="preserve"> Core flooding tests to investigate the effects of IFT reduction and wettability alteration on oil recovery: Using mulberry leaf extract, Petroleum Science and Technology</w:t>
      </w:r>
      <w:r>
        <w:rPr>
          <w:rFonts w:cs="Times New Roman"/>
        </w:rPr>
        <w:t xml:space="preserve">, </w:t>
      </w:r>
      <w:r w:rsidRPr="00104AC4">
        <w:rPr>
          <w:rFonts w:cs="Times New Roman"/>
        </w:rPr>
        <w:t>33</w:t>
      </w:r>
      <w:r>
        <w:rPr>
          <w:rFonts w:cs="Times New Roman"/>
        </w:rPr>
        <w:t xml:space="preserve">, </w:t>
      </w:r>
      <w:r w:rsidRPr="00104AC4">
        <w:rPr>
          <w:rFonts w:cs="Times New Roman"/>
        </w:rPr>
        <w:t>257–264.</w:t>
      </w:r>
      <w:r w:rsidRPr="00104AC4">
        <w:rPr>
          <w:rFonts w:cs="Times New Roman"/>
          <w:spacing w:val="-6"/>
        </w:rPr>
        <w:t xml:space="preserve"> </w:t>
      </w:r>
      <w:hyperlink r:id="rId90" w:history="1">
        <w:r w:rsidRPr="00104AC4">
          <w:rPr>
            <w:rStyle w:val="Hyperlink"/>
            <w:rFonts w:cs="Times New Roman"/>
          </w:rPr>
          <w:t>https://doi.org/10.1080/10916466.2014.966916</w:t>
        </w:r>
      </w:hyperlink>
      <w:r w:rsidRPr="00104AC4">
        <w:rPr>
          <w:rFonts w:cs="Times New Roman"/>
        </w:rPr>
        <w:t>.</w:t>
      </w:r>
    </w:p>
    <w:p w14:paraId="6F0799C2" w14:textId="77777777" w:rsidR="00465125" w:rsidRPr="00104AC4" w:rsidRDefault="00465125" w:rsidP="00104AC4">
      <w:pPr>
        <w:pStyle w:val="ListParagraph"/>
        <w:numPr>
          <w:ilvl w:val="0"/>
          <w:numId w:val="22"/>
        </w:numPr>
        <w:rPr>
          <w:rFonts w:cs="Times New Roman"/>
        </w:rPr>
      </w:pPr>
      <w:r w:rsidRPr="00104AC4">
        <w:rPr>
          <w:rFonts w:cs="Times New Roman"/>
        </w:rPr>
        <w:t>Saxena N., Kumar</w:t>
      </w:r>
      <w:r>
        <w:rPr>
          <w:rFonts w:cs="Times New Roman"/>
        </w:rPr>
        <w:t xml:space="preserve"> </w:t>
      </w:r>
      <w:r w:rsidRPr="00104AC4">
        <w:rPr>
          <w:rFonts w:cs="Times New Roman"/>
        </w:rPr>
        <w:t>A.</w:t>
      </w:r>
      <w:r>
        <w:rPr>
          <w:rFonts w:cs="Times New Roman"/>
        </w:rPr>
        <w:t>,</w:t>
      </w:r>
      <w:r w:rsidRPr="00104AC4">
        <w:rPr>
          <w:rFonts w:cs="Times New Roman"/>
        </w:rPr>
        <w:t xml:space="preserve"> and Mandal, A., 2019. Adsorption analysis of natural anionic surfactant for enhanced oil recovery: The role of mineralogy, salinity, alkalinity, and nanoparticles. J. Petrol. Sci. Eng. 173, 1264–1283. </w:t>
      </w:r>
      <w:hyperlink r:id="rId91" w:history="1">
        <w:r w:rsidRPr="00104AC4">
          <w:rPr>
            <w:rStyle w:val="Hyperlink"/>
            <w:rFonts w:cs="Times New Roman"/>
          </w:rPr>
          <w:t>http://dx.doi.org/10.1016/j.petrol.2018.11.002</w:t>
        </w:r>
      </w:hyperlink>
      <w:r w:rsidRPr="00104AC4">
        <w:rPr>
          <w:rFonts w:cs="Times New Roman"/>
        </w:rPr>
        <w:t>.</w:t>
      </w:r>
    </w:p>
    <w:p w14:paraId="11A29553" w14:textId="77777777" w:rsidR="00465125" w:rsidRPr="00104AC4" w:rsidRDefault="00465125" w:rsidP="00104AC4">
      <w:pPr>
        <w:pStyle w:val="ListParagraph"/>
        <w:numPr>
          <w:ilvl w:val="0"/>
          <w:numId w:val="22"/>
        </w:numPr>
        <w:rPr>
          <w:rFonts w:cs="Times New Roman"/>
        </w:rPr>
      </w:pPr>
      <w:r w:rsidRPr="00104AC4">
        <w:rPr>
          <w:rFonts w:cs="Times New Roman"/>
        </w:rPr>
        <w:t xml:space="preserve">Schramm L.L., 2000. </w:t>
      </w:r>
      <w:r w:rsidRPr="00465125">
        <w:rPr>
          <w:rFonts w:cs="Times New Roman"/>
          <w:i/>
          <w:iCs/>
        </w:rPr>
        <w:t>Surfactants: Fundamentals and Applications in the Petroleum Industry</w:t>
      </w:r>
      <w:r w:rsidRPr="00104AC4">
        <w:rPr>
          <w:rFonts w:cs="Times New Roman"/>
        </w:rPr>
        <w:t xml:space="preserve">, Cambridge University Press, Cambridge, UK. </w:t>
      </w:r>
      <w:hyperlink r:id="rId92" w:history="1">
        <w:r w:rsidRPr="00104AC4">
          <w:rPr>
            <w:rStyle w:val="Hyperlink"/>
            <w:rFonts w:eastAsiaTheme="majorEastAsia" w:cs="Times New Roman"/>
          </w:rPr>
          <w:t>http://dx.doi.org/10.2307/3515635</w:t>
        </w:r>
      </w:hyperlink>
    </w:p>
    <w:p w14:paraId="25474FB8" w14:textId="77777777" w:rsidR="00465125" w:rsidRPr="00104AC4" w:rsidRDefault="00465125" w:rsidP="00104AC4">
      <w:pPr>
        <w:pStyle w:val="ListParagraph"/>
        <w:numPr>
          <w:ilvl w:val="0"/>
          <w:numId w:val="22"/>
        </w:numPr>
        <w:rPr>
          <w:rFonts w:cs="Times New Roman"/>
        </w:rPr>
      </w:pPr>
      <w:r w:rsidRPr="00104AC4">
        <w:rPr>
          <w:rFonts w:cs="Times New Roman"/>
        </w:rPr>
        <w:lastRenderedPageBreak/>
        <w:t>Shah D.O</w:t>
      </w:r>
      <w:r>
        <w:rPr>
          <w:rFonts w:cs="Times New Roman"/>
        </w:rPr>
        <w:t>., and</w:t>
      </w:r>
      <w:r w:rsidRPr="00104AC4">
        <w:rPr>
          <w:rFonts w:cs="Times New Roman"/>
        </w:rPr>
        <w:t xml:space="preserve"> Schechter R.S., 1977. Improved oil recovery by surfactant and polymer flooding, AICHE Symposium on Improved Oil Recovery, Kansas City, Kansas.  </w:t>
      </w:r>
      <w:hyperlink r:id="rId93" w:history="1">
        <w:r w:rsidRPr="00104AC4">
          <w:rPr>
            <w:rStyle w:val="Hyperlink"/>
            <w:rFonts w:cs="Times New Roman"/>
          </w:rPr>
          <w:t>https://doi.org/10.1016/B978-0-126-41750-0.X5001-4</w:t>
        </w:r>
      </w:hyperlink>
    </w:p>
    <w:p w14:paraId="3BCA1305" w14:textId="77777777" w:rsidR="00465125" w:rsidRPr="00104AC4" w:rsidRDefault="00465125" w:rsidP="00104AC4">
      <w:pPr>
        <w:pStyle w:val="ListParagraph"/>
        <w:numPr>
          <w:ilvl w:val="0"/>
          <w:numId w:val="22"/>
        </w:numPr>
        <w:rPr>
          <w:rFonts w:cs="Times New Roman"/>
        </w:rPr>
      </w:pPr>
      <w:r w:rsidRPr="00104AC4">
        <w:rPr>
          <w:rFonts w:cs="Times New Roman"/>
        </w:rPr>
        <w:t xml:space="preserve">Sheng J.J., 2010. Optimum phase type and optimum salinity profile in surfactant flooding, Journal of Petroleum Science and Engineering, Volume 75, Issues 1–2, Pages 143-153, ISSN 0920-4105. </w:t>
      </w:r>
      <w:hyperlink r:id="rId94" w:history="1">
        <w:r w:rsidRPr="00104AC4">
          <w:rPr>
            <w:rStyle w:val="Hyperlink"/>
            <w:rFonts w:eastAsiaTheme="majorEastAsia" w:cs="Times New Roman"/>
          </w:rPr>
          <w:t>https://doi.org/10.1016/j.petrol.2010.11.005</w:t>
        </w:r>
      </w:hyperlink>
      <w:r w:rsidRPr="00104AC4">
        <w:rPr>
          <w:rFonts w:cs="Times New Roman"/>
        </w:rPr>
        <w:t>.</w:t>
      </w:r>
    </w:p>
    <w:p w14:paraId="5248841A"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Sondergeld C.H.</w:t>
      </w:r>
      <w:r>
        <w:rPr>
          <w:rFonts w:eastAsiaTheme="minorHAnsi" w:cs="Times New Roman"/>
        </w:rPr>
        <w:t>,</w:t>
      </w:r>
      <w:r w:rsidRPr="00104AC4">
        <w:rPr>
          <w:rFonts w:eastAsiaTheme="minorHAnsi" w:cs="Times New Roman"/>
        </w:rPr>
        <w:t xml:space="preserve"> and Rai C.S., 1993. A New Concept of Quantitative Core Characterization. Lead Edge 12 (7): 774–779. </w:t>
      </w:r>
      <w:hyperlink r:id="rId95" w:history="1">
        <w:r w:rsidRPr="00104AC4">
          <w:rPr>
            <w:rStyle w:val="Hyperlink"/>
            <w:rFonts w:eastAsiaTheme="minorHAnsi" w:cs="Times New Roman"/>
          </w:rPr>
          <w:t>https://doi.org/10.1190/ 1.1436968</w:t>
        </w:r>
      </w:hyperlink>
      <w:r w:rsidRPr="00104AC4">
        <w:rPr>
          <w:rFonts w:eastAsiaTheme="minorHAnsi" w:cs="Times New Roman"/>
        </w:rPr>
        <w:t>.</w:t>
      </w:r>
    </w:p>
    <w:p w14:paraId="4300B8C1"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Tiab D.</w:t>
      </w:r>
      <w:r>
        <w:rPr>
          <w:rFonts w:eastAsiaTheme="minorHAnsi" w:cs="Times New Roman"/>
        </w:rPr>
        <w:t>,</w:t>
      </w:r>
      <w:r w:rsidRPr="00104AC4">
        <w:rPr>
          <w:rFonts w:eastAsiaTheme="minorHAnsi" w:cs="Times New Roman"/>
        </w:rPr>
        <w:t xml:space="preserve"> and Donaldson E. C., 2012. Chapter 6 - Wettability, Petrophysics (Third Edition), Gulf Professional Publishing, Academic Pages 371-418, ISBN 9780123838483. </w:t>
      </w:r>
      <w:hyperlink r:id="rId96" w:history="1">
        <w:r w:rsidRPr="00104AC4">
          <w:rPr>
            <w:rStyle w:val="Hyperlink"/>
            <w:rFonts w:eastAsiaTheme="minorHAnsi" w:cs="Times New Roman"/>
          </w:rPr>
          <w:t>https://doi.org/10.1016/B978-0-12-383848-3.00006-2</w:t>
        </w:r>
      </w:hyperlink>
      <w:r w:rsidRPr="00104AC4">
        <w:rPr>
          <w:rFonts w:eastAsiaTheme="minorHAnsi" w:cs="Times New Roman"/>
        </w:rPr>
        <w:t>.</w:t>
      </w:r>
    </w:p>
    <w:p w14:paraId="0DBC9FC1"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Velioglu Z.</w:t>
      </w:r>
      <w:r>
        <w:rPr>
          <w:rFonts w:eastAsiaTheme="minorHAnsi" w:cs="Times New Roman"/>
        </w:rPr>
        <w:t>,</w:t>
      </w:r>
      <w:r w:rsidRPr="00104AC4">
        <w:rPr>
          <w:rFonts w:eastAsiaTheme="minorHAnsi" w:cs="Times New Roman"/>
        </w:rPr>
        <w:t xml:space="preserve"> and Urek R.O., 2015. Biosurfactant production by Pleurotus ostreatus in submerged and solid-state fermentation systems, Turkish Journal of Biology, Volume 39, Issue 1, Pages 160-166. </w:t>
      </w:r>
      <w:hyperlink r:id="rId97" w:history="1">
        <w:r w:rsidRPr="00104AC4">
          <w:rPr>
            <w:rStyle w:val="Hyperlink"/>
            <w:rFonts w:eastAsiaTheme="minorHAnsi" w:cs="Times New Roman"/>
          </w:rPr>
          <w:t>https://doi.org/10.3906/biy-1406-44</w:t>
        </w:r>
      </w:hyperlink>
      <w:r w:rsidRPr="00104AC4">
        <w:rPr>
          <w:rFonts w:eastAsiaTheme="minorHAnsi" w:cs="Times New Roman"/>
        </w:rPr>
        <w:t>.</w:t>
      </w:r>
    </w:p>
    <w:p w14:paraId="18496836" w14:textId="77777777" w:rsidR="00465125" w:rsidRPr="00E50998" w:rsidRDefault="00465125" w:rsidP="00E50998">
      <w:pPr>
        <w:pStyle w:val="ListParagraph"/>
        <w:numPr>
          <w:ilvl w:val="0"/>
          <w:numId w:val="22"/>
        </w:numPr>
        <w:rPr>
          <w:rFonts w:eastAsiaTheme="minorHAnsi" w:cs="Times New Roman"/>
        </w:rPr>
      </w:pPr>
      <w:r>
        <w:rPr>
          <w:rFonts w:eastAsiaTheme="minorHAnsi" w:cs="Times New Roman"/>
        </w:rPr>
        <w:t xml:space="preserve">Walsh P., 2006. Geologic trends of </w:t>
      </w:r>
      <w:r w:rsidRPr="00812660">
        <w:rPr>
          <w:rFonts w:eastAsiaTheme="minorHAnsi" w:cs="Times New Roman"/>
        </w:rPr>
        <w:t>oil and gas production in the Secretary of the Interior’s Potash Area, Southeastern New Mexico</w:t>
      </w:r>
      <w:r>
        <w:rPr>
          <w:rFonts w:eastAsiaTheme="minorHAnsi" w:cs="Times New Roman"/>
        </w:rPr>
        <w:t xml:space="preserve">, </w:t>
      </w:r>
      <w:r w:rsidRPr="00E50998">
        <w:rPr>
          <w:rFonts w:eastAsiaTheme="minorHAnsi" w:cs="Times New Roman"/>
        </w:rPr>
        <w:t>New Mexico Bureau of Geology and Mineral Resources</w:t>
      </w:r>
      <w:r>
        <w:rPr>
          <w:rFonts w:eastAsiaTheme="minorHAnsi" w:cs="Times New Roman"/>
        </w:rPr>
        <w:t>.</w:t>
      </w:r>
      <w:r w:rsidRPr="00E50998">
        <w:rPr>
          <w:rFonts w:eastAsiaTheme="minorHAnsi" w:cs="Times New Roman"/>
        </w:rPr>
        <w:t xml:space="preserve"> </w:t>
      </w:r>
    </w:p>
    <w:p w14:paraId="532FA2D4" w14:textId="77777777" w:rsidR="00465125" w:rsidRPr="00104AC4" w:rsidRDefault="00465125" w:rsidP="00104AC4">
      <w:pPr>
        <w:pStyle w:val="ListParagraph"/>
        <w:numPr>
          <w:ilvl w:val="0"/>
          <w:numId w:val="22"/>
        </w:numPr>
        <w:rPr>
          <w:rFonts w:cs="Times New Roman"/>
        </w:rPr>
      </w:pPr>
      <w:r w:rsidRPr="00104AC4">
        <w:rPr>
          <w:rFonts w:cs="Times New Roman"/>
        </w:rPr>
        <w:t xml:space="preserve">Wang Y., Ge J., Zhang G., Jiang P., Zhang W., and Lin Y., 2015a. Adsorption behavior of dodecyl hydroxypropyl sulfobetaine on limestone in high salinity water. Rsc Adv. 5, 59738–59744. </w:t>
      </w:r>
      <w:hyperlink r:id="rId98" w:history="1">
        <w:r w:rsidRPr="00104AC4">
          <w:rPr>
            <w:rStyle w:val="Hyperlink"/>
            <w:rFonts w:eastAsiaTheme="majorEastAsia" w:cs="Times New Roman"/>
          </w:rPr>
          <w:t>http://dx.doi.org/10.1039/c5ra10694j</w:t>
        </w:r>
      </w:hyperlink>
      <w:r w:rsidRPr="00104AC4">
        <w:rPr>
          <w:rFonts w:cs="Times New Roman"/>
        </w:rPr>
        <w:t>.</w:t>
      </w:r>
    </w:p>
    <w:p w14:paraId="38F22B7B" w14:textId="00188948" w:rsidR="005A748F" w:rsidRPr="005A748F" w:rsidRDefault="00465125" w:rsidP="005A748F">
      <w:pPr>
        <w:pStyle w:val="ListParagraph"/>
        <w:numPr>
          <w:ilvl w:val="0"/>
          <w:numId w:val="22"/>
        </w:numPr>
        <w:rPr>
          <w:rFonts w:cs="Times New Roman"/>
        </w:rPr>
      </w:pPr>
      <w:r w:rsidRPr="00104AC4">
        <w:rPr>
          <w:rFonts w:cs="Times New Roman"/>
        </w:rPr>
        <w:t xml:space="preserve">Wang Y., Xu H., </w:t>
      </w:r>
      <w:r>
        <w:rPr>
          <w:rFonts w:cs="Times New Roman"/>
        </w:rPr>
        <w:t xml:space="preserve">and </w:t>
      </w:r>
      <w:r w:rsidRPr="00104AC4">
        <w:rPr>
          <w:rFonts w:cs="Times New Roman"/>
        </w:rPr>
        <w:t>Yu W</w:t>
      </w:r>
      <w:r>
        <w:rPr>
          <w:rFonts w:cs="Times New Roman"/>
        </w:rPr>
        <w:t>.,</w:t>
      </w:r>
      <w:r w:rsidRPr="00104AC4">
        <w:rPr>
          <w:rFonts w:cs="Times New Roman"/>
        </w:rPr>
        <w:t xml:space="preserve"> 2011. Surfactant Induced Reservoir Wettability Alteration: Recent Theoretical and Experimental Advances in Enhanced Oil Recovery. Petroleum Science 8 (4): 463-476.</w:t>
      </w:r>
      <w:r w:rsidR="005A748F">
        <w:rPr>
          <w:rFonts w:cs="Times New Roman"/>
        </w:rPr>
        <w:t xml:space="preserve"> </w:t>
      </w:r>
      <w:hyperlink r:id="rId99" w:history="1">
        <w:r w:rsidR="005A748F" w:rsidRPr="005A748F">
          <w:rPr>
            <w:rStyle w:val="Hyperlink"/>
            <w:rFonts w:cs="Times New Roman"/>
          </w:rPr>
          <w:t>https://doi.org/10.1007/s12182-011-0164-7</w:t>
        </w:r>
      </w:hyperlink>
      <w:r w:rsidR="005A748F">
        <w:rPr>
          <w:rFonts w:cs="Times New Roman"/>
        </w:rPr>
        <w:t>.</w:t>
      </w:r>
    </w:p>
    <w:p w14:paraId="72729FC1" w14:textId="77777777" w:rsidR="00465125" w:rsidRPr="00104AC4" w:rsidRDefault="00465125" w:rsidP="00104AC4">
      <w:pPr>
        <w:pStyle w:val="ListParagraph"/>
        <w:numPr>
          <w:ilvl w:val="0"/>
          <w:numId w:val="22"/>
        </w:numPr>
        <w:rPr>
          <w:rFonts w:cs="Times New Roman"/>
        </w:rPr>
      </w:pPr>
      <w:r w:rsidRPr="00104AC4">
        <w:rPr>
          <w:rFonts w:cs="Times New Roman"/>
        </w:rPr>
        <w:lastRenderedPageBreak/>
        <w:t>Yekeen N., Malik A.A., Idris A.K., Reepei N.D.</w:t>
      </w:r>
      <w:r>
        <w:rPr>
          <w:rFonts w:cs="Times New Roman"/>
        </w:rPr>
        <w:t>,</w:t>
      </w:r>
      <w:r w:rsidRPr="00104AC4">
        <w:rPr>
          <w:rFonts w:cs="Times New Roman"/>
        </w:rPr>
        <w:t xml:space="preserve"> and Ganie K., 2020. Foaming properties, wettability alteration and interfacial tension reduction by saponin extracted from soapnut (Sapindus Mukorossi) at room and reservoir conditions, Journal of Petroleum Science and Engineering, Volume 195, ISSN 0920-4105 </w:t>
      </w:r>
      <w:hyperlink r:id="rId100" w:history="1">
        <w:r w:rsidRPr="00104AC4">
          <w:rPr>
            <w:rStyle w:val="Hyperlink"/>
            <w:rFonts w:eastAsiaTheme="majorEastAsia" w:cs="Times New Roman"/>
          </w:rPr>
          <w:t>https://doi.org/10.1016/j.petrol.2020.107591</w:t>
        </w:r>
      </w:hyperlink>
      <w:r w:rsidRPr="00104AC4">
        <w:rPr>
          <w:rFonts w:cs="Times New Roman"/>
        </w:rPr>
        <w:t>.</w:t>
      </w:r>
    </w:p>
    <w:p w14:paraId="3267A5A7" w14:textId="77777777" w:rsidR="00465125" w:rsidRPr="00104AC4" w:rsidRDefault="00465125" w:rsidP="00104AC4">
      <w:pPr>
        <w:pStyle w:val="ListParagraph"/>
        <w:numPr>
          <w:ilvl w:val="0"/>
          <w:numId w:val="22"/>
        </w:numPr>
        <w:rPr>
          <w:rFonts w:cs="Times New Roman"/>
        </w:rPr>
      </w:pPr>
      <w:r w:rsidRPr="00104AC4">
        <w:rPr>
          <w:rFonts w:cs="Times New Roman"/>
        </w:rPr>
        <w:t>Yekeen</w:t>
      </w:r>
      <w:r>
        <w:rPr>
          <w:rFonts w:cs="Times New Roman"/>
        </w:rPr>
        <w:t xml:space="preserve"> </w:t>
      </w:r>
      <w:r w:rsidRPr="00104AC4">
        <w:rPr>
          <w:rFonts w:cs="Times New Roman"/>
        </w:rPr>
        <w:t>N., Malik</w:t>
      </w:r>
      <w:r>
        <w:rPr>
          <w:rFonts w:cs="Times New Roman"/>
        </w:rPr>
        <w:t xml:space="preserve"> </w:t>
      </w:r>
      <w:r w:rsidRPr="00104AC4">
        <w:rPr>
          <w:rFonts w:cs="Times New Roman"/>
        </w:rPr>
        <w:t>A.A., Idris</w:t>
      </w:r>
      <w:r>
        <w:rPr>
          <w:rFonts w:cs="Times New Roman"/>
        </w:rPr>
        <w:t xml:space="preserve"> </w:t>
      </w:r>
      <w:r w:rsidRPr="00104AC4">
        <w:rPr>
          <w:rFonts w:cs="Times New Roman"/>
        </w:rPr>
        <w:t>A.K.,</w:t>
      </w:r>
      <w:r>
        <w:rPr>
          <w:rFonts w:cs="Times New Roman"/>
        </w:rPr>
        <w:t xml:space="preserve"> </w:t>
      </w:r>
      <w:r w:rsidRPr="00104AC4">
        <w:rPr>
          <w:rFonts w:cs="Times New Roman"/>
        </w:rPr>
        <w:t>Reepei</w:t>
      </w:r>
      <w:r>
        <w:rPr>
          <w:rFonts w:cs="Times New Roman"/>
        </w:rPr>
        <w:t xml:space="preserve"> </w:t>
      </w:r>
      <w:r w:rsidRPr="00104AC4">
        <w:rPr>
          <w:rFonts w:cs="Times New Roman"/>
        </w:rPr>
        <w:t xml:space="preserve">N.I., </w:t>
      </w:r>
      <w:r>
        <w:rPr>
          <w:rFonts w:cs="Times New Roman"/>
        </w:rPr>
        <w:t xml:space="preserve">and </w:t>
      </w:r>
      <w:r w:rsidRPr="00104AC4">
        <w:rPr>
          <w:rFonts w:cs="Times New Roman"/>
        </w:rPr>
        <w:t>Ganie</w:t>
      </w:r>
      <w:r>
        <w:rPr>
          <w:rFonts w:cs="Times New Roman"/>
        </w:rPr>
        <w:t xml:space="preserve"> </w:t>
      </w:r>
      <w:r w:rsidRPr="00104AC4">
        <w:rPr>
          <w:rFonts w:cs="Times New Roman"/>
        </w:rPr>
        <w:t>K.,</w:t>
      </w:r>
      <w:r>
        <w:rPr>
          <w:rFonts w:cs="Times New Roman"/>
        </w:rPr>
        <w:t xml:space="preserve"> 2020.</w:t>
      </w:r>
      <w:r w:rsidRPr="00104AC4">
        <w:rPr>
          <w:rFonts w:cs="Times New Roman"/>
        </w:rPr>
        <w:t xml:space="preserve"> Foaming properties, wettability alteration and interfacial tension reduction by saponin extracted from soapnut (Sapindus Mukorossi) at room and reservoir conditions, Journal of Petroleum Science and Engineering. 195. </w:t>
      </w:r>
      <w:hyperlink r:id="rId101" w:history="1">
        <w:r w:rsidRPr="00104AC4">
          <w:rPr>
            <w:rStyle w:val="Hyperlink"/>
            <w:rFonts w:cs="Times New Roman"/>
          </w:rPr>
          <w:t>https://doi.org/10.1016/j.petrol.2020.107591</w:t>
        </w:r>
      </w:hyperlink>
      <w:r w:rsidRPr="00104AC4">
        <w:rPr>
          <w:rFonts w:cs="Times New Roman"/>
        </w:rPr>
        <w:t>.</w:t>
      </w:r>
    </w:p>
    <w:p w14:paraId="4D4AB8EE" w14:textId="77777777" w:rsidR="00465125" w:rsidRPr="00104AC4" w:rsidRDefault="00465125" w:rsidP="00104AC4">
      <w:pPr>
        <w:pStyle w:val="ListParagraph"/>
        <w:numPr>
          <w:ilvl w:val="0"/>
          <w:numId w:val="22"/>
        </w:numPr>
        <w:rPr>
          <w:rFonts w:eastAsiaTheme="minorHAnsi" w:cs="Times New Roman"/>
        </w:rPr>
      </w:pPr>
      <w:r w:rsidRPr="00104AC4">
        <w:rPr>
          <w:rFonts w:eastAsiaTheme="minorHAnsi" w:cs="Times New Roman"/>
        </w:rPr>
        <w:t xml:space="preserve">Zeng T., Miller C. S., and Mohanty K., 2018. Applications of Surfactants in Shale Chemical EOR at High Temperatures. Paper presented at the SPE Improved Oil Recovery Conference, Tulsa, Oklahoma, USA, 14–18 April. SPE-190318-MS. </w:t>
      </w:r>
      <w:hyperlink r:id="rId102" w:history="1">
        <w:r w:rsidRPr="00104AC4">
          <w:rPr>
            <w:rStyle w:val="Hyperlink"/>
            <w:rFonts w:eastAsiaTheme="minorHAnsi" w:cs="Times New Roman"/>
          </w:rPr>
          <w:t>https://doi.org/10.2118/190318-MS</w:t>
        </w:r>
      </w:hyperlink>
      <w:r w:rsidRPr="00104AC4">
        <w:rPr>
          <w:rFonts w:eastAsiaTheme="minorHAnsi" w:cs="Times New Roman"/>
        </w:rPr>
        <w:t>.</w:t>
      </w:r>
    </w:p>
    <w:p w14:paraId="46A56451" w14:textId="77777777" w:rsidR="00465125" w:rsidRDefault="00465125" w:rsidP="00104AC4">
      <w:pPr>
        <w:pStyle w:val="ListParagraph"/>
        <w:numPr>
          <w:ilvl w:val="0"/>
          <w:numId w:val="22"/>
        </w:numPr>
        <w:rPr>
          <w:rFonts w:eastAsiaTheme="minorHAnsi" w:cs="Times New Roman"/>
        </w:rPr>
      </w:pPr>
      <w:r w:rsidRPr="00104AC4">
        <w:rPr>
          <w:rFonts w:eastAsiaTheme="minorHAnsi" w:cs="Times New Roman"/>
        </w:rPr>
        <w:t>Zygler A., Słominska M.</w:t>
      </w:r>
      <w:r>
        <w:rPr>
          <w:rFonts w:eastAsiaTheme="minorHAnsi" w:cs="Times New Roman"/>
        </w:rPr>
        <w:t>,</w:t>
      </w:r>
      <w:r w:rsidRPr="00104AC4">
        <w:rPr>
          <w:rFonts w:eastAsiaTheme="minorHAnsi" w:cs="Times New Roman"/>
        </w:rPr>
        <w:t xml:space="preserve"> and Namiesnik J., 2012. Soxhlet Extraction and New Developments Such as Soxtec, Comprehensive Sampling and Sample Preparation, Academic Pages 65-82, ISBN 9780123813749. </w:t>
      </w:r>
      <w:hyperlink r:id="rId103" w:history="1">
        <w:r w:rsidRPr="00104AC4">
          <w:rPr>
            <w:rStyle w:val="Hyperlink"/>
            <w:rFonts w:eastAsiaTheme="minorHAnsi" w:cs="Times New Roman"/>
          </w:rPr>
          <w:t>https://doi.org/10.1016/B978-0-12-381373-2.00037-5</w:t>
        </w:r>
      </w:hyperlink>
      <w:r w:rsidRPr="00104AC4">
        <w:rPr>
          <w:rFonts w:eastAsiaTheme="minorHAnsi" w:cs="Times New Roman"/>
        </w:rPr>
        <w:t>.</w:t>
      </w:r>
    </w:p>
    <w:p w14:paraId="18BD08FF" w14:textId="77777777" w:rsidR="00E50998" w:rsidRPr="00E50998" w:rsidRDefault="00E50998" w:rsidP="00E50998">
      <w:pPr>
        <w:rPr>
          <w:rFonts w:eastAsiaTheme="minorHAnsi" w:cs="Times New Roman"/>
        </w:rPr>
      </w:pPr>
    </w:p>
    <w:p w14:paraId="07147CC6" w14:textId="77777777" w:rsidR="00812660" w:rsidRPr="00812660" w:rsidRDefault="00812660" w:rsidP="00812660">
      <w:pPr>
        <w:rPr>
          <w:rFonts w:eastAsiaTheme="minorHAnsi" w:cs="Times New Roman"/>
        </w:rPr>
      </w:pPr>
    </w:p>
    <w:sectPr w:rsidR="00812660" w:rsidRPr="00812660" w:rsidSect="008D245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7C563" w14:textId="77777777" w:rsidR="009A0740" w:rsidRDefault="009A0740" w:rsidP="005B1B15">
      <w:pPr>
        <w:spacing w:line="240" w:lineRule="auto"/>
      </w:pPr>
      <w:r>
        <w:separator/>
      </w:r>
    </w:p>
  </w:endnote>
  <w:endnote w:type="continuationSeparator" w:id="0">
    <w:p w14:paraId="0DAA12D3" w14:textId="77777777" w:rsidR="009A0740" w:rsidRDefault="009A0740" w:rsidP="005B1B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6985790"/>
      <w:docPartObj>
        <w:docPartGallery w:val="Page Numbers (Bottom of Page)"/>
        <w:docPartUnique/>
      </w:docPartObj>
    </w:sdtPr>
    <w:sdtEndPr>
      <w:rPr>
        <w:rStyle w:val="PageNumber"/>
      </w:rPr>
    </w:sdtEndPr>
    <w:sdtContent>
      <w:p w14:paraId="0E3504C6" w14:textId="0B5A2C84" w:rsidR="00B4006A" w:rsidRDefault="00B4006A" w:rsidP="002F5E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FF3F87" w14:textId="77777777" w:rsidR="00B4006A" w:rsidRDefault="00B4006A" w:rsidP="00ED1B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E044" w14:textId="77777777" w:rsidR="00341DE9" w:rsidRDefault="00341DE9" w:rsidP="00AA407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1810687"/>
      <w:docPartObj>
        <w:docPartGallery w:val="Page Numbers (Bottom of Page)"/>
        <w:docPartUnique/>
      </w:docPartObj>
    </w:sdtPr>
    <w:sdtContent>
      <w:p w14:paraId="05391C6D" w14:textId="289B5983" w:rsidR="002F5E98" w:rsidRDefault="002F5E98" w:rsidP="002F5E9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3D91A860" w14:textId="77777777" w:rsidR="007C2517" w:rsidRDefault="007C2517" w:rsidP="002F5E98">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3318956"/>
      <w:docPartObj>
        <w:docPartGallery w:val="Page Numbers (Bottom of Page)"/>
        <w:docPartUnique/>
      </w:docPartObj>
    </w:sdtPr>
    <w:sdtEndPr>
      <w:rPr>
        <w:rStyle w:val="PageNumber"/>
      </w:rPr>
    </w:sdtEndPr>
    <w:sdtContent>
      <w:p w14:paraId="7F71DAD8" w14:textId="2B1AB4AF" w:rsidR="00AA4079" w:rsidRDefault="00AA4079" w:rsidP="001076C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69D0F83B" w14:textId="77777777" w:rsidR="00AA4079" w:rsidRDefault="00AA4079" w:rsidP="00AA407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6B1AA" w14:textId="77777777" w:rsidR="009A0740" w:rsidRDefault="009A0740" w:rsidP="005B1B15">
      <w:pPr>
        <w:spacing w:line="240" w:lineRule="auto"/>
      </w:pPr>
      <w:r>
        <w:separator/>
      </w:r>
    </w:p>
  </w:footnote>
  <w:footnote w:type="continuationSeparator" w:id="0">
    <w:p w14:paraId="37F1B5D0" w14:textId="77777777" w:rsidR="009A0740" w:rsidRDefault="009A0740" w:rsidP="005B1B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83C" w14:textId="77777777" w:rsidR="00407DF0" w:rsidRDefault="00407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C61"/>
    <w:multiLevelType w:val="hybridMultilevel"/>
    <w:tmpl w:val="2DEAB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D306D"/>
    <w:multiLevelType w:val="hybridMultilevel"/>
    <w:tmpl w:val="0E18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E3B37"/>
    <w:multiLevelType w:val="hybridMultilevel"/>
    <w:tmpl w:val="E81C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163E6"/>
    <w:multiLevelType w:val="hybridMultilevel"/>
    <w:tmpl w:val="7E0E7C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9A108A"/>
    <w:multiLevelType w:val="multilevel"/>
    <w:tmpl w:val="5BC03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041FF"/>
    <w:multiLevelType w:val="hybridMultilevel"/>
    <w:tmpl w:val="145C6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10870"/>
    <w:multiLevelType w:val="hybridMultilevel"/>
    <w:tmpl w:val="E35AA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EB2ED5"/>
    <w:multiLevelType w:val="hybridMultilevel"/>
    <w:tmpl w:val="BA6AF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AC47D6"/>
    <w:multiLevelType w:val="hybridMultilevel"/>
    <w:tmpl w:val="19367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A1D70"/>
    <w:multiLevelType w:val="hybridMultilevel"/>
    <w:tmpl w:val="FA32EFEC"/>
    <w:lvl w:ilvl="0" w:tplc="E4D8D556">
      <w:start w:val="1"/>
      <w:numFmt w:val="decimal"/>
      <w:lvlText w:val="[%1]"/>
      <w:lvlJc w:val="left"/>
      <w:pPr>
        <w:ind w:left="801" w:hanging="641"/>
      </w:pPr>
      <w:rPr>
        <w:rFonts w:ascii="Times New Roman" w:eastAsia="Times New Roman" w:hAnsi="Times New Roman" w:cs="Times New Roman" w:hint="default"/>
        <w:w w:val="100"/>
        <w:sz w:val="22"/>
        <w:szCs w:val="22"/>
        <w:lang w:val="en-US" w:eastAsia="en-US" w:bidi="ar-SA"/>
      </w:rPr>
    </w:lvl>
    <w:lvl w:ilvl="1" w:tplc="CDCCAED4">
      <w:start w:val="1"/>
      <w:numFmt w:val="decimal"/>
      <w:lvlText w:val="%2."/>
      <w:lvlJc w:val="left"/>
      <w:pPr>
        <w:ind w:left="801" w:hanging="262"/>
      </w:pPr>
      <w:rPr>
        <w:rFonts w:ascii="Times New Roman" w:eastAsia="Times New Roman" w:hAnsi="Times New Roman" w:cs="Times New Roman" w:hint="default"/>
        <w:w w:val="100"/>
        <w:sz w:val="22"/>
        <w:szCs w:val="22"/>
        <w:lang w:val="en-US" w:eastAsia="en-US" w:bidi="ar-SA"/>
      </w:rPr>
    </w:lvl>
    <w:lvl w:ilvl="2" w:tplc="A92A60E0">
      <w:numFmt w:val="bullet"/>
      <w:lvlText w:val="•"/>
      <w:lvlJc w:val="left"/>
      <w:pPr>
        <w:ind w:left="2608" w:hanging="262"/>
      </w:pPr>
      <w:rPr>
        <w:rFonts w:hint="default"/>
        <w:lang w:val="en-US" w:eastAsia="en-US" w:bidi="ar-SA"/>
      </w:rPr>
    </w:lvl>
    <w:lvl w:ilvl="3" w:tplc="CAF83F4E">
      <w:numFmt w:val="bullet"/>
      <w:lvlText w:val="•"/>
      <w:lvlJc w:val="left"/>
      <w:pPr>
        <w:ind w:left="3512" w:hanging="262"/>
      </w:pPr>
      <w:rPr>
        <w:rFonts w:hint="default"/>
        <w:lang w:val="en-US" w:eastAsia="en-US" w:bidi="ar-SA"/>
      </w:rPr>
    </w:lvl>
    <w:lvl w:ilvl="4" w:tplc="F7980D84">
      <w:numFmt w:val="bullet"/>
      <w:lvlText w:val="•"/>
      <w:lvlJc w:val="left"/>
      <w:pPr>
        <w:ind w:left="4416" w:hanging="262"/>
      </w:pPr>
      <w:rPr>
        <w:rFonts w:hint="default"/>
        <w:lang w:val="en-US" w:eastAsia="en-US" w:bidi="ar-SA"/>
      </w:rPr>
    </w:lvl>
    <w:lvl w:ilvl="5" w:tplc="CB74CE26">
      <w:numFmt w:val="bullet"/>
      <w:lvlText w:val="•"/>
      <w:lvlJc w:val="left"/>
      <w:pPr>
        <w:ind w:left="5320" w:hanging="262"/>
      </w:pPr>
      <w:rPr>
        <w:rFonts w:hint="default"/>
        <w:lang w:val="en-US" w:eastAsia="en-US" w:bidi="ar-SA"/>
      </w:rPr>
    </w:lvl>
    <w:lvl w:ilvl="6" w:tplc="00342ED8">
      <w:numFmt w:val="bullet"/>
      <w:lvlText w:val="•"/>
      <w:lvlJc w:val="left"/>
      <w:pPr>
        <w:ind w:left="6224" w:hanging="262"/>
      </w:pPr>
      <w:rPr>
        <w:rFonts w:hint="default"/>
        <w:lang w:val="en-US" w:eastAsia="en-US" w:bidi="ar-SA"/>
      </w:rPr>
    </w:lvl>
    <w:lvl w:ilvl="7" w:tplc="99FA81FA">
      <w:numFmt w:val="bullet"/>
      <w:lvlText w:val="•"/>
      <w:lvlJc w:val="left"/>
      <w:pPr>
        <w:ind w:left="7128" w:hanging="262"/>
      </w:pPr>
      <w:rPr>
        <w:rFonts w:hint="default"/>
        <w:lang w:val="en-US" w:eastAsia="en-US" w:bidi="ar-SA"/>
      </w:rPr>
    </w:lvl>
    <w:lvl w:ilvl="8" w:tplc="E6DE54E8">
      <w:numFmt w:val="bullet"/>
      <w:lvlText w:val="•"/>
      <w:lvlJc w:val="left"/>
      <w:pPr>
        <w:ind w:left="8032" w:hanging="262"/>
      </w:pPr>
      <w:rPr>
        <w:rFonts w:hint="default"/>
        <w:lang w:val="en-US" w:eastAsia="en-US" w:bidi="ar-SA"/>
      </w:rPr>
    </w:lvl>
  </w:abstractNum>
  <w:abstractNum w:abstractNumId="10" w15:restartNumberingAfterBreak="0">
    <w:nsid w:val="43AB2BE1"/>
    <w:multiLevelType w:val="hybridMultilevel"/>
    <w:tmpl w:val="E300F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577C3"/>
    <w:multiLevelType w:val="hybridMultilevel"/>
    <w:tmpl w:val="9116A314"/>
    <w:lvl w:ilvl="0" w:tplc="C5B09858">
      <w:numFmt w:val="bullet"/>
      <w:lvlText w:val=""/>
      <w:lvlJc w:val="left"/>
      <w:pPr>
        <w:ind w:left="443" w:hanging="142"/>
      </w:pPr>
      <w:rPr>
        <w:rFonts w:ascii="Symbol" w:eastAsia="Symbol" w:hAnsi="Symbol" w:cs="Symbol" w:hint="default"/>
        <w:w w:val="100"/>
        <w:sz w:val="24"/>
        <w:szCs w:val="24"/>
        <w:lang w:val="en-US" w:eastAsia="en-US" w:bidi="ar-SA"/>
      </w:rPr>
    </w:lvl>
    <w:lvl w:ilvl="1" w:tplc="08482A80">
      <w:numFmt w:val="bullet"/>
      <w:lvlText w:val="•"/>
      <w:lvlJc w:val="left"/>
      <w:pPr>
        <w:ind w:left="1380" w:hanging="142"/>
      </w:pPr>
      <w:rPr>
        <w:rFonts w:hint="default"/>
        <w:lang w:val="en-US" w:eastAsia="en-US" w:bidi="ar-SA"/>
      </w:rPr>
    </w:lvl>
    <w:lvl w:ilvl="2" w:tplc="D3F62432">
      <w:numFmt w:val="bullet"/>
      <w:lvlText w:val="•"/>
      <w:lvlJc w:val="left"/>
      <w:pPr>
        <w:ind w:left="2320" w:hanging="142"/>
      </w:pPr>
      <w:rPr>
        <w:rFonts w:hint="default"/>
        <w:lang w:val="en-US" w:eastAsia="en-US" w:bidi="ar-SA"/>
      </w:rPr>
    </w:lvl>
    <w:lvl w:ilvl="3" w:tplc="D9F41436">
      <w:numFmt w:val="bullet"/>
      <w:lvlText w:val="•"/>
      <w:lvlJc w:val="left"/>
      <w:pPr>
        <w:ind w:left="3260" w:hanging="142"/>
      </w:pPr>
      <w:rPr>
        <w:rFonts w:hint="default"/>
        <w:lang w:val="en-US" w:eastAsia="en-US" w:bidi="ar-SA"/>
      </w:rPr>
    </w:lvl>
    <w:lvl w:ilvl="4" w:tplc="9B42E00A">
      <w:numFmt w:val="bullet"/>
      <w:lvlText w:val="•"/>
      <w:lvlJc w:val="left"/>
      <w:pPr>
        <w:ind w:left="4200" w:hanging="142"/>
      </w:pPr>
      <w:rPr>
        <w:rFonts w:hint="default"/>
        <w:lang w:val="en-US" w:eastAsia="en-US" w:bidi="ar-SA"/>
      </w:rPr>
    </w:lvl>
    <w:lvl w:ilvl="5" w:tplc="622CCADC">
      <w:numFmt w:val="bullet"/>
      <w:lvlText w:val="•"/>
      <w:lvlJc w:val="left"/>
      <w:pPr>
        <w:ind w:left="5140" w:hanging="142"/>
      </w:pPr>
      <w:rPr>
        <w:rFonts w:hint="default"/>
        <w:lang w:val="en-US" w:eastAsia="en-US" w:bidi="ar-SA"/>
      </w:rPr>
    </w:lvl>
    <w:lvl w:ilvl="6" w:tplc="0352E466">
      <w:numFmt w:val="bullet"/>
      <w:lvlText w:val="•"/>
      <w:lvlJc w:val="left"/>
      <w:pPr>
        <w:ind w:left="6080" w:hanging="142"/>
      </w:pPr>
      <w:rPr>
        <w:rFonts w:hint="default"/>
        <w:lang w:val="en-US" w:eastAsia="en-US" w:bidi="ar-SA"/>
      </w:rPr>
    </w:lvl>
    <w:lvl w:ilvl="7" w:tplc="A0485BF8">
      <w:numFmt w:val="bullet"/>
      <w:lvlText w:val="•"/>
      <w:lvlJc w:val="left"/>
      <w:pPr>
        <w:ind w:left="7020" w:hanging="142"/>
      </w:pPr>
      <w:rPr>
        <w:rFonts w:hint="default"/>
        <w:lang w:val="en-US" w:eastAsia="en-US" w:bidi="ar-SA"/>
      </w:rPr>
    </w:lvl>
    <w:lvl w:ilvl="8" w:tplc="8EF265A8">
      <w:numFmt w:val="bullet"/>
      <w:lvlText w:val="•"/>
      <w:lvlJc w:val="left"/>
      <w:pPr>
        <w:ind w:left="7960" w:hanging="142"/>
      </w:pPr>
      <w:rPr>
        <w:rFonts w:hint="default"/>
        <w:lang w:val="en-US" w:eastAsia="en-US" w:bidi="ar-SA"/>
      </w:rPr>
    </w:lvl>
  </w:abstractNum>
  <w:abstractNum w:abstractNumId="12" w15:restartNumberingAfterBreak="0">
    <w:nsid w:val="44D90DAB"/>
    <w:multiLevelType w:val="hybridMultilevel"/>
    <w:tmpl w:val="2138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FD6BA1"/>
    <w:multiLevelType w:val="hybridMultilevel"/>
    <w:tmpl w:val="8C60A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3136AF"/>
    <w:multiLevelType w:val="hybridMultilevel"/>
    <w:tmpl w:val="08CE1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074956"/>
    <w:multiLevelType w:val="hybridMultilevel"/>
    <w:tmpl w:val="59D013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5A7727"/>
    <w:multiLevelType w:val="hybridMultilevel"/>
    <w:tmpl w:val="C84C9B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45320A"/>
    <w:multiLevelType w:val="hybridMultilevel"/>
    <w:tmpl w:val="CABAD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B50B8A"/>
    <w:multiLevelType w:val="hybridMultilevel"/>
    <w:tmpl w:val="B58645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722EB3"/>
    <w:multiLevelType w:val="hybridMultilevel"/>
    <w:tmpl w:val="64D224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C428F9"/>
    <w:multiLevelType w:val="hybridMultilevel"/>
    <w:tmpl w:val="25F812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2A93750"/>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3E33D54"/>
    <w:multiLevelType w:val="hybridMultilevel"/>
    <w:tmpl w:val="BA0255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2C2BD2"/>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4" w15:restartNumberingAfterBreak="0">
    <w:nsid w:val="68637D36"/>
    <w:multiLevelType w:val="hybridMultilevel"/>
    <w:tmpl w:val="96E6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862DB4"/>
    <w:multiLevelType w:val="hybridMultilevel"/>
    <w:tmpl w:val="189097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B7522"/>
    <w:multiLevelType w:val="hybridMultilevel"/>
    <w:tmpl w:val="8CB46320"/>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6EE34401"/>
    <w:multiLevelType w:val="hybridMultilevel"/>
    <w:tmpl w:val="DAF46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E528CE"/>
    <w:multiLevelType w:val="hybridMultilevel"/>
    <w:tmpl w:val="E94A4CFE"/>
    <w:lvl w:ilvl="0" w:tplc="04090017">
      <w:start w:val="1"/>
      <w:numFmt w:val="lowerLetter"/>
      <w:lvlText w:val="%1)"/>
      <w:lvlJc w:val="left"/>
      <w:pPr>
        <w:ind w:left="720" w:hanging="360"/>
      </w:pPr>
    </w:lvl>
    <w:lvl w:ilvl="1" w:tplc="BAFCE8DC">
      <w:start w:val="1"/>
      <w:numFmt w:val="upperRoman"/>
      <w:lvlText w:val="%2."/>
      <w:lvlJc w:val="left"/>
      <w:pPr>
        <w:ind w:left="1800" w:hanging="720"/>
      </w:pPr>
      <w:rPr>
        <w:rFonts w:hint="default"/>
        <w:sz w:val="22"/>
      </w:rPr>
    </w:lvl>
    <w:lvl w:ilvl="2" w:tplc="FFC49E86">
      <w:start w:val="1"/>
      <w:numFmt w:val="upperLetter"/>
      <w:lvlText w:val="%3."/>
      <w:lvlJc w:val="left"/>
      <w:pPr>
        <w:ind w:left="2340" w:hanging="360"/>
      </w:pPr>
      <w:rPr>
        <w:rFonts w:hint="default"/>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5365F9"/>
    <w:multiLevelType w:val="hybridMultilevel"/>
    <w:tmpl w:val="AD72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E56050"/>
    <w:multiLevelType w:val="hybridMultilevel"/>
    <w:tmpl w:val="4A646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8B2BB3"/>
    <w:multiLevelType w:val="hybridMultilevel"/>
    <w:tmpl w:val="4E86E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3444685">
    <w:abstractNumId w:val="6"/>
  </w:num>
  <w:num w:numId="2" w16cid:durableId="763188337">
    <w:abstractNumId w:val="15"/>
  </w:num>
  <w:num w:numId="3" w16cid:durableId="1447656421">
    <w:abstractNumId w:val="23"/>
  </w:num>
  <w:num w:numId="4" w16cid:durableId="784889233">
    <w:abstractNumId w:val="21"/>
  </w:num>
  <w:num w:numId="5" w16cid:durableId="164245936">
    <w:abstractNumId w:val="29"/>
  </w:num>
  <w:num w:numId="6" w16cid:durableId="334459079">
    <w:abstractNumId w:val="19"/>
  </w:num>
  <w:num w:numId="7" w16cid:durableId="1569530516">
    <w:abstractNumId w:val="16"/>
  </w:num>
  <w:num w:numId="8" w16cid:durableId="1934588464">
    <w:abstractNumId w:val="18"/>
  </w:num>
  <w:num w:numId="9" w16cid:durableId="1469130520">
    <w:abstractNumId w:val="26"/>
  </w:num>
  <w:num w:numId="10" w16cid:durableId="1866212042">
    <w:abstractNumId w:val="17"/>
  </w:num>
  <w:num w:numId="11" w16cid:durableId="1082873871">
    <w:abstractNumId w:val="9"/>
  </w:num>
  <w:num w:numId="12" w16cid:durableId="1478185678">
    <w:abstractNumId w:val="11"/>
  </w:num>
  <w:num w:numId="13" w16cid:durableId="1568766536">
    <w:abstractNumId w:val="22"/>
  </w:num>
  <w:num w:numId="14" w16cid:durableId="2126077003">
    <w:abstractNumId w:val="25"/>
  </w:num>
  <w:num w:numId="15" w16cid:durableId="900871120">
    <w:abstractNumId w:val="20"/>
  </w:num>
  <w:num w:numId="16" w16cid:durableId="1473252452">
    <w:abstractNumId w:val="3"/>
  </w:num>
  <w:num w:numId="17" w16cid:durableId="1494834689">
    <w:abstractNumId w:val="4"/>
  </w:num>
  <w:num w:numId="18" w16cid:durableId="1215384543">
    <w:abstractNumId w:val="28"/>
  </w:num>
  <w:num w:numId="19" w16cid:durableId="551624418">
    <w:abstractNumId w:val="31"/>
  </w:num>
  <w:num w:numId="20" w16cid:durableId="1993558766">
    <w:abstractNumId w:val="14"/>
  </w:num>
  <w:num w:numId="21" w16cid:durableId="1051270694">
    <w:abstractNumId w:val="13"/>
  </w:num>
  <w:num w:numId="22" w16cid:durableId="1610043371">
    <w:abstractNumId w:val="7"/>
  </w:num>
  <w:num w:numId="23" w16cid:durableId="1524126523">
    <w:abstractNumId w:val="0"/>
  </w:num>
  <w:num w:numId="24" w16cid:durableId="1315992675">
    <w:abstractNumId w:val="10"/>
  </w:num>
  <w:num w:numId="25" w16cid:durableId="714278488">
    <w:abstractNumId w:val="2"/>
  </w:num>
  <w:num w:numId="26" w16cid:durableId="514075218">
    <w:abstractNumId w:val="8"/>
  </w:num>
  <w:num w:numId="27" w16cid:durableId="423913779">
    <w:abstractNumId w:val="5"/>
  </w:num>
  <w:num w:numId="28" w16cid:durableId="444889265">
    <w:abstractNumId w:val="30"/>
  </w:num>
  <w:num w:numId="29" w16cid:durableId="565650482">
    <w:abstractNumId w:val="12"/>
  </w:num>
  <w:num w:numId="30" w16cid:durableId="1218277519">
    <w:abstractNumId w:val="24"/>
  </w:num>
  <w:num w:numId="31" w16cid:durableId="85662040">
    <w:abstractNumId w:val="27"/>
  </w:num>
  <w:num w:numId="32" w16cid:durableId="1176268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6B9"/>
    <w:rsid w:val="000006BE"/>
    <w:rsid w:val="000032C5"/>
    <w:rsid w:val="000055EF"/>
    <w:rsid w:val="0000719B"/>
    <w:rsid w:val="00007488"/>
    <w:rsid w:val="00007819"/>
    <w:rsid w:val="00010465"/>
    <w:rsid w:val="00010F6D"/>
    <w:rsid w:val="00011A90"/>
    <w:rsid w:val="00011F05"/>
    <w:rsid w:val="00011F31"/>
    <w:rsid w:val="00017594"/>
    <w:rsid w:val="0001765F"/>
    <w:rsid w:val="00020C27"/>
    <w:rsid w:val="000214CF"/>
    <w:rsid w:val="000229F3"/>
    <w:rsid w:val="00022EBB"/>
    <w:rsid w:val="00022F36"/>
    <w:rsid w:val="00026354"/>
    <w:rsid w:val="00026D96"/>
    <w:rsid w:val="00030236"/>
    <w:rsid w:val="000307E1"/>
    <w:rsid w:val="00030B5E"/>
    <w:rsid w:val="00030D27"/>
    <w:rsid w:val="00032B93"/>
    <w:rsid w:val="00033D67"/>
    <w:rsid w:val="00033FFC"/>
    <w:rsid w:val="00037165"/>
    <w:rsid w:val="00037ED6"/>
    <w:rsid w:val="000408B8"/>
    <w:rsid w:val="000409FE"/>
    <w:rsid w:val="000412A7"/>
    <w:rsid w:val="00041A09"/>
    <w:rsid w:val="00043F89"/>
    <w:rsid w:val="00044F3C"/>
    <w:rsid w:val="00045243"/>
    <w:rsid w:val="00045471"/>
    <w:rsid w:val="00045B8A"/>
    <w:rsid w:val="00045F5D"/>
    <w:rsid w:val="000463DE"/>
    <w:rsid w:val="000463F1"/>
    <w:rsid w:val="00047E8D"/>
    <w:rsid w:val="00050188"/>
    <w:rsid w:val="000502EE"/>
    <w:rsid w:val="000520A6"/>
    <w:rsid w:val="00053E7A"/>
    <w:rsid w:val="000546A4"/>
    <w:rsid w:val="00055029"/>
    <w:rsid w:val="0005506E"/>
    <w:rsid w:val="000551F5"/>
    <w:rsid w:val="00055562"/>
    <w:rsid w:val="00056DC0"/>
    <w:rsid w:val="00056F8C"/>
    <w:rsid w:val="00057050"/>
    <w:rsid w:val="00057677"/>
    <w:rsid w:val="0006120F"/>
    <w:rsid w:val="00062040"/>
    <w:rsid w:val="00062D41"/>
    <w:rsid w:val="000630EC"/>
    <w:rsid w:val="0006310D"/>
    <w:rsid w:val="00063317"/>
    <w:rsid w:val="00064A4E"/>
    <w:rsid w:val="00065463"/>
    <w:rsid w:val="000655C0"/>
    <w:rsid w:val="0006577A"/>
    <w:rsid w:val="00066D1E"/>
    <w:rsid w:val="00067096"/>
    <w:rsid w:val="000678AF"/>
    <w:rsid w:val="00067F85"/>
    <w:rsid w:val="0007043B"/>
    <w:rsid w:val="000718A1"/>
    <w:rsid w:val="00072764"/>
    <w:rsid w:val="00073733"/>
    <w:rsid w:val="00073790"/>
    <w:rsid w:val="00074151"/>
    <w:rsid w:val="00076353"/>
    <w:rsid w:val="000767C9"/>
    <w:rsid w:val="000769C2"/>
    <w:rsid w:val="00076ECA"/>
    <w:rsid w:val="00080887"/>
    <w:rsid w:val="000813E5"/>
    <w:rsid w:val="00083893"/>
    <w:rsid w:val="000854EF"/>
    <w:rsid w:val="00085BE4"/>
    <w:rsid w:val="00085C2C"/>
    <w:rsid w:val="00086903"/>
    <w:rsid w:val="00087DE0"/>
    <w:rsid w:val="0009083A"/>
    <w:rsid w:val="00091BA3"/>
    <w:rsid w:val="00091CAF"/>
    <w:rsid w:val="00092114"/>
    <w:rsid w:val="0009277A"/>
    <w:rsid w:val="00092ACB"/>
    <w:rsid w:val="00094437"/>
    <w:rsid w:val="000958A4"/>
    <w:rsid w:val="0009701C"/>
    <w:rsid w:val="00097081"/>
    <w:rsid w:val="00097356"/>
    <w:rsid w:val="00097544"/>
    <w:rsid w:val="00097698"/>
    <w:rsid w:val="000A0288"/>
    <w:rsid w:val="000A06C5"/>
    <w:rsid w:val="000A0C91"/>
    <w:rsid w:val="000A1DE0"/>
    <w:rsid w:val="000A1E0C"/>
    <w:rsid w:val="000A2153"/>
    <w:rsid w:val="000A38F1"/>
    <w:rsid w:val="000A4023"/>
    <w:rsid w:val="000A4052"/>
    <w:rsid w:val="000A48F9"/>
    <w:rsid w:val="000A60DB"/>
    <w:rsid w:val="000A6D0C"/>
    <w:rsid w:val="000B0726"/>
    <w:rsid w:val="000B2CD1"/>
    <w:rsid w:val="000B2F3F"/>
    <w:rsid w:val="000B3AFB"/>
    <w:rsid w:val="000B3CAE"/>
    <w:rsid w:val="000B3D99"/>
    <w:rsid w:val="000B4016"/>
    <w:rsid w:val="000B46E5"/>
    <w:rsid w:val="000B4725"/>
    <w:rsid w:val="000B5265"/>
    <w:rsid w:val="000B5795"/>
    <w:rsid w:val="000B5CC1"/>
    <w:rsid w:val="000B7019"/>
    <w:rsid w:val="000B7845"/>
    <w:rsid w:val="000C1FC6"/>
    <w:rsid w:val="000C201E"/>
    <w:rsid w:val="000C27F0"/>
    <w:rsid w:val="000C2EE4"/>
    <w:rsid w:val="000C3EB3"/>
    <w:rsid w:val="000C499B"/>
    <w:rsid w:val="000C534A"/>
    <w:rsid w:val="000C5C07"/>
    <w:rsid w:val="000C5D10"/>
    <w:rsid w:val="000C63CE"/>
    <w:rsid w:val="000C72B6"/>
    <w:rsid w:val="000C7AD5"/>
    <w:rsid w:val="000D0649"/>
    <w:rsid w:val="000D129E"/>
    <w:rsid w:val="000D1F73"/>
    <w:rsid w:val="000D2079"/>
    <w:rsid w:val="000D2081"/>
    <w:rsid w:val="000D27BB"/>
    <w:rsid w:val="000D3864"/>
    <w:rsid w:val="000E1D15"/>
    <w:rsid w:val="000E3A68"/>
    <w:rsid w:val="000E3D20"/>
    <w:rsid w:val="000E4068"/>
    <w:rsid w:val="000E5A6A"/>
    <w:rsid w:val="000E5A9C"/>
    <w:rsid w:val="000E6128"/>
    <w:rsid w:val="000E626C"/>
    <w:rsid w:val="000E7C9C"/>
    <w:rsid w:val="000F0C28"/>
    <w:rsid w:val="000F22FE"/>
    <w:rsid w:val="000F33DC"/>
    <w:rsid w:val="000F603D"/>
    <w:rsid w:val="000F6A58"/>
    <w:rsid w:val="000F6DA6"/>
    <w:rsid w:val="0010045B"/>
    <w:rsid w:val="00102990"/>
    <w:rsid w:val="00103A05"/>
    <w:rsid w:val="0010421B"/>
    <w:rsid w:val="001043F6"/>
    <w:rsid w:val="00104AC4"/>
    <w:rsid w:val="0010528F"/>
    <w:rsid w:val="0010618C"/>
    <w:rsid w:val="001062FE"/>
    <w:rsid w:val="00112E9E"/>
    <w:rsid w:val="00113CE9"/>
    <w:rsid w:val="0011455D"/>
    <w:rsid w:val="00115C2C"/>
    <w:rsid w:val="001166BB"/>
    <w:rsid w:val="0011686E"/>
    <w:rsid w:val="001172EE"/>
    <w:rsid w:val="001203D4"/>
    <w:rsid w:val="0012056A"/>
    <w:rsid w:val="00120847"/>
    <w:rsid w:val="0012149A"/>
    <w:rsid w:val="00123BFF"/>
    <w:rsid w:val="00124324"/>
    <w:rsid w:val="001249AC"/>
    <w:rsid w:val="0012592D"/>
    <w:rsid w:val="0012596A"/>
    <w:rsid w:val="00125F0D"/>
    <w:rsid w:val="001265E2"/>
    <w:rsid w:val="00130EA6"/>
    <w:rsid w:val="001318BA"/>
    <w:rsid w:val="00131BF1"/>
    <w:rsid w:val="0013219F"/>
    <w:rsid w:val="001322CE"/>
    <w:rsid w:val="001323D1"/>
    <w:rsid w:val="00133494"/>
    <w:rsid w:val="001338DD"/>
    <w:rsid w:val="00133ACF"/>
    <w:rsid w:val="001343AB"/>
    <w:rsid w:val="00135941"/>
    <w:rsid w:val="001400AB"/>
    <w:rsid w:val="001400D6"/>
    <w:rsid w:val="0014083E"/>
    <w:rsid w:val="001412C4"/>
    <w:rsid w:val="00142CC3"/>
    <w:rsid w:val="00143590"/>
    <w:rsid w:val="00144163"/>
    <w:rsid w:val="00145262"/>
    <w:rsid w:val="00145C5B"/>
    <w:rsid w:val="001462D4"/>
    <w:rsid w:val="001466DD"/>
    <w:rsid w:val="00146FCC"/>
    <w:rsid w:val="00147EAE"/>
    <w:rsid w:val="00150559"/>
    <w:rsid w:val="00150D2B"/>
    <w:rsid w:val="0015126D"/>
    <w:rsid w:val="00152642"/>
    <w:rsid w:val="0015310F"/>
    <w:rsid w:val="00153561"/>
    <w:rsid w:val="00156E49"/>
    <w:rsid w:val="00157D4F"/>
    <w:rsid w:val="0016011E"/>
    <w:rsid w:val="0016026B"/>
    <w:rsid w:val="00160A60"/>
    <w:rsid w:val="00161E4A"/>
    <w:rsid w:val="00162377"/>
    <w:rsid w:val="00162877"/>
    <w:rsid w:val="00163D97"/>
    <w:rsid w:val="00164496"/>
    <w:rsid w:val="00164B9A"/>
    <w:rsid w:val="00164DC0"/>
    <w:rsid w:val="00165A4B"/>
    <w:rsid w:val="00165B1D"/>
    <w:rsid w:val="00166008"/>
    <w:rsid w:val="00166A96"/>
    <w:rsid w:val="001673B6"/>
    <w:rsid w:val="0017071F"/>
    <w:rsid w:val="00171152"/>
    <w:rsid w:val="001711AB"/>
    <w:rsid w:val="00172422"/>
    <w:rsid w:val="001725F2"/>
    <w:rsid w:val="00172EB4"/>
    <w:rsid w:val="001730DC"/>
    <w:rsid w:val="0017345E"/>
    <w:rsid w:val="001753E8"/>
    <w:rsid w:val="00176981"/>
    <w:rsid w:val="00177F5F"/>
    <w:rsid w:val="00180E06"/>
    <w:rsid w:val="001814B6"/>
    <w:rsid w:val="00182109"/>
    <w:rsid w:val="00183C81"/>
    <w:rsid w:val="001844AF"/>
    <w:rsid w:val="00184A9A"/>
    <w:rsid w:val="001854F7"/>
    <w:rsid w:val="00186CF2"/>
    <w:rsid w:val="00187B1B"/>
    <w:rsid w:val="00191004"/>
    <w:rsid w:val="00191687"/>
    <w:rsid w:val="00191ED9"/>
    <w:rsid w:val="00194325"/>
    <w:rsid w:val="00195C16"/>
    <w:rsid w:val="0019764D"/>
    <w:rsid w:val="00197BE2"/>
    <w:rsid w:val="001A2AB6"/>
    <w:rsid w:val="001A2C20"/>
    <w:rsid w:val="001A3455"/>
    <w:rsid w:val="001A4B17"/>
    <w:rsid w:val="001A4F24"/>
    <w:rsid w:val="001A6A8B"/>
    <w:rsid w:val="001A6D73"/>
    <w:rsid w:val="001A7C4A"/>
    <w:rsid w:val="001B039F"/>
    <w:rsid w:val="001B0FF7"/>
    <w:rsid w:val="001B1D69"/>
    <w:rsid w:val="001B2CE5"/>
    <w:rsid w:val="001B3197"/>
    <w:rsid w:val="001B3E53"/>
    <w:rsid w:val="001B47C5"/>
    <w:rsid w:val="001B63C3"/>
    <w:rsid w:val="001C0012"/>
    <w:rsid w:val="001C01A0"/>
    <w:rsid w:val="001C05E3"/>
    <w:rsid w:val="001C2667"/>
    <w:rsid w:val="001C3910"/>
    <w:rsid w:val="001C4DF9"/>
    <w:rsid w:val="001C5025"/>
    <w:rsid w:val="001D0CFD"/>
    <w:rsid w:val="001D1B97"/>
    <w:rsid w:val="001D2274"/>
    <w:rsid w:val="001D3B32"/>
    <w:rsid w:val="001D4C81"/>
    <w:rsid w:val="001D61C6"/>
    <w:rsid w:val="001D7527"/>
    <w:rsid w:val="001D7D3A"/>
    <w:rsid w:val="001E09D7"/>
    <w:rsid w:val="001E0B5E"/>
    <w:rsid w:val="001E1567"/>
    <w:rsid w:val="001E1E48"/>
    <w:rsid w:val="001E2281"/>
    <w:rsid w:val="001E3AB7"/>
    <w:rsid w:val="001E41FA"/>
    <w:rsid w:val="001E47D9"/>
    <w:rsid w:val="001E515A"/>
    <w:rsid w:val="001E5B65"/>
    <w:rsid w:val="001E6ED5"/>
    <w:rsid w:val="001E7AD9"/>
    <w:rsid w:val="001E7AEF"/>
    <w:rsid w:val="001F00FB"/>
    <w:rsid w:val="001F29E2"/>
    <w:rsid w:val="001F3370"/>
    <w:rsid w:val="001F3465"/>
    <w:rsid w:val="001F3694"/>
    <w:rsid w:val="001F4585"/>
    <w:rsid w:val="001F5129"/>
    <w:rsid w:val="001F661B"/>
    <w:rsid w:val="001F6A20"/>
    <w:rsid w:val="00200BCF"/>
    <w:rsid w:val="00203D99"/>
    <w:rsid w:val="00205265"/>
    <w:rsid w:val="00205479"/>
    <w:rsid w:val="00205F97"/>
    <w:rsid w:val="002068D7"/>
    <w:rsid w:val="00210878"/>
    <w:rsid w:val="002111C1"/>
    <w:rsid w:val="002117A7"/>
    <w:rsid w:val="00211B2D"/>
    <w:rsid w:val="00211F16"/>
    <w:rsid w:val="00212706"/>
    <w:rsid w:val="00212749"/>
    <w:rsid w:val="002131B8"/>
    <w:rsid w:val="002139AC"/>
    <w:rsid w:val="00214425"/>
    <w:rsid w:val="00215C46"/>
    <w:rsid w:val="002161DC"/>
    <w:rsid w:val="00216531"/>
    <w:rsid w:val="00216FD6"/>
    <w:rsid w:val="0021735B"/>
    <w:rsid w:val="00217C69"/>
    <w:rsid w:val="00220313"/>
    <w:rsid w:val="00220491"/>
    <w:rsid w:val="002206A4"/>
    <w:rsid w:val="00221140"/>
    <w:rsid w:val="00221E54"/>
    <w:rsid w:val="00221E91"/>
    <w:rsid w:val="00223661"/>
    <w:rsid w:val="00225F7C"/>
    <w:rsid w:val="00226AE4"/>
    <w:rsid w:val="00226FBE"/>
    <w:rsid w:val="002274E3"/>
    <w:rsid w:val="00227792"/>
    <w:rsid w:val="00227A6A"/>
    <w:rsid w:val="00227AE5"/>
    <w:rsid w:val="00230659"/>
    <w:rsid w:val="00230F92"/>
    <w:rsid w:val="0023274B"/>
    <w:rsid w:val="0023311F"/>
    <w:rsid w:val="00233F80"/>
    <w:rsid w:val="00234D7A"/>
    <w:rsid w:val="00235113"/>
    <w:rsid w:val="0024089E"/>
    <w:rsid w:val="0024131B"/>
    <w:rsid w:val="00241C24"/>
    <w:rsid w:val="00242FA6"/>
    <w:rsid w:val="002441A5"/>
    <w:rsid w:val="00244D02"/>
    <w:rsid w:val="00245666"/>
    <w:rsid w:val="00246134"/>
    <w:rsid w:val="002468F7"/>
    <w:rsid w:val="00246D4C"/>
    <w:rsid w:val="00246E45"/>
    <w:rsid w:val="00246EC3"/>
    <w:rsid w:val="002470C7"/>
    <w:rsid w:val="00250F4B"/>
    <w:rsid w:val="00252477"/>
    <w:rsid w:val="00252837"/>
    <w:rsid w:val="00252E59"/>
    <w:rsid w:val="0025366E"/>
    <w:rsid w:val="0025443E"/>
    <w:rsid w:val="00255949"/>
    <w:rsid w:val="002562C5"/>
    <w:rsid w:val="00256C8C"/>
    <w:rsid w:val="0025731A"/>
    <w:rsid w:val="0025793C"/>
    <w:rsid w:val="0026010A"/>
    <w:rsid w:val="002604F6"/>
    <w:rsid w:val="0026233E"/>
    <w:rsid w:val="00264D6E"/>
    <w:rsid w:val="0026561E"/>
    <w:rsid w:val="002659DC"/>
    <w:rsid w:val="00270D42"/>
    <w:rsid w:val="002729CB"/>
    <w:rsid w:val="00272F41"/>
    <w:rsid w:val="00273C66"/>
    <w:rsid w:val="002741F1"/>
    <w:rsid w:val="00274FD8"/>
    <w:rsid w:val="00275812"/>
    <w:rsid w:val="00275B8E"/>
    <w:rsid w:val="00275F1E"/>
    <w:rsid w:val="00277504"/>
    <w:rsid w:val="00280BFF"/>
    <w:rsid w:val="00283453"/>
    <w:rsid w:val="00284359"/>
    <w:rsid w:val="00284A5B"/>
    <w:rsid w:val="00285AAA"/>
    <w:rsid w:val="00285B20"/>
    <w:rsid w:val="0028687C"/>
    <w:rsid w:val="00287360"/>
    <w:rsid w:val="002879EA"/>
    <w:rsid w:val="00287EED"/>
    <w:rsid w:val="002906FF"/>
    <w:rsid w:val="00291050"/>
    <w:rsid w:val="00292062"/>
    <w:rsid w:val="00292144"/>
    <w:rsid w:val="0029351E"/>
    <w:rsid w:val="00295037"/>
    <w:rsid w:val="00295EBC"/>
    <w:rsid w:val="002966D0"/>
    <w:rsid w:val="00296B44"/>
    <w:rsid w:val="002977E3"/>
    <w:rsid w:val="002A0D33"/>
    <w:rsid w:val="002A22C6"/>
    <w:rsid w:val="002A2475"/>
    <w:rsid w:val="002A2F95"/>
    <w:rsid w:val="002A33AA"/>
    <w:rsid w:val="002A3B26"/>
    <w:rsid w:val="002A40A0"/>
    <w:rsid w:val="002A5700"/>
    <w:rsid w:val="002A6AF0"/>
    <w:rsid w:val="002A79A2"/>
    <w:rsid w:val="002B1007"/>
    <w:rsid w:val="002B2577"/>
    <w:rsid w:val="002B39A4"/>
    <w:rsid w:val="002B5407"/>
    <w:rsid w:val="002B5612"/>
    <w:rsid w:val="002B632B"/>
    <w:rsid w:val="002B6366"/>
    <w:rsid w:val="002B6AF6"/>
    <w:rsid w:val="002B6BE6"/>
    <w:rsid w:val="002B76F5"/>
    <w:rsid w:val="002C02A2"/>
    <w:rsid w:val="002C050F"/>
    <w:rsid w:val="002C0F1F"/>
    <w:rsid w:val="002C19F4"/>
    <w:rsid w:val="002C4035"/>
    <w:rsid w:val="002C4D3A"/>
    <w:rsid w:val="002C590D"/>
    <w:rsid w:val="002C635C"/>
    <w:rsid w:val="002C6474"/>
    <w:rsid w:val="002C6834"/>
    <w:rsid w:val="002C7564"/>
    <w:rsid w:val="002D11B0"/>
    <w:rsid w:val="002D19E5"/>
    <w:rsid w:val="002D387B"/>
    <w:rsid w:val="002D5ABD"/>
    <w:rsid w:val="002D6505"/>
    <w:rsid w:val="002E15D0"/>
    <w:rsid w:val="002E2562"/>
    <w:rsid w:val="002E2E49"/>
    <w:rsid w:val="002E34BC"/>
    <w:rsid w:val="002E4B5F"/>
    <w:rsid w:val="002E65B7"/>
    <w:rsid w:val="002E74D4"/>
    <w:rsid w:val="002E7989"/>
    <w:rsid w:val="002E7CDC"/>
    <w:rsid w:val="002E7F27"/>
    <w:rsid w:val="002F3622"/>
    <w:rsid w:val="002F3906"/>
    <w:rsid w:val="002F4C2D"/>
    <w:rsid w:val="002F5E98"/>
    <w:rsid w:val="002F6B28"/>
    <w:rsid w:val="002F7227"/>
    <w:rsid w:val="002F7FD2"/>
    <w:rsid w:val="003008A4"/>
    <w:rsid w:val="00300CB1"/>
    <w:rsid w:val="00302314"/>
    <w:rsid w:val="003032BF"/>
    <w:rsid w:val="00303722"/>
    <w:rsid w:val="00303E94"/>
    <w:rsid w:val="003046CE"/>
    <w:rsid w:val="0030590E"/>
    <w:rsid w:val="003068E2"/>
    <w:rsid w:val="003069FB"/>
    <w:rsid w:val="00306CA4"/>
    <w:rsid w:val="00310863"/>
    <w:rsid w:val="003122AE"/>
    <w:rsid w:val="00312480"/>
    <w:rsid w:val="00314B77"/>
    <w:rsid w:val="00315D6C"/>
    <w:rsid w:val="00316A1C"/>
    <w:rsid w:val="0031764D"/>
    <w:rsid w:val="00317A3B"/>
    <w:rsid w:val="00320E6D"/>
    <w:rsid w:val="003227E0"/>
    <w:rsid w:val="0032309A"/>
    <w:rsid w:val="00325078"/>
    <w:rsid w:val="00325620"/>
    <w:rsid w:val="00325C57"/>
    <w:rsid w:val="00326F59"/>
    <w:rsid w:val="003275A5"/>
    <w:rsid w:val="00327A41"/>
    <w:rsid w:val="0033035B"/>
    <w:rsid w:val="00333BE9"/>
    <w:rsid w:val="00335731"/>
    <w:rsid w:val="003365F8"/>
    <w:rsid w:val="003376A5"/>
    <w:rsid w:val="00341C8E"/>
    <w:rsid w:val="00341DE9"/>
    <w:rsid w:val="003427A3"/>
    <w:rsid w:val="00344FCD"/>
    <w:rsid w:val="00346C61"/>
    <w:rsid w:val="00346CA7"/>
    <w:rsid w:val="0034725A"/>
    <w:rsid w:val="00347B35"/>
    <w:rsid w:val="00351C72"/>
    <w:rsid w:val="00351E4A"/>
    <w:rsid w:val="00352E36"/>
    <w:rsid w:val="00353FDD"/>
    <w:rsid w:val="00354781"/>
    <w:rsid w:val="00357F61"/>
    <w:rsid w:val="003611C6"/>
    <w:rsid w:val="00361AE9"/>
    <w:rsid w:val="00362CDD"/>
    <w:rsid w:val="00364DB2"/>
    <w:rsid w:val="00364F72"/>
    <w:rsid w:val="00367274"/>
    <w:rsid w:val="00367D90"/>
    <w:rsid w:val="00367DA2"/>
    <w:rsid w:val="00367F82"/>
    <w:rsid w:val="00370F1B"/>
    <w:rsid w:val="00371CA0"/>
    <w:rsid w:val="00371E7F"/>
    <w:rsid w:val="00373D96"/>
    <w:rsid w:val="00374A31"/>
    <w:rsid w:val="00374CA1"/>
    <w:rsid w:val="00375A77"/>
    <w:rsid w:val="00375CDE"/>
    <w:rsid w:val="00375DC7"/>
    <w:rsid w:val="003765F0"/>
    <w:rsid w:val="00376C10"/>
    <w:rsid w:val="003800EF"/>
    <w:rsid w:val="003811A0"/>
    <w:rsid w:val="00381B5E"/>
    <w:rsid w:val="003822D5"/>
    <w:rsid w:val="00382BA7"/>
    <w:rsid w:val="00382BF8"/>
    <w:rsid w:val="00383573"/>
    <w:rsid w:val="00384CC7"/>
    <w:rsid w:val="00385023"/>
    <w:rsid w:val="00390027"/>
    <w:rsid w:val="00390234"/>
    <w:rsid w:val="00390289"/>
    <w:rsid w:val="0039195D"/>
    <w:rsid w:val="00391C68"/>
    <w:rsid w:val="0039345A"/>
    <w:rsid w:val="00393761"/>
    <w:rsid w:val="00393ACE"/>
    <w:rsid w:val="003951EE"/>
    <w:rsid w:val="0039692A"/>
    <w:rsid w:val="00396AFC"/>
    <w:rsid w:val="003975D7"/>
    <w:rsid w:val="00397E25"/>
    <w:rsid w:val="003A0EAA"/>
    <w:rsid w:val="003A0F29"/>
    <w:rsid w:val="003A19FE"/>
    <w:rsid w:val="003A2312"/>
    <w:rsid w:val="003A27CE"/>
    <w:rsid w:val="003A2F2D"/>
    <w:rsid w:val="003A341F"/>
    <w:rsid w:val="003A5252"/>
    <w:rsid w:val="003A5295"/>
    <w:rsid w:val="003A714F"/>
    <w:rsid w:val="003A77B2"/>
    <w:rsid w:val="003A7EBC"/>
    <w:rsid w:val="003B069D"/>
    <w:rsid w:val="003B07D6"/>
    <w:rsid w:val="003B0C4E"/>
    <w:rsid w:val="003B0F4F"/>
    <w:rsid w:val="003B1654"/>
    <w:rsid w:val="003B214A"/>
    <w:rsid w:val="003B2EE8"/>
    <w:rsid w:val="003B349D"/>
    <w:rsid w:val="003B3C44"/>
    <w:rsid w:val="003B3E30"/>
    <w:rsid w:val="003B41D2"/>
    <w:rsid w:val="003B5720"/>
    <w:rsid w:val="003B5D4D"/>
    <w:rsid w:val="003B6363"/>
    <w:rsid w:val="003C0C0A"/>
    <w:rsid w:val="003C30F2"/>
    <w:rsid w:val="003C337C"/>
    <w:rsid w:val="003C3921"/>
    <w:rsid w:val="003C3BCE"/>
    <w:rsid w:val="003C5DE7"/>
    <w:rsid w:val="003C79B7"/>
    <w:rsid w:val="003C7B82"/>
    <w:rsid w:val="003C7FE5"/>
    <w:rsid w:val="003D38C1"/>
    <w:rsid w:val="003D5773"/>
    <w:rsid w:val="003D741B"/>
    <w:rsid w:val="003E06D1"/>
    <w:rsid w:val="003E0EE0"/>
    <w:rsid w:val="003E1A58"/>
    <w:rsid w:val="003E27A2"/>
    <w:rsid w:val="003E2A6E"/>
    <w:rsid w:val="003E3026"/>
    <w:rsid w:val="003E3F91"/>
    <w:rsid w:val="003E6FC4"/>
    <w:rsid w:val="003E742D"/>
    <w:rsid w:val="003E77C0"/>
    <w:rsid w:val="003F063B"/>
    <w:rsid w:val="003F26BB"/>
    <w:rsid w:val="003F2BDC"/>
    <w:rsid w:val="003F47C9"/>
    <w:rsid w:val="003F57F2"/>
    <w:rsid w:val="003F5C10"/>
    <w:rsid w:val="003F5C5B"/>
    <w:rsid w:val="003F6F09"/>
    <w:rsid w:val="003F7063"/>
    <w:rsid w:val="003F762F"/>
    <w:rsid w:val="0040006E"/>
    <w:rsid w:val="0040037A"/>
    <w:rsid w:val="00401796"/>
    <w:rsid w:val="00401E39"/>
    <w:rsid w:val="00403CB5"/>
    <w:rsid w:val="00404CC8"/>
    <w:rsid w:val="004065E9"/>
    <w:rsid w:val="00406A9A"/>
    <w:rsid w:val="00406AFE"/>
    <w:rsid w:val="00407253"/>
    <w:rsid w:val="00407BD0"/>
    <w:rsid w:val="00407DF0"/>
    <w:rsid w:val="0041099C"/>
    <w:rsid w:val="0041113F"/>
    <w:rsid w:val="00414B67"/>
    <w:rsid w:val="00414D49"/>
    <w:rsid w:val="0041534A"/>
    <w:rsid w:val="0041631F"/>
    <w:rsid w:val="00417389"/>
    <w:rsid w:val="00420932"/>
    <w:rsid w:val="00420A88"/>
    <w:rsid w:val="00420B0B"/>
    <w:rsid w:val="00421FFF"/>
    <w:rsid w:val="00422C54"/>
    <w:rsid w:val="00422D7F"/>
    <w:rsid w:val="004233AA"/>
    <w:rsid w:val="0042357D"/>
    <w:rsid w:val="00423BA1"/>
    <w:rsid w:val="00424497"/>
    <w:rsid w:val="00425D43"/>
    <w:rsid w:val="0043145E"/>
    <w:rsid w:val="00431A46"/>
    <w:rsid w:val="00432992"/>
    <w:rsid w:val="004335F1"/>
    <w:rsid w:val="00433609"/>
    <w:rsid w:val="0043444D"/>
    <w:rsid w:val="00434B13"/>
    <w:rsid w:val="00434F10"/>
    <w:rsid w:val="00435A3C"/>
    <w:rsid w:val="00436DAB"/>
    <w:rsid w:val="004373B3"/>
    <w:rsid w:val="00442323"/>
    <w:rsid w:val="004425F2"/>
    <w:rsid w:val="00442AD2"/>
    <w:rsid w:val="00442F35"/>
    <w:rsid w:val="00443618"/>
    <w:rsid w:val="00443E09"/>
    <w:rsid w:val="00446A23"/>
    <w:rsid w:val="00446A84"/>
    <w:rsid w:val="004470DB"/>
    <w:rsid w:val="00454534"/>
    <w:rsid w:val="00454A13"/>
    <w:rsid w:val="004555A2"/>
    <w:rsid w:val="00456219"/>
    <w:rsid w:val="004569F9"/>
    <w:rsid w:val="00457851"/>
    <w:rsid w:val="00460076"/>
    <w:rsid w:val="00460D1C"/>
    <w:rsid w:val="00463553"/>
    <w:rsid w:val="00465125"/>
    <w:rsid w:val="00465BE0"/>
    <w:rsid w:val="00465EA4"/>
    <w:rsid w:val="00470405"/>
    <w:rsid w:val="0047112D"/>
    <w:rsid w:val="0047179A"/>
    <w:rsid w:val="00471CDA"/>
    <w:rsid w:val="0047311F"/>
    <w:rsid w:val="004738A7"/>
    <w:rsid w:val="004749F6"/>
    <w:rsid w:val="004750B1"/>
    <w:rsid w:val="00475558"/>
    <w:rsid w:val="00476062"/>
    <w:rsid w:val="0047608C"/>
    <w:rsid w:val="00476BFA"/>
    <w:rsid w:val="0047754F"/>
    <w:rsid w:val="004800EC"/>
    <w:rsid w:val="004816EB"/>
    <w:rsid w:val="004823E0"/>
    <w:rsid w:val="004825DF"/>
    <w:rsid w:val="004838F6"/>
    <w:rsid w:val="00483E42"/>
    <w:rsid w:val="00484D8A"/>
    <w:rsid w:val="00486A36"/>
    <w:rsid w:val="00486FB3"/>
    <w:rsid w:val="00487C06"/>
    <w:rsid w:val="00487E00"/>
    <w:rsid w:val="00487E6F"/>
    <w:rsid w:val="00490576"/>
    <w:rsid w:val="00491A30"/>
    <w:rsid w:val="00491FF4"/>
    <w:rsid w:val="00492C0A"/>
    <w:rsid w:val="00495A40"/>
    <w:rsid w:val="004960A0"/>
    <w:rsid w:val="004969CD"/>
    <w:rsid w:val="00496CE5"/>
    <w:rsid w:val="004A038E"/>
    <w:rsid w:val="004A2B2B"/>
    <w:rsid w:val="004A309D"/>
    <w:rsid w:val="004A314B"/>
    <w:rsid w:val="004A381C"/>
    <w:rsid w:val="004A38FA"/>
    <w:rsid w:val="004A4EB9"/>
    <w:rsid w:val="004A5269"/>
    <w:rsid w:val="004A5692"/>
    <w:rsid w:val="004A59A8"/>
    <w:rsid w:val="004A5DEE"/>
    <w:rsid w:val="004A6972"/>
    <w:rsid w:val="004B029A"/>
    <w:rsid w:val="004B1D71"/>
    <w:rsid w:val="004B22B8"/>
    <w:rsid w:val="004B4517"/>
    <w:rsid w:val="004B7344"/>
    <w:rsid w:val="004B7848"/>
    <w:rsid w:val="004B797D"/>
    <w:rsid w:val="004B7B9C"/>
    <w:rsid w:val="004B7F64"/>
    <w:rsid w:val="004C006A"/>
    <w:rsid w:val="004C0401"/>
    <w:rsid w:val="004C080E"/>
    <w:rsid w:val="004C0BCC"/>
    <w:rsid w:val="004C2A0B"/>
    <w:rsid w:val="004C2CA9"/>
    <w:rsid w:val="004C4806"/>
    <w:rsid w:val="004C5519"/>
    <w:rsid w:val="004C61E5"/>
    <w:rsid w:val="004C7F4D"/>
    <w:rsid w:val="004D1C79"/>
    <w:rsid w:val="004D2FE3"/>
    <w:rsid w:val="004D31D1"/>
    <w:rsid w:val="004D40C4"/>
    <w:rsid w:val="004D75E3"/>
    <w:rsid w:val="004D7BFE"/>
    <w:rsid w:val="004E00BA"/>
    <w:rsid w:val="004E0D00"/>
    <w:rsid w:val="004E1D76"/>
    <w:rsid w:val="004E2370"/>
    <w:rsid w:val="004E286A"/>
    <w:rsid w:val="004E3253"/>
    <w:rsid w:val="004E346A"/>
    <w:rsid w:val="004E368A"/>
    <w:rsid w:val="004E4387"/>
    <w:rsid w:val="004E4781"/>
    <w:rsid w:val="004E5AB7"/>
    <w:rsid w:val="004E5C8A"/>
    <w:rsid w:val="004E5F91"/>
    <w:rsid w:val="004E6EE7"/>
    <w:rsid w:val="004E7819"/>
    <w:rsid w:val="004E7CCF"/>
    <w:rsid w:val="004F16B0"/>
    <w:rsid w:val="004F2208"/>
    <w:rsid w:val="004F2883"/>
    <w:rsid w:val="004F2EC8"/>
    <w:rsid w:val="004F43EC"/>
    <w:rsid w:val="004F4D2C"/>
    <w:rsid w:val="004F695D"/>
    <w:rsid w:val="004F7348"/>
    <w:rsid w:val="004F7608"/>
    <w:rsid w:val="004F7A63"/>
    <w:rsid w:val="00501295"/>
    <w:rsid w:val="005019C5"/>
    <w:rsid w:val="00502DA9"/>
    <w:rsid w:val="00503844"/>
    <w:rsid w:val="00503853"/>
    <w:rsid w:val="0050410B"/>
    <w:rsid w:val="005041F4"/>
    <w:rsid w:val="0050489F"/>
    <w:rsid w:val="005066AE"/>
    <w:rsid w:val="00506E12"/>
    <w:rsid w:val="00507029"/>
    <w:rsid w:val="00507E1A"/>
    <w:rsid w:val="00510333"/>
    <w:rsid w:val="00510D26"/>
    <w:rsid w:val="005111AB"/>
    <w:rsid w:val="00512D42"/>
    <w:rsid w:val="005139AC"/>
    <w:rsid w:val="00515238"/>
    <w:rsid w:val="00515A79"/>
    <w:rsid w:val="0051652E"/>
    <w:rsid w:val="005167B6"/>
    <w:rsid w:val="005173AA"/>
    <w:rsid w:val="0051754D"/>
    <w:rsid w:val="00520316"/>
    <w:rsid w:val="00520D61"/>
    <w:rsid w:val="00521243"/>
    <w:rsid w:val="00521C8C"/>
    <w:rsid w:val="00521E84"/>
    <w:rsid w:val="005225D2"/>
    <w:rsid w:val="00522FA2"/>
    <w:rsid w:val="005233BC"/>
    <w:rsid w:val="0052385E"/>
    <w:rsid w:val="00524001"/>
    <w:rsid w:val="005249C2"/>
    <w:rsid w:val="005251DC"/>
    <w:rsid w:val="00525FB6"/>
    <w:rsid w:val="0052600D"/>
    <w:rsid w:val="005265DA"/>
    <w:rsid w:val="0052668F"/>
    <w:rsid w:val="00527E7D"/>
    <w:rsid w:val="005303BA"/>
    <w:rsid w:val="005321E9"/>
    <w:rsid w:val="00532662"/>
    <w:rsid w:val="0053455A"/>
    <w:rsid w:val="00534F5D"/>
    <w:rsid w:val="00535ED5"/>
    <w:rsid w:val="005369DA"/>
    <w:rsid w:val="005369F0"/>
    <w:rsid w:val="00536F8B"/>
    <w:rsid w:val="005416EE"/>
    <w:rsid w:val="00542186"/>
    <w:rsid w:val="005429DE"/>
    <w:rsid w:val="0054364C"/>
    <w:rsid w:val="00544505"/>
    <w:rsid w:val="00546151"/>
    <w:rsid w:val="00546D1D"/>
    <w:rsid w:val="00546D42"/>
    <w:rsid w:val="00551010"/>
    <w:rsid w:val="0055200A"/>
    <w:rsid w:val="00552192"/>
    <w:rsid w:val="00552D8F"/>
    <w:rsid w:val="00552EB3"/>
    <w:rsid w:val="0055328A"/>
    <w:rsid w:val="005542E2"/>
    <w:rsid w:val="005545DB"/>
    <w:rsid w:val="0055490C"/>
    <w:rsid w:val="005558A6"/>
    <w:rsid w:val="00557E81"/>
    <w:rsid w:val="00560218"/>
    <w:rsid w:val="0056034D"/>
    <w:rsid w:val="00560419"/>
    <w:rsid w:val="005606B4"/>
    <w:rsid w:val="00560BDB"/>
    <w:rsid w:val="0056177D"/>
    <w:rsid w:val="00562750"/>
    <w:rsid w:val="00562CE9"/>
    <w:rsid w:val="00563E76"/>
    <w:rsid w:val="00564FE0"/>
    <w:rsid w:val="00565C41"/>
    <w:rsid w:val="00566788"/>
    <w:rsid w:val="005676EA"/>
    <w:rsid w:val="005703A8"/>
    <w:rsid w:val="00570716"/>
    <w:rsid w:val="005708C4"/>
    <w:rsid w:val="0057141D"/>
    <w:rsid w:val="00573006"/>
    <w:rsid w:val="00573011"/>
    <w:rsid w:val="00573318"/>
    <w:rsid w:val="005734A3"/>
    <w:rsid w:val="005738C7"/>
    <w:rsid w:val="00574689"/>
    <w:rsid w:val="00574FAF"/>
    <w:rsid w:val="00575D96"/>
    <w:rsid w:val="005761C5"/>
    <w:rsid w:val="0057637D"/>
    <w:rsid w:val="005771D6"/>
    <w:rsid w:val="0057789F"/>
    <w:rsid w:val="00577DE3"/>
    <w:rsid w:val="00580A67"/>
    <w:rsid w:val="00581567"/>
    <w:rsid w:val="00582CF2"/>
    <w:rsid w:val="005843FD"/>
    <w:rsid w:val="005844E3"/>
    <w:rsid w:val="00584A92"/>
    <w:rsid w:val="005850F9"/>
    <w:rsid w:val="00586B77"/>
    <w:rsid w:val="00586D82"/>
    <w:rsid w:val="00591A55"/>
    <w:rsid w:val="00591C81"/>
    <w:rsid w:val="00591CBC"/>
    <w:rsid w:val="005921BD"/>
    <w:rsid w:val="00592921"/>
    <w:rsid w:val="00592AE2"/>
    <w:rsid w:val="00592FA4"/>
    <w:rsid w:val="0059327F"/>
    <w:rsid w:val="00595AC2"/>
    <w:rsid w:val="0059632C"/>
    <w:rsid w:val="00596F81"/>
    <w:rsid w:val="005975A3"/>
    <w:rsid w:val="0059773C"/>
    <w:rsid w:val="005A009B"/>
    <w:rsid w:val="005A0234"/>
    <w:rsid w:val="005A090E"/>
    <w:rsid w:val="005A0B77"/>
    <w:rsid w:val="005A14AD"/>
    <w:rsid w:val="005A157F"/>
    <w:rsid w:val="005A31BB"/>
    <w:rsid w:val="005A3A96"/>
    <w:rsid w:val="005A4131"/>
    <w:rsid w:val="005A46EF"/>
    <w:rsid w:val="005A54C0"/>
    <w:rsid w:val="005A5BA3"/>
    <w:rsid w:val="005A748F"/>
    <w:rsid w:val="005A7658"/>
    <w:rsid w:val="005A767D"/>
    <w:rsid w:val="005A7951"/>
    <w:rsid w:val="005B0484"/>
    <w:rsid w:val="005B0B1F"/>
    <w:rsid w:val="005B1072"/>
    <w:rsid w:val="005B13EF"/>
    <w:rsid w:val="005B1B15"/>
    <w:rsid w:val="005B2BD4"/>
    <w:rsid w:val="005B30FA"/>
    <w:rsid w:val="005B3A53"/>
    <w:rsid w:val="005B40A8"/>
    <w:rsid w:val="005B7185"/>
    <w:rsid w:val="005B7471"/>
    <w:rsid w:val="005B7482"/>
    <w:rsid w:val="005C094C"/>
    <w:rsid w:val="005C0E29"/>
    <w:rsid w:val="005C1DE9"/>
    <w:rsid w:val="005C1E8E"/>
    <w:rsid w:val="005C276D"/>
    <w:rsid w:val="005C45FD"/>
    <w:rsid w:val="005C5A6A"/>
    <w:rsid w:val="005C6EBD"/>
    <w:rsid w:val="005C7F8D"/>
    <w:rsid w:val="005D1111"/>
    <w:rsid w:val="005D168D"/>
    <w:rsid w:val="005D27E4"/>
    <w:rsid w:val="005D3439"/>
    <w:rsid w:val="005D41FE"/>
    <w:rsid w:val="005D629C"/>
    <w:rsid w:val="005D7DE4"/>
    <w:rsid w:val="005E09E0"/>
    <w:rsid w:val="005E12AB"/>
    <w:rsid w:val="005E1831"/>
    <w:rsid w:val="005E28C0"/>
    <w:rsid w:val="005E297A"/>
    <w:rsid w:val="005E3991"/>
    <w:rsid w:val="005E3F2C"/>
    <w:rsid w:val="005E44EA"/>
    <w:rsid w:val="005E6398"/>
    <w:rsid w:val="005E6479"/>
    <w:rsid w:val="005E7540"/>
    <w:rsid w:val="005E75E8"/>
    <w:rsid w:val="005F02CC"/>
    <w:rsid w:val="005F0D8E"/>
    <w:rsid w:val="005F2D28"/>
    <w:rsid w:val="005F3D15"/>
    <w:rsid w:val="005F5360"/>
    <w:rsid w:val="005F5575"/>
    <w:rsid w:val="005F569C"/>
    <w:rsid w:val="005F57C5"/>
    <w:rsid w:val="005F79DB"/>
    <w:rsid w:val="00602970"/>
    <w:rsid w:val="0060304C"/>
    <w:rsid w:val="006031E4"/>
    <w:rsid w:val="00603F61"/>
    <w:rsid w:val="0060402B"/>
    <w:rsid w:val="00605274"/>
    <w:rsid w:val="00605374"/>
    <w:rsid w:val="00607189"/>
    <w:rsid w:val="006113A5"/>
    <w:rsid w:val="00612E85"/>
    <w:rsid w:val="00613EFF"/>
    <w:rsid w:val="00614DE8"/>
    <w:rsid w:val="00614E67"/>
    <w:rsid w:val="006163BA"/>
    <w:rsid w:val="006171C2"/>
    <w:rsid w:val="00617AFD"/>
    <w:rsid w:val="0062088F"/>
    <w:rsid w:val="00621FB8"/>
    <w:rsid w:val="00623EA7"/>
    <w:rsid w:val="006246D4"/>
    <w:rsid w:val="006246F4"/>
    <w:rsid w:val="0062495B"/>
    <w:rsid w:val="00625B09"/>
    <w:rsid w:val="006262CE"/>
    <w:rsid w:val="00626F62"/>
    <w:rsid w:val="006303A2"/>
    <w:rsid w:val="006304B0"/>
    <w:rsid w:val="00630628"/>
    <w:rsid w:val="00631024"/>
    <w:rsid w:val="0063151C"/>
    <w:rsid w:val="006330C5"/>
    <w:rsid w:val="00633ECA"/>
    <w:rsid w:val="006371E0"/>
    <w:rsid w:val="0063794D"/>
    <w:rsid w:val="006437F7"/>
    <w:rsid w:val="006438A5"/>
    <w:rsid w:val="00643F1F"/>
    <w:rsid w:val="0064424E"/>
    <w:rsid w:val="006457AD"/>
    <w:rsid w:val="00645909"/>
    <w:rsid w:val="0064687B"/>
    <w:rsid w:val="00646BC4"/>
    <w:rsid w:val="00647D30"/>
    <w:rsid w:val="00651CF0"/>
    <w:rsid w:val="00652013"/>
    <w:rsid w:val="006520F7"/>
    <w:rsid w:val="00652374"/>
    <w:rsid w:val="00652B8C"/>
    <w:rsid w:val="0065393F"/>
    <w:rsid w:val="00654025"/>
    <w:rsid w:val="00654791"/>
    <w:rsid w:val="00654BA7"/>
    <w:rsid w:val="00654E8C"/>
    <w:rsid w:val="00660A1E"/>
    <w:rsid w:val="006613B9"/>
    <w:rsid w:val="0066231E"/>
    <w:rsid w:val="006633FD"/>
    <w:rsid w:val="00663674"/>
    <w:rsid w:val="0066450A"/>
    <w:rsid w:val="00664ED7"/>
    <w:rsid w:val="006650BC"/>
    <w:rsid w:val="006669B3"/>
    <w:rsid w:val="00667B91"/>
    <w:rsid w:val="00670422"/>
    <w:rsid w:val="00670CE8"/>
    <w:rsid w:val="00672263"/>
    <w:rsid w:val="006753A3"/>
    <w:rsid w:val="006756CB"/>
    <w:rsid w:val="006762FF"/>
    <w:rsid w:val="0067752E"/>
    <w:rsid w:val="006800C6"/>
    <w:rsid w:val="00680120"/>
    <w:rsid w:val="006836CB"/>
    <w:rsid w:val="006874D8"/>
    <w:rsid w:val="00687C1E"/>
    <w:rsid w:val="00687FB6"/>
    <w:rsid w:val="00687FFE"/>
    <w:rsid w:val="006901EF"/>
    <w:rsid w:val="006905A4"/>
    <w:rsid w:val="0069194A"/>
    <w:rsid w:val="00692474"/>
    <w:rsid w:val="00694441"/>
    <w:rsid w:val="00695576"/>
    <w:rsid w:val="00695D74"/>
    <w:rsid w:val="00696874"/>
    <w:rsid w:val="00697A0C"/>
    <w:rsid w:val="006A1008"/>
    <w:rsid w:val="006A1ED7"/>
    <w:rsid w:val="006A230D"/>
    <w:rsid w:val="006A2B67"/>
    <w:rsid w:val="006A40C4"/>
    <w:rsid w:val="006A4BB6"/>
    <w:rsid w:val="006A5B8C"/>
    <w:rsid w:val="006A64C1"/>
    <w:rsid w:val="006A695E"/>
    <w:rsid w:val="006A7D27"/>
    <w:rsid w:val="006A7D8D"/>
    <w:rsid w:val="006A7DC9"/>
    <w:rsid w:val="006B08E5"/>
    <w:rsid w:val="006B22A9"/>
    <w:rsid w:val="006B239C"/>
    <w:rsid w:val="006B3AE7"/>
    <w:rsid w:val="006B7346"/>
    <w:rsid w:val="006C12C5"/>
    <w:rsid w:val="006C3D7C"/>
    <w:rsid w:val="006C5497"/>
    <w:rsid w:val="006C55B7"/>
    <w:rsid w:val="006C671B"/>
    <w:rsid w:val="006C73E2"/>
    <w:rsid w:val="006C7FA4"/>
    <w:rsid w:val="006D1A24"/>
    <w:rsid w:val="006D2540"/>
    <w:rsid w:val="006D2DF0"/>
    <w:rsid w:val="006D33A3"/>
    <w:rsid w:val="006D50C4"/>
    <w:rsid w:val="006D55F7"/>
    <w:rsid w:val="006D5D57"/>
    <w:rsid w:val="006D5DCB"/>
    <w:rsid w:val="006E0169"/>
    <w:rsid w:val="006E0A13"/>
    <w:rsid w:val="006E0FEF"/>
    <w:rsid w:val="006E2715"/>
    <w:rsid w:val="006E2B71"/>
    <w:rsid w:val="006E3960"/>
    <w:rsid w:val="006E3AE9"/>
    <w:rsid w:val="006E4128"/>
    <w:rsid w:val="006E5A5D"/>
    <w:rsid w:val="006E5CD7"/>
    <w:rsid w:val="006E6172"/>
    <w:rsid w:val="006E7B47"/>
    <w:rsid w:val="006F0878"/>
    <w:rsid w:val="006F138D"/>
    <w:rsid w:val="006F1A61"/>
    <w:rsid w:val="006F3572"/>
    <w:rsid w:val="006F3BC3"/>
    <w:rsid w:val="006F50CE"/>
    <w:rsid w:val="006F6061"/>
    <w:rsid w:val="006F618A"/>
    <w:rsid w:val="006F672A"/>
    <w:rsid w:val="006F76C6"/>
    <w:rsid w:val="006F7B7B"/>
    <w:rsid w:val="00702A38"/>
    <w:rsid w:val="00703903"/>
    <w:rsid w:val="00703DC9"/>
    <w:rsid w:val="007050B9"/>
    <w:rsid w:val="007054E5"/>
    <w:rsid w:val="00705E64"/>
    <w:rsid w:val="00706E3E"/>
    <w:rsid w:val="00710057"/>
    <w:rsid w:val="00710811"/>
    <w:rsid w:val="00711526"/>
    <w:rsid w:val="00711F08"/>
    <w:rsid w:val="00712443"/>
    <w:rsid w:val="00712AD1"/>
    <w:rsid w:val="00712C78"/>
    <w:rsid w:val="00713C2C"/>
    <w:rsid w:val="0071447B"/>
    <w:rsid w:val="007147C7"/>
    <w:rsid w:val="00714DC4"/>
    <w:rsid w:val="00715A6B"/>
    <w:rsid w:val="00716731"/>
    <w:rsid w:val="00717969"/>
    <w:rsid w:val="00717E87"/>
    <w:rsid w:val="00720E5F"/>
    <w:rsid w:val="00721B76"/>
    <w:rsid w:val="00723F88"/>
    <w:rsid w:val="0072442C"/>
    <w:rsid w:val="0072450F"/>
    <w:rsid w:val="007253B3"/>
    <w:rsid w:val="007273D8"/>
    <w:rsid w:val="00730433"/>
    <w:rsid w:val="007311C0"/>
    <w:rsid w:val="007313EC"/>
    <w:rsid w:val="00732628"/>
    <w:rsid w:val="00735426"/>
    <w:rsid w:val="00735DB7"/>
    <w:rsid w:val="00737037"/>
    <w:rsid w:val="0073751B"/>
    <w:rsid w:val="00740746"/>
    <w:rsid w:val="0074074B"/>
    <w:rsid w:val="0074156B"/>
    <w:rsid w:val="00741695"/>
    <w:rsid w:val="0074179D"/>
    <w:rsid w:val="00741AA5"/>
    <w:rsid w:val="0074296C"/>
    <w:rsid w:val="007435EB"/>
    <w:rsid w:val="00744204"/>
    <w:rsid w:val="00744FD1"/>
    <w:rsid w:val="00745CB9"/>
    <w:rsid w:val="00746652"/>
    <w:rsid w:val="00746CAA"/>
    <w:rsid w:val="00750067"/>
    <w:rsid w:val="00751141"/>
    <w:rsid w:val="007515CB"/>
    <w:rsid w:val="00751730"/>
    <w:rsid w:val="007544A1"/>
    <w:rsid w:val="00755165"/>
    <w:rsid w:val="007553AF"/>
    <w:rsid w:val="00756A95"/>
    <w:rsid w:val="00756AED"/>
    <w:rsid w:val="00756C06"/>
    <w:rsid w:val="0076006B"/>
    <w:rsid w:val="007603FC"/>
    <w:rsid w:val="00760C12"/>
    <w:rsid w:val="00760D37"/>
    <w:rsid w:val="0076109C"/>
    <w:rsid w:val="007613F4"/>
    <w:rsid w:val="0076209B"/>
    <w:rsid w:val="00764109"/>
    <w:rsid w:val="007646E4"/>
    <w:rsid w:val="007662FB"/>
    <w:rsid w:val="007700AB"/>
    <w:rsid w:val="007711EE"/>
    <w:rsid w:val="0077195E"/>
    <w:rsid w:val="0077252F"/>
    <w:rsid w:val="00772F0B"/>
    <w:rsid w:val="00773168"/>
    <w:rsid w:val="0077347A"/>
    <w:rsid w:val="007736FA"/>
    <w:rsid w:val="0077498F"/>
    <w:rsid w:val="00774D2E"/>
    <w:rsid w:val="00774E0F"/>
    <w:rsid w:val="00775C3E"/>
    <w:rsid w:val="0077732B"/>
    <w:rsid w:val="00777C63"/>
    <w:rsid w:val="0078026C"/>
    <w:rsid w:val="00780694"/>
    <w:rsid w:val="00783A0F"/>
    <w:rsid w:val="00783CD2"/>
    <w:rsid w:val="00784E39"/>
    <w:rsid w:val="0078546E"/>
    <w:rsid w:val="0078576E"/>
    <w:rsid w:val="00785B28"/>
    <w:rsid w:val="007866B8"/>
    <w:rsid w:val="00787F9B"/>
    <w:rsid w:val="00791455"/>
    <w:rsid w:val="007915E2"/>
    <w:rsid w:val="00792D34"/>
    <w:rsid w:val="00792D55"/>
    <w:rsid w:val="00793F3F"/>
    <w:rsid w:val="00795448"/>
    <w:rsid w:val="00795EB1"/>
    <w:rsid w:val="00796534"/>
    <w:rsid w:val="00796D7C"/>
    <w:rsid w:val="007A0698"/>
    <w:rsid w:val="007A082D"/>
    <w:rsid w:val="007A12A6"/>
    <w:rsid w:val="007A1499"/>
    <w:rsid w:val="007A1E90"/>
    <w:rsid w:val="007A210D"/>
    <w:rsid w:val="007A32C3"/>
    <w:rsid w:val="007A3DA2"/>
    <w:rsid w:val="007A4AC0"/>
    <w:rsid w:val="007A7FAE"/>
    <w:rsid w:val="007B09A3"/>
    <w:rsid w:val="007B0A08"/>
    <w:rsid w:val="007B1639"/>
    <w:rsid w:val="007B18F6"/>
    <w:rsid w:val="007B196B"/>
    <w:rsid w:val="007B1F44"/>
    <w:rsid w:val="007B236C"/>
    <w:rsid w:val="007B33DF"/>
    <w:rsid w:val="007B3CA2"/>
    <w:rsid w:val="007B4411"/>
    <w:rsid w:val="007B44BA"/>
    <w:rsid w:val="007B450C"/>
    <w:rsid w:val="007B470A"/>
    <w:rsid w:val="007B4BB2"/>
    <w:rsid w:val="007B6106"/>
    <w:rsid w:val="007C082C"/>
    <w:rsid w:val="007C1AE4"/>
    <w:rsid w:val="007C23E2"/>
    <w:rsid w:val="007C2517"/>
    <w:rsid w:val="007C4BA1"/>
    <w:rsid w:val="007C4E77"/>
    <w:rsid w:val="007C57C0"/>
    <w:rsid w:val="007C5C79"/>
    <w:rsid w:val="007C664E"/>
    <w:rsid w:val="007C693E"/>
    <w:rsid w:val="007C6E97"/>
    <w:rsid w:val="007C7C41"/>
    <w:rsid w:val="007D00E2"/>
    <w:rsid w:val="007D0EFC"/>
    <w:rsid w:val="007D15FE"/>
    <w:rsid w:val="007D1AEE"/>
    <w:rsid w:val="007D277E"/>
    <w:rsid w:val="007D5090"/>
    <w:rsid w:val="007D709E"/>
    <w:rsid w:val="007D722B"/>
    <w:rsid w:val="007E0C0A"/>
    <w:rsid w:val="007E2600"/>
    <w:rsid w:val="007E2774"/>
    <w:rsid w:val="007E5B41"/>
    <w:rsid w:val="007E7A6A"/>
    <w:rsid w:val="007F03DC"/>
    <w:rsid w:val="007F1055"/>
    <w:rsid w:val="007F1C49"/>
    <w:rsid w:val="007F388D"/>
    <w:rsid w:val="007F4E5D"/>
    <w:rsid w:val="007F5870"/>
    <w:rsid w:val="007F5B88"/>
    <w:rsid w:val="007F5EC2"/>
    <w:rsid w:val="007F6E03"/>
    <w:rsid w:val="00800125"/>
    <w:rsid w:val="0080241C"/>
    <w:rsid w:val="008024FF"/>
    <w:rsid w:val="00802963"/>
    <w:rsid w:val="008034E9"/>
    <w:rsid w:val="0080492A"/>
    <w:rsid w:val="00805B0C"/>
    <w:rsid w:val="0080710E"/>
    <w:rsid w:val="00807BDD"/>
    <w:rsid w:val="008102D2"/>
    <w:rsid w:val="008109EC"/>
    <w:rsid w:val="00811169"/>
    <w:rsid w:val="0081127A"/>
    <w:rsid w:val="00811512"/>
    <w:rsid w:val="008115CE"/>
    <w:rsid w:val="00812660"/>
    <w:rsid w:val="00813148"/>
    <w:rsid w:val="0081498B"/>
    <w:rsid w:val="0081726F"/>
    <w:rsid w:val="00817576"/>
    <w:rsid w:val="0082127E"/>
    <w:rsid w:val="00821488"/>
    <w:rsid w:val="0082160F"/>
    <w:rsid w:val="00821D88"/>
    <w:rsid w:val="008231C5"/>
    <w:rsid w:val="00823BA4"/>
    <w:rsid w:val="00823D6E"/>
    <w:rsid w:val="008248DC"/>
    <w:rsid w:val="00824E9E"/>
    <w:rsid w:val="0082583F"/>
    <w:rsid w:val="00825A4A"/>
    <w:rsid w:val="00825B67"/>
    <w:rsid w:val="00825F9C"/>
    <w:rsid w:val="00826274"/>
    <w:rsid w:val="008268BD"/>
    <w:rsid w:val="00826A34"/>
    <w:rsid w:val="00827D86"/>
    <w:rsid w:val="00830B05"/>
    <w:rsid w:val="008316C9"/>
    <w:rsid w:val="00831D54"/>
    <w:rsid w:val="00832C5D"/>
    <w:rsid w:val="00834BBA"/>
    <w:rsid w:val="00836869"/>
    <w:rsid w:val="008378BF"/>
    <w:rsid w:val="008379F6"/>
    <w:rsid w:val="00837F0F"/>
    <w:rsid w:val="008408A1"/>
    <w:rsid w:val="00840B0B"/>
    <w:rsid w:val="00840C27"/>
    <w:rsid w:val="00840F48"/>
    <w:rsid w:val="0084277F"/>
    <w:rsid w:val="008462EF"/>
    <w:rsid w:val="00846737"/>
    <w:rsid w:val="00846A3E"/>
    <w:rsid w:val="00847B12"/>
    <w:rsid w:val="008511FB"/>
    <w:rsid w:val="0085288D"/>
    <w:rsid w:val="00852A6F"/>
    <w:rsid w:val="008537C0"/>
    <w:rsid w:val="0085395D"/>
    <w:rsid w:val="00853C0F"/>
    <w:rsid w:val="00853C18"/>
    <w:rsid w:val="00855A21"/>
    <w:rsid w:val="00855ED8"/>
    <w:rsid w:val="008564B7"/>
    <w:rsid w:val="00856BD8"/>
    <w:rsid w:val="00856E1D"/>
    <w:rsid w:val="0085719C"/>
    <w:rsid w:val="00857C56"/>
    <w:rsid w:val="00860194"/>
    <w:rsid w:val="008603A6"/>
    <w:rsid w:val="0086089E"/>
    <w:rsid w:val="008624B4"/>
    <w:rsid w:val="00862536"/>
    <w:rsid w:val="008627E8"/>
    <w:rsid w:val="008641BA"/>
    <w:rsid w:val="0086491F"/>
    <w:rsid w:val="00865CF9"/>
    <w:rsid w:val="0086704E"/>
    <w:rsid w:val="0086772B"/>
    <w:rsid w:val="008700FC"/>
    <w:rsid w:val="00871921"/>
    <w:rsid w:val="00873505"/>
    <w:rsid w:val="00875061"/>
    <w:rsid w:val="0087658D"/>
    <w:rsid w:val="00876A8B"/>
    <w:rsid w:val="00876B6F"/>
    <w:rsid w:val="00877533"/>
    <w:rsid w:val="008800EF"/>
    <w:rsid w:val="008802EC"/>
    <w:rsid w:val="00880B9C"/>
    <w:rsid w:val="008813ED"/>
    <w:rsid w:val="00881E2B"/>
    <w:rsid w:val="00882D5B"/>
    <w:rsid w:val="00882DB0"/>
    <w:rsid w:val="00883851"/>
    <w:rsid w:val="0088394F"/>
    <w:rsid w:val="00883D76"/>
    <w:rsid w:val="008848C3"/>
    <w:rsid w:val="00884A55"/>
    <w:rsid w:val="0088556C"/>
    <w:rsid w:val="00885FDD"/>
    <w:rsid w:val="008863D3"/>
    <w:rsid w:val="00886BD6"/>
    <w:rsid w:val="00890258"/>
    <w:rsid w:val="00892326"/>
    <w:rsid w:val="008924A2"/>
    <w:rsid w:val="00892A6A"/>
    <w:rsid w:val="008933BD"/>
    <w:rsid w:val="0089410E"/>
    <w:rsid w:val="00894374"/>
    <w:rsid w:val="00894655"/>
    <w:rsid w:val="0089691B"/>
    <w:rsid w:val="00896AAE"/>
    <w:rsid w:val="00896F47"/>
    <w:rsid w:val="00897818"/>
    <w:rsid w:val="008A0267"/>
    <w:rsid w:val="008A02F7"/>
    <w:rsid w:val="008A13D2"/>
    <w:rsid w:val="008A147E"/>
    <w:rsid w:val="008A1664"/>
    <w:rsid w:val="008A17DB"/>
    <w:rsid w:val="008A24DC"/>
    <w:rsid w:val="008A308A"/>
    <w:rsid w:val="008A3FB8"/>
    <w:rsid w:val="008A4157"/>
    <w:rsid w:val="008A4F24"/>
    <w:rsid w:val="008A6DE7"/>
    <w:rsid w:val="008A724F"/>
    <w:rsid w:val="008A7412"/>
    <w:rsid w:val="008A7D54"/>
    <w:rsid w:val="008B0029"/>
    <w:rsid w:val="008B02BA"/>
    <w:rsid w:val="008B28E1"/>
    <w:rsid w:val="008B4AA0"/>
    <w:rsid w:val="008B4CD2"/>
    <w:rsid w:val="008B6626"/>
    <w:rsid w:val="008B7A96"/>
    <w:rsid w:val="008C04C9"/>
    <w:rsid w:val="008C2410"/>
    <w:rsid w:val="008C34E8"/>
    <w:rsid w:val="008C3835"/>
    <w:rsid w:val="008C4366"/>
    <w:rsid w:val="008C7478"/>
    <w:rsid w:val="008C7C8C"/>
    <w:rsid w:val="008C7CDA"/>
    <w:rsid w:val="008D0C55"/>
    <w:rsid w:val="008D13E4"/>
    <w:rsid w:val="008D245E"/>
    <w:rsid w:val="008D2FB0"/>
    <w:rsid w:val="008D317E"/>
    <w:rsid w:val="008D4060"/>
    <w:rsid w:val="008D4817"/>
    <w:rsid w:val="008D52CE"/>
    <w:rsid w:val="008D596A"/>
    <w:rsid w:val="008D60D3"/>
    <w:rsid w:val="008D7DC2"/>
    <w:rsid w:val="008E09A0"/>
    <w:rsid w:val="008E1376"/>
    <w:rsid w:val="008E15AA"/>
    <w:rsid w:val="008E1750"/>
    <w:rsid w:val="008E21EE"/>
    <w:rsid w:val="008E34C5"/>
    <w:rsid w:val="008E3526"/>
    <w:rsid w:val="008E45FD"/>
    <w:rsid w:val="008E4EC8"/>
    <w:rsid w:val="008E5373"/>
    <w:rsid w:val="008E6C41"/>
    <w:rsid w:val="008E6E5A"/>
    <w:rsid w:val="008E7E2A"/>
    <w:rsid w:val="008E7F6B"/>
    <w:rsid w:val="008F0A1E"/>
    <w:rsid w:val="008F1E55"/>
    <w:rsid w:val="008F2AEB"/>
    <w:rsid w:val="008F2B55"/>
    <w:rsid w:val="008F5457"/>
    <w:rsid w:val="008F6BD9"/>
    <w:rsid w:val="008F71B3"/>
    <w:rsid w:val="008F7825"/>
    <w:rsid w:val="008F7CFF"/>
    <w:rsid w:val="00900005"/>
    <w:rsid w:val="00903EA1"/>
    <w:rsid w:val="00904EE3"/>
    <w:rsid w:val="00906BF5"/>
    <w:rsid w:val="0091096D"/>
    <w:rsid w:val="00911F98"/>
    <w:rsid w:val="00912865"/>
    <w:rsid w:val="0091569A"/>
    <w:rsid w:val="00916C34"/>
    <w:rsid w:val="009206A5"/>
    <w:rsid w:val="00920A21"/>
    <w:rsid w:val="00921A46"/>
    <w:rsid w:val="00922CBA"/>
    <w:rsid w:val="00922F81"/>
    <w:rsid w:val="00923DE1"/>
    <w:rsid w:val="009245B9"/>
    <w:rsid w:val="00926EED"/>
    <w:rsid w:val="00930298"/>
    <w:rsid w:val="00931235"/>
    <w:rsid w:val="009334B0"/>
    <w:rsid w:val="009347BA"/>
    <w:rsid w:val="00936A2C"/>
    <w:rsid w:val="00937D38"/>
    <w:rsid w:val="009404CC"/>
    <w:rsid w:val="00940EA9"/>
    <w:rsid w:val="009418E2"/>
    <w:rsid w:val="0094357F"/>
    <w:rsid w:val="00945170"/>
    <w:rsid w:val="009453A8"/>
    <w:rsid w:val="00947D85"/>
    <w:rsid w:val="00950645"/>
    <w:rsid w:val="00950DAF"/>
    <w:rsid w:val="009517B1"/>
    <w:rsid w:val="009534AF"/>
    <w:rsid w:val="009537E5"/>
    <w:rsid w:val="00955132"/>
    <w:rsid w:val="009551B2"/>
    <w:rsid w:val="009566C3"/>
    <w:rsid w:val="00956A26"/>
    <w:rsid w:val="00956A97"/>
    <w:rsid w:val="00957FA3"/>
    <w:rsid w:val="00960B85"/>
    <w:rsid w:val="009619BD"/>
    <w:rsid w:val="00962B29"/>
    <w:rsid w:val="00964357"/>
    <w:rsid w:val="0096488C"/>
    <w:rsid w:val="00964B49"/>
    <w:rsid w:val="00964CC1"/>
    <w:rsid w:val="00964EBA"/>
    <w:rsid w:val="00965CB3"/>
    <w:rsid w:val="0096685C"/>
    <w:rsid w:val="009679A1"/>
    <w:rsid w:val="00970CAB"/>
    <w:rsid w:val="00971234"/>
    <w:rsid w:val="00972970"/>
    <w:rsid w:val="0097381F"/>
    <w:rsid w:val="0097390B"/>
    <w:rsid w:val="009745EF"/>
    <w:rsid w:val="00974777"/>
    <w:rsid w:val="00977437"/>
    <w:rsid w:val="00977B90"/>
    <w:rsid w:val="009815CA"/>
    <w:rsid w:val="00981F6B"/>
    <w:rsid w:val="00982C51"/>
    <w:rsid w:val="0098330F"/>
    <w:rsid w:val="009858F5"/>
    <w:rsid w:val="00985914"/>
    <w:rsid w:val="009869DA"/>
    <w:rsid w:val="0098776B"/>
    <w:rsid w:val="00987E59"/>
    <w:rsid w:val="00990CD8"/>
    <w:rsid w:val="00993604"/>
    <w:rsid w:val="00993688"/>
    <w:rsid w:val="00993808"/>
    <w:rsid w:val="00993E77"/>
    <w:rsid w:val="009943CB"/>
    <w:rsid w:val="00994A69"/>
    <w:rsid w:val="00994E5D"/>
    <w:rsid w:val="009959DC"/>
    <w:rsid w:val="009969F9"/>
    <w:rsid w:val="00997DB0"/>
    <w:rsid w:val="009A0740"/>
    <w:rsid w:val="009A09C6"/>
    <w:rsid w:val="009A0CF6"/>
    <w:rsid w:val="009A103C"/>
    <w:rsid w:val="009A2202"/>
    <w:rsid w:val="009A52FC"/>
    <w:rsid w:val="009A562A"/>
    <w:rsid w:val="009A6098"/>
    <w:rsid w:val="009A6407"/>
    <w:rsid w:val="009A787A"/>
    <w:rsid w:val="009B02A3"/>
    <w:rsid w:val="009B04ED"/>
    <w:rsid w:val="009B0D08"/>
    <w:rsid w:val="009B114B"/>
    <w:rsid w:val="009B13D6"/>
    <w:rsid w:val="009B2A5B"/>
    <w:rsid w:val="009B2F5A"/>
    <w:rsid w:val="009B37A7"/>
    <w:rsid w:val="009B453E"/>
    <w:rsid w:val="009B4D6E"/>
    <w:rsid w:val="009B50F9"/>
    <w:rsid w:val="009B56F3"/>
    <w:rsid w:val="009B6DAB"/>
    <w:rsid w:val="009B7E8C"/>
    <w:rsid w:val="009C0854"/>
    <w:rsid w:val="009C27A3"/>
    <w:rsid w:val="009C4873"/>
    <w:rsid w:val="009C4AFE"/>
    <w:rsid w:val="009C5988"/>
    <w:rsid w:val="009D0DF7"/>
    <w:rsid w:val="009D0DFA"/>
    <w:rsid w:val="009D1380"/>
    <w:rsid w:val="009D15B6"/>
    <w:rsid w:val="009D1770"/>
    <w:rsid w:val="009D1F33"/>
    <w:rsid w:val="009D2D17"/>
    <w:rsid w:val="009D3974"/>
    <w:rsid w:val="009D3D70"/>
    <w:rsid w:val="009D3E4F"/>
    <w:rsid w:val="009D49BF"/>
    <w:rsid w:val="009D4CB0"/>
    <w:rsid w:val="009D4E72"/>
    <w:rsid w:val="009D7049"/>
    <w:rsid w:val="009D719F"/>
    <w:rsid w:val="009D77B1"/>
    <w:rsid w:val="009E084C"/>
    <w:rsid w:val="009E16C8"/>
    <w:rsid w:val="009E3600"/>
    <w:rsid w:val="009E48AC"/>
    <w:rsid w:val="009E5F4B"/>
    <w:rsid w:val="009E6014"/>
    <w:rsid w:val="009E6DB6"/>
    <w:rsid w:val="009E782F"/>
    <w:rsid w:val="009F0505"/>
    <w:rsid w:val="009F07CA"/>
    <w:rsid w:val="009F0932"/>
    <w:rsid w:val="009F136B"/>
    <w:rsid w:val="009F20BB"/>
    <w:rsid w:val="009F27BA"/>
    <w:rsid w:val="009F5063"/>
    <w:rsid w:val="009F559F"/>
    <w:rsid w:val="009F6B9E"/>
    <w:rsid w:val="009F6BAA"/>
    <w:rsid w:val="009F70C9"/>
    <w:rsid w:val="009F7428"/>
    <w:rsid w:val="009F7946"/>
    <w:rsid w:val="009F79D9"/>
    <w:rsid w:val="00A00890"/>
    <w:rsid w:val="00A019AB"/>
    <w:rsid w:val="00A03466"/>
    <w:rsid w:val="00A03ADE"/>
    <w:rsid w:val="00A03B9C"/>
    <w:rsid w:val="00A03BA4"/>
    <w:rsid w:val="00A041C1"/>
    <w:rsid w:val="00A04F4E"/>
    <w:rsid w:val="00A05BED"/>
    <w:rsid w:val="00A070E5"/>
    <w:rsid w:val="00A07129"/>
    <w:rsid w:val="00A07F1A"/>
    <w:rsid w:val="00A10095"/>
    <w:rsid w:val="00A1195A"/>
    <w:rsid w:val="00A11CE8"/>
    <w:rsid w:val="00A1375B"/>
    <w:rsid w:val="00A142E4"/>
    <w:rsid w:val="00A1628F"/>
    <w:rsid w:val="00A177D2"/>
    <w:rsid w:val="00A215B6"/>
    <w:rsid w:val="00A21811"/>
    <w:rsid w:val="00A2324E"/>
    <w:rsid w:val="00A23339"/>
    <w:rsid w:val="00A2373A"/>
    <w:rsid w:val="00A23BDC"/>
    <w:rsid w:val="00A2406D"/>
    <w:rsid w:val="00A24FFF"/>
    <w:rsid w:val="00A2525F"/>
    <w:rsid w:val="00A26F1B"/>
    <w:rsid w:val="00A27115"/>
    <w:rsid w:val="00A27884"/>
    <w:rsid w:val="00A311E6"/>
    <w:rsid w:val="00A312F1"/>
    <w:rsid w:val="00A31486"/>
    <w:rsid w:val="00A32857"/>
    <w:rsid w:val="00A32BF8"/>
    <w:rsid w:val="00A333A5"/>
    <w:rsid w:val="00A333F4"/>
    <w:rsid w:val="00A33A82"/>
    <w:rsid w:val="00A353D5"/>
    <w:rsid w:val="00A3747B"/>
    <w:rsid w:val="00A407C0"/>
    <w:rsid w:val="00A412F0"/>
    <w:rsid w:val="00A415D4"/>
    <w:rsid w:val="00A42004"/>
    <w:rsid w:val="00A43012"/>
    <w:rsid w:val="00A43D34"/>
    <w:rsid w:val="00A4650C"/>
    <w:rsid w:val="00A466AB"/>
    <w:rsid w:val="00A472D2"/>
    <w:rsid w:val="00A50CEC"/>
    <w:rsid w:val="00A51819"/>
    <w:rsid w:val="00A51AC6"/>
    <w:rsid w:val="00A52541"/>
    <w:rsid w:val="00A528D0"/>
    <w:rsid w:val="00A52DE5"/>
    <w:rsid w:val="00A5332A"/>
    <w:rsid w:val="00A547DC"/>
    <w:rsid w:val="00A56399"/>
    <w:rsid w:val="00A566D4"/>
    <w:rsid w:val="00A56A5F"/>
    <w:rsid w:val="00A56FDB"/>
    <w:rsid w:val="00A60E86"/>
    <w:rsid w:val="00A618BF"/>
    <w:rsid w:val="00A61A58"/>
    <w:rsid w:val="00A67212"/>
    <w:rsid w:val="00A7069D"/>
    <w:rsid w:val="00A73042"/>
    <w:rsid w:val="00A7337A"/>
    <w:rsid w:val="00A73F44"/>
    <w:rsid w:val="00A747D3"/>
    <w:rsid w:val="00A748D8"/>
    <w:rsid w:val="00A74C78"/>
    <w:rsid w:val="00A7663D"/>
    <w:rsid w:val="00A8259D"/>
    <w:rsid w:val="00A82FD4"/>
    <w:rsid w:val="00A83204"/>
    <w:rsid w:val="00A83A45"/>
    <w:rsid w:val="00A83AE7"/>
    <w:rsid w:val="00A84D0C"/>
    <w:rsid w:val="00A85565"/>
    <w:rsid w:val="00A9080F"/>
    <w:rsid w:val="00A90D76"/>
    <w:rsid w:val="00A9214A"/>
    <w:rsid w:val="00A93E12"/>
    <w:rsid w:val="00A9461F"/>
    <w:rsid w:val="00A95365"/>
    <w:rsid w:val="00A95D11"/>
    <w:rsid w:val="00A966C0"/>
    <w:rsid w:val="00A96F47"/>
    <w:rsid w:val="00A97FD2"/>
    <w:rsid w:val="00AA035B"/>
    <w:rsid w:val="00AA1AB5"/>
    <w:rsid w:val="00AA27FD"/>
    <w:rsid w:val="00AA2EC2"/>
    <w:rsid w:val="00AA3B8C"/>
    <w:rsid w:val="00AA3DC3"/>
    <w:rsid w:val="00AA3E58"/>
    <w:rsid w:val="00AA4079"/>
    <w:rsid w:val="00AA478D"/>
    <w:rsid w:val="00AA48D9"/>
    <w:rsid w:val="00AA4ECE"/>
    <w:rsid w:val="00AA5186"/>
    <w:rsid w:val="00AA53DB"/>
    <w:rsid w:val="00AA598A"/>
    <w:rsid w:val="00AA62AB"/>
    <w:rsid w:val="00AA63F8"/>
    <w:rsid w:val="00AA75F5"/>
    <w:rsid w:val="00AA775E"/>
    <w:rsid w:val="00AB124C"/>
    <w:rsid w:val="00AB2852"/>
    <w:rsid w:val="00AB2DAE"/>
    <w:rsid w:val="00AB2FB1"/>
    <w:rsid w:val="00AB31C7"/>
    <w:rsid w:val="00AB3EA7"/>
    <w:rsid w:val="00AB4A2C"/>
    <w:rsid w:val="00AB5442"/>
    <w:rsid w:val="00AB5626"/>
    <w:rsid w:val="00AB6449"/>
    <w:rsid w:val="00AC3745"/>
    <w:rsid w:val="00AC522B"/>
    <w:rsid w:val="00AC56FE"/>
    <w:rsid w:val="00AC6BA2"/>
    <w:rsid w:val="00AC6BE5"/>
    <w:rsid w:val="00AC74DF"/>
    <w:rsid w:val="00AD358A"/>
    <w:rsid w:val="00AD3D1F"/>
    <w:rsid w:val="00AD40CE"/>
    <w:rsid w:val="00AD45F1"/>
    <w:rsid w:val="00AD514A"/>
    <w:rsid w:val="00AD6C62"/>
    <w:rsid w:val="00AD72E7"/>
    <w:rsid w:val="00AD75C6"/>
    <w:rsid w:val="00AD7B75"/>
    <w:rsid w:val="00AE1F7E"/>
    <w:rsid w:val="00AE24CD"/>
    <w:rsid w:val="00AE26EE"/>
    <w:rsid w:val="00AE4901"/>
    <w:rsid w:val="00AE4922"/>
    <w:rsid w:val="00AE5060"/>
    <w:rsid w:val="00AE555A"/>
    <w:rsid w:val="00AE560A"/>
    <w:rsid w:val="00AE69E6"/>
    <w:rsid w:val="00AE6FA8"/>
    <w:rsid w:val="00AF05BA"/>
    <w:rsid w:val="00AF0858"/>
    <w:rsid w:val="00AF1675"/>
    <w:rsid w:val="00AF38A5"/>
    <w:rsid w:val="00AF5E3D"/>
    <w:rsid w:val="00AF7A4B"/>
    <w:rsid w:val="00B005A1"/>
    <w:rsid w:val="00B0086A"/>
    <w:rsid w:val="00B01E0C"/>
    <w:rsid w:val="00B04BDD"/>
    <w:rsid w:val="00B05764"/>
    <w:rsid w:val="00B05E96"/>
    <w:rsid w:val="00B07546"/>
    <w:rsid w:val="00B125CA"/>
    <w:rsid w:val="00B135EB"/>
    <w:rsid w:val="00B15518"/>
    <w:rsid w:val="00B1615B"/>
    <w:rsid w:val="00B16CC7"/>
    <w:rsid w:val="00B16F57"/>
    <w:rsid w:val="00B176FB"/>
    <w:rsid w:val="00B17790"/>
    <w:rsid w:val="00B177E0"/>
    <w:rsid w:val="00B17DE3"/>
    <w:rsid w:val="00B20239"/>
    <w:rsid w:val="00B207B0"/>
    <w:rsid w:val="00B20BCC"/>
    <w:rsid w:val="00B21836"/>
    <w:rsid w:val="00B2196B"/>
    <w:rsid w:val="00B220B0"/>
    <w:rsid w:val="00B22D00"/>
    <w:rsid w:val="00B22D20"/>
    <w:rsid w:val="00B23309"/>
    <w:rsid w:val="00B23DCD"/>
    <w:rsid w:val="00B240A5"/>
    <w:rsid w:val="00B24A2E"/>
    <w:rsid w:val="00B24D6F"/>
    <w:rsid w:val="00B24FF8"/>
    <w:rsid w:val="00B25CB0"/>
    <w:rsid w:val="00B269EB"/>
    <w:rsid w:val="00B27936"/>
    <w:rsid w:val="00B302E2"/>
    <w:rsid w:val="00B30DB2"/>
    <w:rsid w:val="00B31548"/>
    <w:rsid w:val="00B3215F"/>
    <w:rsid w:val="00B326B1"/>
    <w:rsid w:val="00B3381A"/>
    <w:rsid w:val="00B35556"/>
    <w:rsid w:val="00B35E52"/>
    <w:rsid w:val="00B36546"/>
    <w:rsid w:val="00B371D9"/>
    <w:rsid w:val="00B4006A"/>
    <w:rsid w:val="00B4054D"/>
    <w:rsid w:val="00B4096F"/>
    <w:rsid w:val="00B41C72"/>
    <w:rsid w:val="00B427B7"/>
    <w:rsid w:val="00B44557"/>
    <w:rsid w:val="00B44DE1"/>
    <w:rsid w:val="00B47485"/>
    <w:rsid w:val="00B47E5A"/>
    <w:rsid w:val="00B50B99"/>
    <w:rsid w:val="00B50C79"/>
    <w:rsid w:val="00B51178"/>
    <w:rsid w:val="00B515DD"/>
    <w:rsid w:val="00B51D09"/>
    <w:rsid w:val="00B52703"/>
    <w:rsid w:val="00B532E3"/>
    <w:rsid w:val="00B53CF0"/>
    <w:rsid w:val="00B53ECF"/>
    <w:rsid w:val="00B54364"/>
    <w:rsid w:val="00B55328"/>
    <w:rsid w:val="00B611A4"/>
    <w:rsid w:val="00B61C67"/>
    <w:rsid w:val="00B61D1E"/>
    <w:rsid w:val="00B61F34"/>
    <w:rsid w:val="00B6282D"/>
    <w:rsid w:val="00B635DF"/>
    <w:rsid w:val="00B642D3"/>
    <w:rsid w:val="00B65226"/>
    <w:rsid w:val="00B67299"/>
    <w:rsid w:val="00B71A7D"/>
    <w:rsid w:val="00B72A9B"/>
    <w:rsid w:val="00B72D45"/>
    <w:rsid w:val="00B73748"/>
    <w:rsid w:val="00B73917"/>
    <w:rsid w:val="00B73D68"/>
    <w:rsid w:val="00B74BC9"/>
    <w:rsid w:val="00B74F02"/>
    <w:rsid w:val="00B7720B"/>
    <w:rsid w:val="00B77CDA"/>
    <w:rsid w:val="00B80181"/>
    <w:rsid w:val="00B80D71"/>
    <w:rsid w:val="00B81785"/>
    <w:rsid w:val="00B82016"/>
    <w:rsid w:val="00B82A4A"/>
    <w:rsid w:val="00B82B92"/>
    <w:rsid w:val="00B84289"/>
    <w:rsid w:val="00B84E60"/>
    <w:rsid w:val="00B85536"/>
    <w:rsid w:val="00B855D4"/>
    <w:rsid w:val="00B857B0"/>
    <w:rsid w:val="00B87F2D"/>
    <w:rsid w:val="00B907E3"/>
    <w:rsid w:val="00B924BE"/>
    <w:rsid w:val="00B92969"/>
    <w:rsid w:val="00B92BB4"/>
    <w:rsid w:val="00B94C00"/>
    <w:rsid w:val="00B94C1B"/>
    <w:rsid w:val="00B94E39"/>
    <w:rsid w:val="00B95593"/>
    <w:rsid w:val="00B95781"/>
    <w:rsid w:val="00B95CEA"/>
    <w:rsid w:val="00B965D0"/>
    <w:rsid w:val="00B96C8C"/>
    <w:rsid w:val="00B97634"/>
    <w:rsid w:val="00B97FAC"/>
    <w:rsid w:val="00BA00AF"/>
    <w:rsid w:val="00BA1987"/>
    <w:rsid w:val="00BA293E"/>
    <w:rsid w:val="00BA34E8"/>
    <w:rsid w:val="00BA3D78"/>
    <w:rsid w:val="00BA4F96"/>
    <w:rsid w:val="00BA5780"/>
    <w:rsid w:val="00BA5883"/>
    <w:rsid w:val="00BA7A14"/>
    <w:rsid w:val="00BB0DAD"/>
    <w:rsid w:val="00BB1306"/>
    <w:rsid w:val="00BB25B0"/>
    <w:rsid w:val="00BB47BC"/>
    <w:rsid w:val="00BB4F61"/>
    <w:rsid w:val="00BB6627"/>
    <w:rsid w:val="00BC0495"/>
    <w:rsid w:val="00BC25BD"/>
    <w:rsid w:val="00BC34E9"/>
    <w:rsid w:val="00BC4C00"/>
    <w:rsid w:val="00BC4EF5"/>
    <w:rsid w:val="00BC5858"/>
    <w:rsid w:val="00BC58F7"/>
    <w:rsid w:val="00BC5979"/>
    <w:rsid w:val="00BC6BD4"/>
    <w:rsid w:val="00BC74D9"/>
    <w:rsid w:val="00BC7548"/>
    <w:rsid w:val="00BD0F50"/>
    <w:rsid w:val="00BD2215"/>
    <w:rsid w:val="00BD2E08"/>
    <w:rsid w:val="00BD49B0"/>
    <w:rsid w:val="00BD4DE9"/>
    <w:rsid w:val="00BD5222"/>
    <w:rsid w:val="00BD5C5E"/>
    <w:rsid w:val="00BD6EDA"/>
    <w:rsid w:val="00BD7C84"/>
    <w:rsid w:val="00BE07EC"/>
    <w:rsid w:val="00BE1C2B"/>
    <w:rsid w:val="00BE2C86"/>
    <w:rsid w:val="00BE3470"/>
    <w:rsid w:val="00BE4189"/>
    <w:rsid w:val="00BE4542"/>
    <w:rsid w:val="00BE587B"/>
    <w:rsid w:val="00BE589D"/>
    <w:rsid w:val="00BE5BE1"/>
    <w:rsid w:val="00BE662B"/>
    <w:rsid w:val="00BE66C0"/>
    <w:rsid w:val="00BE6DA3"/>
    <w:rsid w:val="00BF0272"/>
    <w:rsid w:val="00BF0AA7"/>
    <w:rsid w:val="00BF0C41"/>
    <w:rsid w:val="00BF2400"/>
    <w:rsid w:val="00BF30D1"/>
    <w:rsid w:val="00BF3FD3"/>
    <w:rsid w:val="00BF4722"/>
    <w:rsid w:val="00BF4AC3"/>
    <w:rsid w:val="00BF4F35"/>
    <w:rsid w:val="00BF5781"/>
    <w:rsid w:val="00BF5F17"/>
    <w:rsid w:val="00BF77AD"/>
    <w:rsid w:val="00C0013C"/>
    <w:rsid w:val="00C0015E"/>
    <w:rsid w:val="00C01682"/>
    <w:rsid w:val="00C018A1"/>
    <w:rsid w:val="00C01F2C"/>
    <w:rsid w:val="00C02004"/>
    <w:rsid w:val="00C04307"/>
    <w:rsid w:val="00C11140"/>
    <w:rsid w:val="00C11D11"/>
    <w:rsid w:val="00C14A86"/>
    <w:rsid w:val="00C14B77"/>
    <w:rsid w:val="00C153F2"/>
    <w:rsid w:val="00C163A2"/>
    <w:rsid w:val="00C169B2"/>
    <w:rsid w:val="00C17222"/>
    <w:rsid w:val="00C17251"/>
    <w:rsid w:val="00C17544"/>
    <w:rsid w:val="00C177D1"/>
    <w:rsid w:val="00C17834"/>
    <w:rsid w:val="00C17AFE"/>
    <w:rsid w:val="00C2167B"/>
    <w:rsid w:val="00C22AFB"/>
    <w:rsid w:val="00C22D2C"/>
    <w:rsid w:val="00C23B07"/>
    <w:rsid w:val="00C2425C"/>
    <w:rsid w:val="00C24939"/>
    <w:rsid w:val="00C25A6E"/>
    <w:rsid w:val="00C25AE4"/>
    <w:rsid w:val="00C25B5F"/>
    <w:rsid w:val="00C26949"/>
    <w:rsid w:val="00C2749E"/>
    <w:rsid w:val="00C27634"/>
    <w:rsid w:val="00C30891"/>
    <w:rsid w:val="00C30D1C"/>
    <w:rsid w:val="00C316A8"/>
    <w:rsid w:val="00C3282C"/>
    <w:rsid w:val="00C33903"/>
    <w:rsid w:val="00C33C56"/>
    <w:rsid w:val="00C34690"/>
    <w:rsid w:val="00C351B4"/>
    <w:rsid w:val="00C35A98"/>
    <w:rsid w:val="00C37555"/>
    <w:rsid w:val="00C40A91"/>
    <w:rsid w:val="00C41450"/>
    <w:rsid w:val="00C41D74"/>
    <w:rsid w:val="00C428DC"/>
    <w:rsid w:val="00C42BFB"/>
    <w:rsid w:val="00C42F82"/>
    <w:rsid w:val="00C4430A"/>
    <w:rsid w:val="00C44777"/>
    <w:rsid w:val="00C45522"/>
    <w:rsid w:val="00C45DEC"/>
    <w:rsid w:val="00C4725E"/>
    <w:rsid w:val="00C47D0E"/>
    <w:rsid w:val="00C503CD"/>
    <w:rsid w:val="00C509C9"/>
    <w:rsid w:val="00C51258"/>
    <w:rsid w:val="00C5374D"/>
    <w:rsid w:val="00C537B6"/>
    <w:rsid w:val="00C549F7"/>
    <w:rsid w:val="00C54DB3"/>
    <w:rsid w:val="00C558F1"/>
    <w:rsid w:val="00C5769F"/>
    <w:rsid w:val="00C577DC"/>
    <w:rsid w:val="00C57D7F"/>
    <w:rsid w:val="00C57EB8"/>
    <w:rsid w:val="00C60635"/>
    <w:rsid w:val="00C60BD4"/>
    <w:rsid w:val="00C6167D"/>
    <w:rsid w:val="00C61C98"/>
    <w:rsid w:val="00C62AA2"/>
    <w:rsid w:val="00C62CA0"/>
    <w:rsid w:val="00C63F68"/>
    <w:rsid w:val="00C650E8"/>
    <w:rsid w:val="00C66A0E"/>
    <w:rsid w:val="00C66C49"/>
    <w:rsid w:val="00C67410"/>
    <w:rsid w:val="00C67CB8"/>
    <w:rsid w:val="00C701BC"/>
    <w:rsid w:val="00C70CEC"/>
    <w:rsid w:val="00C71FA7"/>
    <w:rsid w:val="00C72366"/>
    <w:rsid w:val="00C72444"/>
    <w:rsid w:val="00C7255F"/>
    <w:rsid w:val="00C72E25"/>
    <w:rsid w:val="00C72E45"/>
    <w:rsid w:val="00C738EC"/>
    <w:rsid w:val="00C767A3"/>
    <w:rsid w:val="00C76E40"/>
    <w:rsid w:val="00C77756"/>
    <w:rsid w:val="00C803D7"/>
    <w:rsid w:val="00C8120F"/>
    <w:rsid w:val="00C812C9"/>
    <w:rsid w:val="00C8152D"/>
    <w:rsid w:val="00C81724"/>
    <w:rsid w:val="00C8371B"/>
    <w:rsid w:val="00C840EA"/>
    <w:rsid w:val="00C847F6"/>
    <w:rsid w:val="00C84813"/>
    <w:rsid w:val="00C85450"/>
    <w:rsid w:val="00C85EAF"/>
    <w:rsid w:val="00C867DA"/>
    <w:rsid w:val="00C869AD"/>
    <w:rsid w:val="00C8708A"/>
    <w:rsid w:val="00C90010"/>
    <w:rsid w:val="00C902DE"/>
    <w:rsid w:val="00C90462"/>
    <w:rsid w:val="00C91063"/>
    <w:rsid w:val="00C9210F"/>
    <w:rsid w:val="00C93639"/>
    <w:rsid w:val="00C93775"/>
    <w:rsid w:val="00C93B5E"/>
    <w:rsid w:val="00C93C4C"/>
    <w:rsid w:val="00C94149"/>
    <w:rsid w:val="00C95630"/>
    <w:rsid w:val="00C960D0"/>
    <w:rsid w:val="00C97A85"/>
    <w:rsid w:val="00CA0541"/>
    <w:rsid w:val="00CA09E0"/>
    <w:rsid w:val="00CA23C8"/>
    <w:rsid w:val="00CA3081"/>
    <w:rsid w:val="00CA365E"/>
    <w:rsid w:val="00CA396E"/>
    <w:rsid w:val="00CA49E9"/>
    <w:rsid w:val="00CA67E7"/>
    <w:rsid w:val="00CA79F2"/>
    <w:rsid w:val="00CA7EE0"/>
    <w:rsid w:val="00CA7FE2"/>
    <w:rsid w:val="00CB01A9"/>
    <w:rsid w:val="00CB09B1"/>
    <w:rsid w:val="00CB18E5"/>
    <w:rsid w:val="00CB23A3"/>
    <w:rsid w:val="00CB4051"/>
    <w:rsid w:val="00CC1992"/>
    <w:rsid w:val="00CC2618"/>
    <w:rsid w:val="00CC265F"/>
    <w:rsid w:val="00CC3B37"/>
    <w:rsid w:val="00CC7683"/>
    <w:rsid w:val="00CC7751"/>
    <w:rsid w:val="00CC7BB6"/>
    <w:rsid w:val="00CD01D4"/>
    <w:rsid w:val="00CD0CFA"/>
    <w:rsid w:val="00CD166A"/>
    <w:rsid w:val="00CD1BBB"/>
    <w:rsid w:val="00CD1C1A"/>
    <w:rsid w:val="00CD1D9F"/>
    <w:rsid w:val="00CD24E4"/>
    <w:rsid w:val="00CD25C2"/>
    <w:rsid w:val="00CD39FA"/>
    <w:rsid w:val="00CD4502"/>
    <w:rsid w:val="00CD466F"/>
    <w:rsid w:val="00CD4B75"/>
    <w:rsid w:val="00CD5486"/>
    <w:rsid w:val="00CD5795"/>
    <w:rsid w:val="00CD5810"/>
    <w:rsid w:val="00CD58C5"/>
    <w:rsid w:val="00CD5CE7"/>
    <w:rsid w:val="00CD665B"/>
    <w:rsid w:val="00CD6C82"/>
    <w:rsid w:val="00CD7341"/>
    <w:rsid w:val="00CD7CF2"/>
    <w:rsid w:val="00CE28AD"/>
    <w:rsid w:val="00CE3339"/>
    <w:rsid w:val="00CE3644"/>
    <w:rsid w:val="00CE498F"/>
    <w:rsid w:val="00CE7188"/>
    <w:rsid w:val="00CE7A21"/>
    <w:rsid w:val="00CF055C"/>
    <w:rsid w:val="00CF0C65"/>
    <w:rsid w:val="00CF2CB4"/>
    <w:rsid w:val="00CF2E39"/>
    <w:rsid w:val="00CF2EB3"/>
    <w:rsid w:val="00CF3557"/>
    <w:rsid w:val="00CF3999"/>
    <w:rsid w:val="00CF450E"/>
    <w:rsid w:val="00CF47BC"/>
    <w:rsid w:val="00CF5552"/>
    <w:rsid w:val="00CF590C"/>
    <w:rsid w:val="00CF5B98"/>
    <w:rsid w:val="00D00591"/>
    <w:rsid w:val="00D01753"/>
    <w:rsid w:val="00D01E1F"/>
    <w:rsid w:val="00D0298A"/>
    <w:rsid w:val="00D037FA"/>
    <w:rsid w:val="00D044B1"/>
    <w:rsid w:val="00D0490C"/>
    <w:rsid w:val="00D052A3"/>
    <w:rsid w:val="00D071EC"/>
    <w:rsid w:val="00D073F2"/>
    <w:rsid w:val="00D11378"/>
    <w:rsid w:val="00D115E5"/>
    <w:rsid w:val="00D11F9C"/>
    <w:rsid w:val="00D1281C"/>
    <w:rsid w:val="00D14D96"/>
    <w:rsid w:val="00D15C26"/>
    <w:rsid w:val="00D173ED"/>
    <w:rsid w:val="00D17F68"/>
    <w:rsid w:val="00D17FB7"/>
    <w:rsid w:val="00D20847"/>
    <w:rsid w:val="00D20A08"/>
    <w:rsid w:val="00D20B1D"/>
    <w:rsid w:val="00D21B18"/>
    <w:rsid w:val="00D22CD5"/>
    <w:rsid w:val="00D22E6A"/>
    <w:rsid w:val="00D232A1"/>
    <w:rsid w:val="00D2343F"/>
    <w:rsid w:val="00D24452"/>
    <w:rsid w:val="00D253D3"/>
    <w:rsid w:val="00D259B3"/>
    <w:rsid w:val="00D25BD6"/>
    <w:rsid w:val="00D25DC0"/>
    <w:rsid w:val="00D27093"/>
    <w:rsid w:val="00D314C2"/>
    <w:rsid w:val="00D33172"/>
    <w:rsid w:val="00D33799"/>
    <w:rsid w:val="00D3485E"/>
    <w:rsid w:val="00D34FB2"/>
    <w:rsid w:val="00D3753A"/>
    <w:rsid w:val="00D41917"/>
    <w:rsid w:val="00D41E99"/>
    <w:rsid w:val="00D41FAC"/>
    <w:rsid w:val="00D427F2"/>
    <w:rsid w:val="00D430A0"/>
    <w:rsid w:val="00D43F62"/>
    <w:rsid w:val="00D4491B"/>
    <w:rsid w:val="00D4562A"/>
    <w:rsid w:val="00D46023"/>
    <w:rsid w:val="00D472B9"/>
    <w:rsid w:val="00D4751D"/>
    <w:rsid w:val="00D4785B"/>
    <w:rsid w:val="00D47FEE"/>
    <w:rsid w:val="00D52661"/>
    <w:rsid w:val="00D52D36"/>
    <w:rsid w:val="00D5332D"/>
    <w:rsid w:val="00D5640D"/>
    <w:rsid w:val="00D56639"/>
    <w:rsid w:val="00D56FB7"/>
    <w:rsid w:val="00D601C1"/>
    <w:rsid w:val="00D60C21"/>
    <w:rsid w:val="00D616A2"/>
    <w:rsid w:val="00D62399"/>
    <w:rsid w:val="00D623D3"/>
    <w:rsid w:val="00D632DE"/>
    <w:rsid w:val="00D635A8"/>
    <w:rsid w:val="00D63F66"/>
    <w:rsid w:val="00D64356"/>
    <w:rsid w:val="00D644B8"/>
    <w:rsid w:val="00D647B0"/>
    <w:rsid w:val="00D64C6E"/>
    <w:rsid w:val="00D64FC4"/>
    <w:rsid w:val="00D666D0"/>
    <w:rsid w:val="00D668AD"/>
    <w:rsid w:val="00D66BB3"/>
    <w:rsid w:val="00D71A66"/>
    <w:rsid w:val="00D71B12"/>
    <w:rsid w:val="00D721A6"/>
    <w:rsid w:val="00D72E28"/>
    <w:rsid w:val="00D733ED"/>
    <w:rsid w:val="00D735CC"/>
    <w:rsid w:val="00D73C89"/>
    <w:rsid w:val="00D75106"/>
    <w:rsid w:val="00D75417"/>
    <w:rsid w:val="00D76E8E"/>
    <w:rsid w:val="00D77298"/>
    <w:rsid w:val="00D82A1F"/>
    <w:rsid w:val="00D83713"/>
    <w:rsid w:val="00D83B64"/>
    <w:rsid w:val="00D848C1"/>
    <w:rsid w:val="00D8495D"/>
    <w:rsid w:val="00D86DC1"/>
    <w:rsid w:val="00D87303"/>
    <w:rsid w:val="00D90DD8"/>
    <w:rsid w:val="00D9158E"/>
    <w:rsid w:val="00D91939"/>
    <w:rsid w:val="00D92824"/>
    <w:rsid w:val="00D92DD1"/>
    <w:rsid w:val="00D93256"/>
    <w:rsid w:val="00D94890"/>
    <w:rsid w:val="00D94D18"/>
    <w:rsid w:val="00D9542D"/>
    <w:rsid w:val="00D95432"/>
    <w:rsid w:val="00D96382"/>
    <w:rsid w:val="00D9770A"/>
    <w:rsid w:val="00D977F4"/>
    <w:rsid w:val="00DA26E1"/>
    <w:rsid w:val="00DA2EC6"/>
    <w:rsid w:val="00DA33B7"/>
    <w:rsid w:val="00DA38B5"/>
    <w:rsid w:val="00DA4E2B"/>
    <w:rsid w:val="00DA5D8C"/>
    <w:rsid w:val="00DA727A"/>
    <w:rsid w:val="00DA76BD"/>
    <w:rsid w:val="00DA7F06"/>
    <w:rsid w:val="00DB1202"/>
    <w:rsid w:val="00DB1709"/>
    <w:rsid w:val="00DB1A84"/>
    <w:rsid w:val="00DB2FC2"/>
    <w:rsid w:val="00DB4195"/>
    <w:rsid w:val="00DB5415"/>
    <w:rsid w:val="00DB55B2"/>
    <w:rsid w:val="00DB5D27"/>
    <w:rsid w:val="00DB5ECA"/>
    <w:rsid w:val="00DB6AC6"/>
    <w:rsid w:val="00DB6F69"/>
    <w:rsid w:val="00DB6FD7"/>
    <w:rsid w:val="00DC1BD0"/>
    <w:rsid w:val="00DC1BFB"/>
    <w:rsid w:val="00DC2FA1"/>
    <w:rsid w:val="00DC30CD"/>
    <w:rsid w:val="00DC3DBB"/>
    <w:rsid w:val="00DC46A2"/>
    <w:rsid w:val="00DC5FEE"/>
    <w:rsid w:val="00DC6B61"/>
    <w:rsid w:val="00DC6D1F"/>
    <w:rsid w:val="00DC6F34"/>
    <w:rsid w:val="00DD4B62"/>
    <w:rsid w:val="00DD67D4"/>
    <w:rsid w:val="00DD6C20"/>
    <w:rsid w:val="00DD6C78"/>
    <w:rsid w:val="00DD6DE7"/>
    <w:rsid w:val="00DD774F"/>
    <w:rsid w:val="00DE02B3"/>
    <w:rsid w:val="00DE0F71"/>
    <w:rsid w:val="00DE2042"/>
    <w:rsid w:val="00DE3532"/>
    <w:rsid w:val="00DE4B3E"/>
    <w:rsid w:val="00DE4D07"/>
    <w:rsid w:val="00DE62FC"/>
    <w:rsid w:val="00DE7700"/>
    <w:rsid w:val="00DF1317"/>
    <w:rsid w:val="00DF27A3"/>
    <w:rsid w:val="00DF2BBA"/>
    <w:rsid w:val="00DF356E"/>
    <w:rsid w:val="00DF3859"/>
    <w:rsid w:val="00DF3AFE"/>
    <w:rsid w:val="00DF3BBA"/>
    <w:rsid w:val="00DF4EF3"/>
    <w:rsid w:val="00DF4F55"/>
    <w:rsid w:val="00DF5695"/>
    <w:rsid w:val="00DF588D"/>
    <w:rsid w:val="00DF5ECA"/>
    <w:rsid w:val="00DF6896"/>
    <w:rsid w:val="00E008B6"/>
    <w:rsid w:val="00E010BC"/>
    <w:rsid w:val="00E0118B"/>
    <w:rsid w:val="00E0130F"/>
    <w:rsid w:val="00E015B1"/>
    <w:rsid w:val="00E01CAE"/>
    <w:rsid w:val="00E026D2"/>
    <w:rsid w:val="00E03374"/>
    <w:rsid w:val="00E050EA"/>
    <w:rsid w:val="00E07373"/>
    <w:rsid w:val="00E07C11"/>
    <w:rsid w:val="00E1011D"/>
    <w:rsid w:val="00E10583"/>
    <w:rsid w:val="00E11A6C"/>
    <w:rsid w:val="00E11AD6"/>
    <w:rsid w:val="00E120D3"/>
    <w:rsid w:val="00E130A8"/>
    <w:rsid w:val="00E140B6"/>
    <w:rsid w:val="00E14316"/>
    <w:rsid w:val="00E1724E"/>
    <w:rsid w:val="00E215CA"/>
    <w:rsid w:val="00E21BEA"/>
    <w:rsid w:val="00E224EE"/>
    <w:rsid w:val="00E22FA8"/>
    <w:rsid w:val="00E24408"/>
    <w:rsid w:val="00E24F62"/>
    <w:rsid w:val="00E25559"/>
    <w:rsid w:val="00E30D3E"/>
    <w:rsid w:val="00E314D8"/>
    <w:rsid w:val="00E352F4"/>
    <w:rsid w:val="00E36943"/>
    <w:rsid w:val="00E36B1F"/>
    <w:rsid w:val="00E37959"/>
    <w:rsid w:val="00E40EDD"/>
    <w:rsid w:val="00E42575"/>
    <w:rsid w:val="00E42814"/>
    <w:rsid w:val="00E43277"/>
    <w:rsid w:val="00E449F3"/>
    <w:rsid w:val="00E46861"/>
    <w:rsid w:val="00E50998"/>
    <w:rsid w:val="00E51136"/>
    <w:rsid w:val="00E53257"/>
    <w:rsid w:val="00E5621A"/>
    <w:rsid w:val="00E56CF3"/>
    <w:rsid w:val="00E57EB4"/>
    <w:rsid w:val="00E60476"/>
    <w:rsid w:val="00E605AF"/>
    <w:rsid w:val="00E613F2"/>
    <w:rsid w:val="00E6145D"/>
    <w:rsid w:val="00E619D1"/>
    <w:rsid w:val="00E61BFE"/>
    <w:rsid w:val="00E61DB0"/>
    <w:rsid w:val="00E625FC"/>
    <w:rsid w:val="00E6325E"/>
    <w:rsid w:val="00E6328E"/>
    <w:rsid w:val="00E64699"/>
    <w:rsid w:val="00E64FC4"/>
    <w:rsid w:val="00E657ED"/>
    <w:rsid w:val="00E66010"/>
    <w:rsid w:val="00E66D05"/>
    <w:rsid w:val="00E67320"/>
    <w:rsid w:val="00E6744C"/>
    <w:rsid w:val="00E70508"/>
    <w:rsid w:val="00E715BB"/>
    <w:rsid w:val="00E729BB"/>
    <w:rsid w:val="00E7351F"/>
    <w:rsid w:val="00E735F2"/>
    <w:rsid w:val="00E7379F"/>
    <w:rsid w:val="00E7476F"/>
    <w:rsid w:val="00E74AFC"/>
    <w:rsid w:val="00E75995"/>
    <w:rsid w:val="00E75AC7"/>
    <w:rsid w:val="00E765C5"/>
    <w:rsid w:val="00E76F2A"/>
    <w:rsid w:val="00E829D3"/>
    <w:rsid w:val="00E85BF8"/>
    <w:rsid w:val="00E85E1C"/>
    <w:rsid w:val="00E865F7"/>
    <w:rsid w:val="00E92836"/>
    <w:rsid w:val="00E950B2"/>
    <w:rsid w:val="00E966F4"/>
    <w:rsid w:val="00E96DF9"/>
    <w:rsid w:val="00EA11E0"/>
    <w:rsid w:val="00EA241E"/>
    <w:rsid w:val="00EA2EE3"/>
    <w:rsid w:val="00EA39C2"/>
    <w:rsid w:val="00EA3D48"/>
    <w:rsid w:val="00EA50BC"/>
    <w:rsid w:val="00EA51DD"/>
    <w:rsid w:val="00EA58F5"/>
    <w:rsid w:val="00EA666A"/>
    <w:rsid w:val="00EA7912"/>
    <w:rsid w:val="00EB08BA"/>
    <w:rsid w:val="00EB14F4"/>
    <w:rsid w:val="00EB3755"/>
    <w:rsid w:val="00EB520D"/>
    <w:rsid w:val="00EB6E6C"/>
    <w:rsid w:val="00EC004B"/>
    <w:rsid w:val="00EC029C"/>
    <w:rsid w:val="00EC0854"/>
    <w:rsid w:val="00EC0D46"/>
    <w:rsid w:val="00EC1CB5"/>
    <w:rsid w:val="00EC29DE"/>
    <w:rsid w:val="00EC2AA6"/>
    <w:rsid w:val="00EC2C9C"/>
    <w:rsid w:val="00EC3E1C"/>
    <w:rsid w:val="00EC5806"/>
    <w:rsid w:val="00EC58CB"/>
    <w:rsid w:val="00EC5A1A"/>
    <w:rsid w:val="00EC6073"/>
    <w:rsid w:val="00EC60E5"/>
    <w:rsid w:val="00EC6486"/>
    <w:rsid w:val="00EC6847"/>
    <w:rsid w:val="00EC685C"/>
    <w:rsid w:val="00EC6ABA"/>
    <w:rsid w:val="00EC6AF8"/>
    <w:rsid w:val="00EC7B82"/>
    <w:rsid w:val="00ED02D5"/>
    <w:rsid w:val="00ED09AB"/>
    <w:rsid w:val="00ED13D3"/>
    <w:rsid w:val="00ED1687"/>
    <w:rsid w:val="00ED1B3A"/>
    <w:rsid w:val="00ED2370"/>
    <w:rsid w:val="00ED29AF"/>
    <w:rsid w:val="00ED3C5F"/>
    <w:rsid w:val="00ED40EA"/>
    <w:rsid w:val="00ED430F"/>
    <w:rsid w:val="00ED5094"/>
    <w:rsid w:val="00ED5416"/>
    <w:rsid w:val="00ED7A60"/>
    <w:rsid w:val="00EE2BB9"/>
    <w:rsid w:val="00EE2CF9"/>
    <w:rsid w:val="00EE3100"/>
    <w:rsid w:val="00EE3C7F"/>
    <w:rsid w:val="00EE3D4B"/>
    <w:rsid w:val="00EE65E8"/>
    <w:rsid w:val="00EF16A6"/>
    <w:rsid w:val="00EF275A"/>
    <w:rsid w:val="00EF39B2"/>
    <w:rsid w:val="00EF3A5D"/>
    <w:rsid w:val="00EF4622"/>
    <w:rsid w:val="00EF4FBD"/>
    <w:rsid w:val="00EF64B8"/>
    <w:rsid w:val="00EF7375"/>
    <w:rsid w:val="00F00370"/>
    <w:rsid w:val="00F00EEA"/>
    <w:rsid w:val="00F02620"/>
    <w:rsid w:val="00F05652"/>
    <w:rsid w:val="00F061D9"/>
    <w:rsid w:val="00F067EE"/>
    <w:rsid w:val="00F06A26"/>
    <w:rsid w:val="00F06BCC"/>
    <w:rsid w:val="00F06E07"/>
    <w:rsid w:val="00F10EAB"/>
    <w:rsid w:val="00F11CBC"/>
    <w:rsid w:val="00F1240B"/>
    <w:rsid w:val="00F14D52"/>
    <w:rsid w:val="00F14FA0"/>
    <w:rsid w:val="00F15A18"/>
    <w:rsid w:val="00F15C55"/>
    <w:rsid w:val="00F17970"/>
    <w:rsid w:val="00F17D9E"/>
    <w:rsid w:val="00F17EE4"/>
    <w:rsid w:val="00F20203"/>
    <w:rsid w:val="00F214A3"/>
    <w:rsid w:val="00F21536"/>
    <w:rsid w:val="00F22654"/>
    <w:rsid w:val="00F230E1"/>
    <w:rsid w:val="00F23387"/>
    <w:rsid w:val="00F23AE4"/>
    <w:rsid w:val="00F23C2F"/>
    <w:rsid w:val="00F248FC"/>
    <w:rsid w:val="00F2612E"/>
    <w:rsid w:val="00F26366"/>
    <w:rsid w:val="00F27D60"/>
    <w:rsid w:val="00F30662"/>
    <w:rsid w:val="00F3182C"/>
    <w:rsid w:val="00F31D7D"/>
    <w:rsid w:val="00F32559"/>
    <w:rsid w:val="00F357C0"/>
    <w:rsid w:val="00F35CD2"/>
    <w:rsid w:val="00F364DD"/>
    <w:rsid w:val="00F37F8B"/>
    <w:rsid w:val="00F40C1E"/>
    <w:rsid w:val="00F410E4"/>
    <w:rsid w:val="00F42931"/>
    <w:rsid w:val="00F42E87"/>
    <w:rsid w:val="00F43960"/>
    <w:rsid w:val="00F44C6D"/>
    <w:rsid w:val="00F44D8D"/>
    <w:rsid w:val="00F465C5"/>
    <w:rsid w:val="00F46941"/>
    <w:rsid w:val="00F47A9D"/>
    <w:rsid w:val="00F50178"/>
    <w:rsid w:val="00F50629"/>
    <w:rsid w:val="00F50EAD"/>
    <w:rsid w:val="00F50F92"/>
    <w:rsid w:val="00F5153F"/>
    <w:rsid w:val="00F53BF4"/>
    <w:rsid w:val="00F546B9"/>
    <w:rsid w:val="00F5507C"/>
    <w:rsid w:val="00F56484"/>
    <w:rsid w:val="00F6031A"/>
    <w:rsid w:val="00F6031D"/>
    <w:rsid w:val="00F60657"/>
    <w:rsid w:val="00F62690"/>
    <w:rsid w:val="00F626EF"/>
    <w:rsid w:val="00F62F09"/>
    <w:rsid w:val="00F63E83"/>
    <w:rsid w:val="00F66A9B"/>
    <w:rsid w:val="00F7095C"/>
    <w:rsid w:val="00F70B6A"/>
    <w:rsid w:val="00F7198C"/>
    <w:rsid w:val="00F743F8"/>
    <w:rsid w:val="00F74CC7"/>
    <w:rsid w:val="00F75031"/>
    <w:rsid w:val="00F75480"/>
    <w:rsid w:val="00F757F1"/>
    <w:rsid w:val="00F76BDC"/>
    <w:rsid w:val="00F80146"/>
    <w:rsid w:val="00F805C2"/>
    <w:rsid w:val="00F8072F"/>
    <w:rsid w:val="00F82BE2"/>
    <w:rsid w:val="00F833EF"/>
    <w:rsid w:val="00F8543D"/>
    <w:rsid w:val="00F854E8"/>
    <w:rsid w:val="00F86154"/>
    <w:rsid w:val="00F86ED4"/>
    <w:rsid w:val="00F90639"/>
    <w:rsid w:val="00F90D80"/>
    <w:rsid w:val="00F90DAD"/>
    <w:rsid w:val="00F94AB1"/>
    <w:rsid w:val="00F94CF1"/>
    <w:rsid w:val="00F97009"/>
    <w:rsid w:val="00FA04BB"/>
    <w:rsid w:val="00FA0905"/>
    <w:rsid w:val="00FA2920"/>
    <w:rsid w:val="00FA5745"/>
    <w:rsid w:val="00FA6B01"/>
    <w:rsid w:val="00FA72F0"/>
    <w:rsid w:val="00FA7814"/>
    <w:rsid w:val="00FB4215"/>
    <w:rsid w:val="00FB567D"/>
    <w:rsid w:val="00FB5943"/>
    <w:rsid w:val="00FB5A9A"/>
    <w:rsid w:val="00FB7E49"/>
    <w:rsid w:val="00FC024A"/>
    <w:rsid w:val="00FC13BD"/>
    <w:rsid w:val="00FC1A96"/>
    <w:rsid w:val="00FC2083"/>
    <w:rsid w:val="00FC2796"/>
    <w:rsid w:val="00FC3D47"/>
    <w:rsid w:val="00FC3FCF"/>
    <w:rsid w:val="00FC4B18"/>
    <w:rsid w:val="00FC52B9"/>
    <w:rsid w:val="00FC5442"/>
    <w:rsid w:val="00FC619E"/>
    <w:rsid w:val="00FC6CFE"/>
    <w:rsid w:val="00FC7130"/>
    <w:rsid w:val="00FD0A01"/>
    <w:rsid w:val="00FD0D37"/>
    <w:rsid w:val="00FD275B"/>
    <w:rsid w:val="00FD2CC9"/>
    <w:rsid w:val="00FD3CED"/>
    <w:rsid w:val="00FD451E"/>
    <w:rsid w:val="00FD4CE0"/>
    <w:rsid w:val="00FD523C"/>
    <w:rsid w:val="00FD64C5"/>
    <w:rsid w:val="00FD6EE5"/>
    <w:rsid w:val="00FD7DEF"/>
    <w:rsid w:val="00FD7FB6"/>
    <w:rsid w:val="00FE0109"/>
    <w:rsid w:val="00FE043E"/>
    <w:rsid w:val="00FE120F"/>
    <w:rsid w:val="00FE1C0F"/>
    <w:rsid w:val="00FE2F6A"/>
    <w:rsid w:val="00FE3532"/>
    <w:rsid w:val="00FE3DFC"/>
    <w:rsid w:val="00FE543D"/>
    <w:rsid w:val="00FE591D"/>
    <w:rsid w:val="00FE5962"/>
    <w:rsid w:val="00FE5A93"/>
    <w:rsid w:val="00FE7D86"/>
    <w:rsid w:val="00FE7E98"/>
    <w:rsid w:val="00FF16E0"/>
    <w:rsid w:val="00FF2120"/>
    <w:rsid w:val="00FF25AD"/>
    <w:rsid w:val="00FF3843"/>
    <w:rsid w:val="00FF48EB"/>
    <w:rsid w:val="00FF4B7D"/>
    <w:rsid w:val="00FF5094"/>
    <w:rsid w:val="00FF56FC"/>
    <w:rsid w:val="00FF6377"/>
    <w:rsid w:val="00FF68F8"/>
    <w:rsid w:val="00FF6BFB"/>
    <w:rsid w:val="00FF6FB6"/>
    <w:rsid w:val="00FF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EDEC4"/>
  <w15:chartTrackingRefBased/>
  <w15:docId w15:val="{AB0870E0-9E30-7C4A-823B-300A68FD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C98"/>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5B1B15"/>
    <w:pPr>
      <w:keepNext/>
      <w:keepLines/>
      <w:numPr>
        <w:numId w:val="3"/>
      </w:numPr>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19764D"/>
    <w:pPr>
      <w:keepNext/>
      <w:keepLines/>
      <w:numPr>
        <w:ilvl w:val="1"/>
        <w:numId w:val="3"/>
      </w:numPr>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C577DC"/>
    <w:pPr>
      <w:keepNext/>
      <w:keepLines/>
      <w:numPr>
        <w:ilvl w:val="2"/>
        <w:numId w:val="3"/>
      </w:numPr>
      <w:spacing w:before="40"/>
      <w:jc w:val="left"/>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9D1380"/>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D1380"/>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1380"/>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1380"/>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138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138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00EC"/>
    <w:pPr>
      <w:spacing w:before="100" w:beforeAutospacing="1" w:after="100" w:afterAutospacing="1"/>
      <w:jc w:val="left"/>
    </w:pPr>
  </w:style>
  <w:style w:type="paragraph" w:styleId="NoSpacing">
    <w:name w:val="No Spacing"/>
    <w:uiPriority w:val="1"/>
    <w:qFormat/>
    <w:rsid w:val="0066450A"/>
    <w:pPr>
      <w:jc w:val="both"/>
    </w:pPr>
    <w:rPr>
      <w:rFonts w:ascii="Times New Roman" w:hAnsi="Times New Roman" w:cs="Times New Roman"/>
      <w:b/>
    </w:rPr>
  </w:style>
  <w:style w:type="character" w:customStyle="1" w:styleId="Heading1Char">
    <w:name w:val="Heading 1 Char"/>
    <w:basedOn w:val="DefaultParagraphFont"/>
    <w:link w:val="Heading1"/>
    <w:uiPriority w:val="9"/>
    <w:rsid w:val="005B1B15"/>
    <w:rPr>
      <w:rFonts w:ascii="Times New Roman" w:eastAsiaTheme="majorEastAsia" w:hAnsi="Times New Roman" w:cstheme="majorBidi"/>
      <w:b/>
      <w:color w:val="000000" w:themeColor="text1"/>
      <w:szCs w:val="32"/>
    </w:rPr>
  </w:style>
  <w:style w:type="paragraph" w:styleId="Footer">
    <w:name w:val="footer"/>
    <w:basedOn w:val="Normal"/>
    <w:link w:val="FooterChar"/>
    <w:uiPriority w:val="99"/>
    <w:unhideWhenUsed/>
    <w:rsid w:val="005B1B15"/>
    <w:pPr>
      <w:tabs>
        <w:tab w:val="center" w:pos="4680"/>
        <w:tab w:val="right" w:pos="9360"/>
      </w:tabs>
    </w:pPr>
  </w:style>
  <w:style w:type="character" w:customStyle="1" w:styleId="FooterChar">
    <w:name w:val="Footer Char"/>
    <w:basedOn w:val="DefaultParagraphFont"/>
    <w:link w:val="Footer"/>
    <w:uiPriority w:val="99"/>
    <w:rsid w:val="005B1B15"/>
    <w:rPr>
      <w:rFonts w:ascii="Times New Roman" w:hAnsi="Times New Roman" w:cs="Times New Roman"/>
    </w:rPr>
  </w:style>
  <w:style w:type="character" w:styleId="PageNumber">
    <w:name w:val="page number"/>
    <w:basedOn w:val="DefaultParagraphFont"/>
    <w:uiPriority w:val="99"/>
    <w:semiHidden/>
    <w:unhideWhenUsed/>
    <w:rsid w:val="005B1B15"/>
  </w:style>
  <w:style w:type="paragraph" w:styleId="Header">
    <w:name w:val="header"/>
    <w:basedOn w:val="Normal"/>
    <w:link w:val="HeaderChar"/>
    <w:uiPriority w:val="99"/>
    <w:unhideWhenUsed/>
    <w:rsid w:val="005B1B15"/>
    <w:pPr>
      <w:tabs>
        <w:tab w:val="center" w:pos="4680"/>
        <w:tab w:val="right" w:pos="9360"/>
      </w:tabs>
    </w:pPr>
  </w:style>
  <w:style w:type="character" w:customStyle="1" w:styleId="HeaderChar">
    <w:name w:val="Header Char"/>
    <w:basedOn w:val="DefaultParagraphFont"/>
    <w:link w:val="Header"/>
    <w:uiPriority w:val="99"/>
    <w:rsid w:val="005B1B15"/>
    <w:rPr>
      <w:rFonts w:ascii="Times New Roman" w:hAnsi="Times New Roman" w:cs="Times New Roman"/>
    </w:rPr>
  </w:style>
  <w:style w:type="character" w:customStyle="1" w:styleId="Heading2Char">
    <w:name w:val="Heading 2 Char"/>
    <w:basedOn w:val="DefaultParagraphFont"/>
    <w:link w:val="Heading2"/>
    <w:uiPriority w:val="9"/>
    <w:rsid w:val="0019764D"/>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C577DC"/>
    <w:rPr>
      <w:rFonts w:ascii="Times New Roman" w:eastAsiaTheme="majorEastAsia" w:hAnsi="Times New Roman" w:cstheme="majorBidi"/>
      <w:b/>
      <w:color w:val="000000" w:themeColor="text1"/>
    </w:rPr>
  </w:style>
  <w:style w:type="character" w:styleId="CommentReference">
    <w:name w:val="annotation reference"/>
    <w:basedOn w:val="DefaultParagraphFont"/>
    <w:uiPriority w:val="99"/>
    <w:semiHidden/>
    <w:unhideWhenUsed/>
    <w:rsid w:val="009A09C6"/>
    <w:rPr>
      <w:sz w:val="16"/>
      <w:szCs w:val="16"/>
    </w:rPr>
  </w:style>
  <w:style w:type="paragraph" w:styleId="CommentText">
    <w:name w:val="annotation text"/>
    <w:basedOn w:val="Normal"/>
    <w:link w:val="CommentTextChar"/>
    <w:uiPriority w:val="99"/>
    <w:unhideWhenUsed/>
    <w:rsid w:val="009A09C6"/>
    <w:pPr>
      <w:spacing w:line="240" w:lineRule="auto"/>
    </w:pPr>
    <w:rPr>
      <w:sz w:val="20"/>
      <w:szCs w:val="20"/>
    </w:rPr>
  </w:style>
  <w:style w:type="character" w:customStyle="1" w:styleId="CommentTextChar">
    <w:name w:val="Comment Text Char"/>
    <w:basedOn w:val="DefaultParagraphFont"/>
    <w:link w:val="CommentText"/>
    <w:uiPriority w:val="99"/>
    <w:rsid w:val="009A09C6"/>
    <w:rPr>
      <w:rFonts w:ascii="Times New Roman" w:hAnsi="Times New Roman" w:cs="Times New Roman"/>
      <w:sz w:val="20"/>
      <w:szCs w:val="20"/>
    </w:rPr>
  </w:style>
  <w:style w:type="paragraph" w:styleId="ListParagraph">
    <w:name w:val="List Paragraph"/>
    <w:basedOn w:val="Normal"/>
    <w:uiPriority w:val="34"/>
    <w:qFormat/>
    <w:rsid w:val="001322CE"/>
    <w:pPr>
      <w:ind w:left="720"/>
      <w:contextualSpacing/>
    </w:pPr>
  </w:style>
  <w:style w:type="paragraph" w:styleId="Caption">
    <w:name w:val="caption"/>
    <w:basedOn w:val="Normal"/>
    <w:next w:val="Normal"/>
    <w:uiPriority w:val="35"/>
    <w:unhideWhenUsed/>
    <w:qFormat/>
    <w:rsid w:val="00834BBA"/>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9D138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D138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D138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D138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D13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1380"/>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unhideWhenUsed/>
    <w:rsid w:val="008813ED"/>
    <w:pPr>
      <w:spacing w:line="240" w:lineRule="auto"/>
      <w:ind w:left="240" w:hanging="240"/>
    </w:pPr>
  </w:style>
  <w:style w:type="paragraph" w:styleId="Index2">
    <w:name w:val="index 2"/>
    <w:basedOn w:val="Normal"/>
    <w:next w:val="Normal"/>
    <w:autoRedefine/>
    <w:uiPriority w:val="99"/>
    <w:semiHidden/>
    <w:unhideWhenUsed/>
    <w:rsid w:val="008813ED"/>
    <w:pPr>
      <w:spacing w:line="240" w:lineRule="auto"/>
      <w:ind w:left="480" w:hanging="240"/>
    </w:pPr>
  </w:style>
  <w:style w:type="paragraph" w:styleId="TOCHeading">
    <w:name w:val="TOC Heading"/>
    <w:basedOn w:val="Heading1"/>
    <w:next w:val="Normal"/>
    <w:uiPriority w:val="39"/>
    <w:unhideWhenUsed/>
    <w:qFormat/>
    <w:rsid w:val="00B4006A"/>
    <w:pPr>
      <w:numPr>
        <w:numId w:val="0"/>
      </w:numPr>
      <w:spacing w:before="480" w:line="276" w:lineRule="auto"/>
      <w:jc w:val="left"/>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qFormat/>
    <w:rsid w:val="001D1B97"/>
    <w:pPr>
      <w:spacing w:before="120" w:line="240" w:lineRule="auto"/>
      <w:jc w:val="left"/>
    </w:pPr>
    <w:rPr>
      <w:rFonts w:cstheme="minorHAnsi"/>
      <w:bCs/>
    </w:rPr>
  </w:style>
  <w:style w:type="paragraph" w:styleId="TOC2">
    <w:name w:val="toc 2"/>
    <w:basedOn w:val="Normal"/>
    <w:next w:val="Normal"/>
    <w:autoRedefine/>
    <w:uiPriority w:val="39"/>
    <w:unhideWhenUsed/>
    <w:rsid w:val="001D1B97"/>
    <w:pPr>
      <w:spacing w:before="120" w:line="240" w:lineRule="auto"/>
      <w:ind w:left="240"/>
      <w:jc w:val="left"/>
    </w:pPr>
    <w:rPr>
      <w:rFonts w:cstheme="minorHAnsi"/>
      <w:bCs/>
      <w:color w:val="000000" w:themeColor="text1"/>
      <w:szCs w:val="22"/>
    </w:rPr>
  </w:style>
  <w:style w:type="paragraph" w:styleId="TOC3">
    <w:name w:val="toc 3"/>
    <w:basedOn w:val="Normal"/>
    <w:next w:val="Normal"/>
    <w:autoRedefine/>
    <w:uiPriority w:val="39"/>
    <w:unhideWhenUsed/>
    <w:rsid w:val="008D245E"/>
    <w:pPr>
      <w:spacing w:before="120" w:after="120" w:line="240" w:lineRule="auto"/>
      <w:ind w:left="475"/>
      <w:jc w:val="left"/>
    </w:pPr>
    <w:rPr>
      <w:rFonts w:cstheme="minorHAnsi"/>
      <w:szCs w:val="20"/>
    </w:rPr>
  </w:style>
  <w:style w:type="character" w:styleId="Hyperlink">
    <w:name w:val="Hyperlink"/>
    <w:basedOn w:val="DefaultParagraphFont"/>
    <w:uiPriority w:val="99"/>
    <w:unhideWhenUsed/>
    <w:rsid w:val="00B4006A"/>
    <w:rPr>
      <w:color w:val="0563C1" w:themeColor="hyperlink"/>
      <w:u w:val="single"/>
    </w:rPr>
  </w:style>
  <w:style w:type="paragraph" w:styleId="TOC4">
    <w:name w:val="toc 4"/>
    <w:basedOn w:val="Normal"/>
    <w:next w:val="Normal"/>
    <w:autoRedefine/>
    <w:uiPriority w:val="39"/>
    <w:unhideWhenUsed/>
    <w:rsid w:val="001D1B97"/>
    <w:pPr>
      <w:spacing w:line="240" w:lineRule="auto"/>
      <w:ind w:left="720"/>
      <w:jc w:val="left"/>
    </w:pPr>
    <w:rPr>
      <w:rFonts w:cstheme="minorHAnsi"/>
      <w:szCs w:val="20"/>
    </w:rPr>
  </w:style>
  <w:style w:type="paragraph" w:styleId="TOC5">
    <w:name w:val="toc 5"/>
    <w:basedOn w:val="Normal"/>
    <w:next w:val="Normal"/>
    <w:autoRedefine/>
    <w:uiPriority w:val="39"/>
    <w:unhideWhenUsed/>
    <w:rsid w:val="001D1B97"/>
    <w:pPr>
      <w:spacing w:line="240" w:lineRule="auto"/>
      <w:ind w:left="960"/>
      <w:jc w:val="left"/>
    </w:pPr>
    <w:rPr>
      <w:rFonts w:cstheme="minorHAnsi"/>
      <w:szCs w:val="20"/>
    </w:rPr>
  </w:style>
  <w:style w:type="paragraph" w:styleId="TOC6">
    <w:name w:val="toc 6"/>
    <w:basedOn w:val="Normal"/>
    <w:next w:val="Normal"/>
    <w:autoRedefine/>
    <w:uiPriority w:val="39"/>
    <w:unhideWhenUsed/>
    <w:rsid w:val="00B4006A"/>
    <w:pPr>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B4006A"/>
    <w:pPr>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B4006A"/>
    <w:pPr>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B4006A"/>
    <w:pPr>
      <w:ind w:left="1920"/>
      <w:jc w:val="left"/>
    </w:pPr>
    <w:rPr>
      <w:rFonts w:asciiTheme="minorHAnsi" w:hAnsiTheme="minorHAnsi" w:cstheme="minorHAnsi"/>
      <w:sz w:val="20"/>
      <w:szCs w:val="20"/>
    </w:rPr>
  </w:style>
  <w:style w:type="paragraph" w:styleId="TableofFigures">
    <w:name w:val="table of figures"/>
    <w:basedOn w:val="Normal"/>
    <w:next w:val="Normal"/>
    <w:uiPriority w:val="99"/>
    <w:unhideWhenUsed/>
    <w:rsid w:val="00205265"/>
  </w:style>
  <w:style w:type="table" w:styleId="TableGrid">
    <w:name w:val="Table Grid"/>
    <w:basedOn w:val="TableNormal"/>
    <w:uiPriority w:val="39"/>
    <w:rsid w:val="000A1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7DEF"/>
    <w:rPr>
      <w:color w:val="808080"/>
    </w:rPr>
  </w:style>
  <w:style w:type="paragraph" w:customStyle="1" w:styleId="Table">
    <w:name w:val="Table"/>
    <w:basedOn w:val="Normal"/>
    <w:autoRedefine/>
    <w:qFormat/>
    <w:rsid w:val="009566C3"/>
    <w:pPr>
      <w:spacing w:line="240" w:lineRule="auto"/>
      <w:jc w:val="center"/>
    </w:pPr>
    <w:rPr>
      <w:rFonts w:eastAsiaTheme="minorHAnsi" w:cs="Arial"/>
      <w:szCs w:val="16"/>
    </w:rPr>
  </w:style>
  <w:style w:type="paragraph" w:styleId="Revision">
    <w:name w:val="Revision"/>
    <w:hidden/>
    <w:uiPriority w:val="99"/>
    <w:semiHidden/>
    <w:rsid w:val="00560218"/>
  </w:style>
  <w:style w:type="character" w:styleId="UnresolvedMention">
    <w:name w:val="Unresolved Mention"/>
    <w:basedOn w:val="DefaultParagraphFont"/>
    <w:uiPriority w:val="99"/>
    <w:semiHidden/>
    <w:unhideWhenUsed/>
    <w:rsid w:val="006A7D8D"/>
    <w:rPr>
      <w:color w:val="605E5C"/>
      <w:shd w:val="clear" w:color="auto" w:fill="E1DFDD"/>
    </w:rPr>
  </w:style>
  <w:style w:type="character" w:customStyle="1" w:styleId="apple-converted-space">
    <w:name w:val="apple-converted-space"/>
    <w:basedOn w:val="DefaultParagraphFont"/>
    <w:rsid w:val="00A31486"/>
  </w:style>
  <w:style w:type="character" w:styleId="Emphasis">
    <w:name w:val="Emphasis"/>
    <w:basedOn w:val="DefaultParagraphFont"/>
    <w:uiPriority w:val="20"/>
    <w:qFormat/>
    <w:rsid w:val="00A31486"/>
    <w:rPr>
      <w:i/>
      <w:iCs/>
    </w:rPr>
  </w:style>
  <w:style w:type="character" w:styleId="FollowedHyperlink">
    <w:name w:val="FollowedHyperlink"/>
    <w:basedOn w:val="DefaultParagraphFont"/>
    <w:uiPriority w:val="99"/>
    <w:semiHidden/>
    <w:unhideWhenUsed/>
    <w:rsid w:val="00BA5780"/>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6F50CE"/>
    <w:rPr>
      <w:b/>
      <w:bCs/>
    </w:rPr>
  </w:style>
  <w:style w:type="character" w:customStyle="1" w:styleId="CommentSubjectChar">
    <w:name w:val="Comment Subject Char"/>
    <w:basedOn w:val="CommentTextChar"/>
    <w:link w:val="CommentSubject"/>
    <w:uiPriority w:val="99"/>
    <w:semiHidden/>
    <w:rsid w:val="006F50CE"/>
    <w:rPr>
      <w:rFonts w:ascii="Times New Roman" w:hAnsi="Times New Roman" w:cs="Times New Roman"/>
      <w:b/>
      <w:bCs/>
      <w:sz w:val="20"/>
      <w:szCs w:val="20"/>
    </w:rPr>
  </w:style>
  <w:style w:type="character" w:styleId="HTMLCite">
    <w:name w:val="HTML Cite"/>
    <w:basedOn w:val="DefaultParagraphFont"/>
    <w:uiPriority w:val="99"/>
    <w:semiHidden/>
    <w:unhideWhenUsed/>
    <w:rsid w:val="003C7FE5"/>
    <w:rPr>
      <w:i/>
      <w:iCs/>
    </w:rPr>
  </w:style>
  <w:style w:type="character" w:styleId="Strong">
    <w:name w:val="Strong"/>
    <w:basedOn w:val="DefaultParagraphFont"/>
    <w:uiPriority w:val="22"/>
    <w:qFormat/>
    <w:rsid w:val="003C7F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3847">
      <w:bodyDiv w:val="1"/>
      <w:marLeft w:val="0"/>
      <w:marRight w:val="0"/>
      <w:marTop w:val="0"/>
      <w:marBottom w:val="0"/>
      <w:divBdr>
        <w:top w:val="none" w:sz="0" w:space="0" w:color="auto"/>
        <w:left w:val="none" w:sz="0" w:space="0" w:color="auto"/>
        <w:bottom w:val="none" w:sz="0" w:space="0" w:color="auto"/>
        <w:right w:val="none" w:sz="0" w:space="0" w:color="auto"/>
      </w:divBdr>
      <w:divsChild>
        <w:div w:id="891425773">
          <w:marLeft w:val="0"/>
          <w:marRight w:val="0"/>
          <w:marTop w:val="0"/>
          <w:marBottom w:val="0"/>
          <w:divBdr>
            <w:top w:val="none" w:sz="0" w:space="0" w:color="auto"/>
            <w:left w:val="none" w:sz="0" w:space="0" w:color="auto"/>
            <w:bottom w:val="none" w:sz="0" w:space="0" w:color="auto"/>
            <w:right w:val="none" w:sz="0" w:space="0" w:color="auto"/>
          </w:divBdr>
          <w:divsChild>
            <w:div w:id="1355644781">
              <w:marLeft w:val="0"/>
              <w:marRight w:val="0"/>
              <w:marTop w:val="0"/>
              <w:marBottom w:val="0"/>
              <w:divBdr>
                <w:top w:val="none" w:sz="0" w:space="0" w:color="auto"/>
                <w:left w:val="none" w:sz="0" w:space="0" w:color="auto"/>
                <w:bottom w:val="none" w:sz="0" w:space="0" w:color="auto"/>
                <w:right w:val="none" w:sz="0" w:space="0" w:color="auto"/>
              </w:divBdr>
              <w:divsChild>
                <w:div w:id="203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936531">
      <w:bodyDiv w:val="1"/>
      <w:marLeft w:val="0"/>
      <w:marRight w:val="0"/>
      <w:marTop w:val="0"/>
      <w:marBottom w:val="0"/>
      <w:divBdr>
        <w:top w:val="none" w:sz="0" w:space="0" w:color="auto"/>
        <w:left w:val="none" w:sz="0" w:space="0" w:color="auto"/>
        <w:bottom w:val="none" w:sz="0" w:space="0" w:color="auto"/>
        <w:right w:val="none" w:sz="0" w:space="0" w:color="auto"/>
      </w:divBdr>
      <w:divsChild>
        <w:div w:id="2046254113">
          <w:marLeft w:val="0"/>
          <w:marRight w:val="0"/>
          <w:marTop w:val="0"/>
          <w:marBottom w:val="0"/>
          <w:divBdr>
            <w:top w:val="none" w:sz="0" w:space="0" w:color="auto"/>
            <w:left w:val="none" w:sz="0" w:space="0" w:color="auto"/>
            <w:bottom w:val="none" w:sz="0" w:space="0" w:color="auto"/>
            <w:right w:val="none" w:sz="0" w:space="0" w:color="auto"/>
          </w:divBdr>
          <w:divsChild>
            <w:div w:id="1984650526">
              <w:marLeft w:val="0"/>
              <w:marRight w:val="0"/>
              <w:marTop w:val="0"/>
              <w:marBottom w:val="0"/>
              <w:divBdr>
                <w:top w:val="none" w:sz="0" w:space="0" w:color="auto"/>
                <w:left w:val="none" w:sz="0" w:space="0" w:color="auto"/>
                <w:bottom w:val="none" w:sz="0" w:space="0" w:color="auto"/>
                <w:right w:val="none" w:sz="0" w:space="0" w:color="auto"/>
              </w:divBdr>
              <w:divsChild>
                <w:div w:id="97683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073847">
      <w:bodyDiv w:val="1"/>
      <w:marLeft w:val="0"/>
      <w:marRight w:val="0"/>
      <w:marTop w:val="0"/>
      <w:marBottom w:val="0"/>
      <w:divBdr>
        <w:top w:val="none" w:sz="0" w:space="0" w:color="auto"/>
        <w:left w:val="none" w:sz="0" w:space="0" w:color="auto"/>
        <w:bottom w:val="none" w:sz="0" w:space="0" w:color="auto"/>
        <w:right w:val="none" w:sz="0" w:space="0" w:color="auto"/>
      </w:divBdr>
      <w:divsChild>
        <w:div w:id="545412262">
          <w:marLeft w:val="0"/>
          <w:marRight w:val="0"/>
          <w:marTop w:val="0"/>
          <w:marBottom w:val="0"/>
          <w:divBdr>
            <w:top w:val="none" w:sz="0" w:space="0" w:color="auto"/>
            <w:left w:val="none" w:sz="0" w:space="0" w:color="auto"/>
            <w:bottom w:val="none" w:sz="0" w:space="0" w:color="auto"/>
            <w:right w:val="none" w:sz="0" w:space="0" w:color="auto"/>
          </w:divBdr>
          <w:divsChild>
            <w:div w:id="498152442">
              <w:marLeft w:val="0"/>
              <w:marRight w:val="0"/>
              <w:marTop w:val="0"/>
              <w:marBottom w:val="0"/>
              <w:divBdr>
                <w:top w:val="none" w:sz="0" w:space="0" w:color="auto"/>
                <w:left w:val="none" w:sz="0" w:space="0" w:color="auto"/>
                <w:bottom w:val="none" w:sz="0" w:space="0" w:color="auto"/>
                <w:right w:val="none" w:sz="0" w:space="0" w:color="auto"/>
              </w:divBdr>
              <w:divsChild>
                <w:div w:id="84255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538037">
      <w:bodyDiv w:val="1"/>
      <w:marLeft w:val="0"/>
      <w:marRight w:val="0"/>
      <w:marTop w:val="0"/>
      <w:marBottom w:val="0"/>
      <w:divBdr>
        <w:top w:val="none" w:sz="0" w:space="0" w:color="auto"/>
        <w:left w:val="none" w:sz="0" w:space="0" w:color="auto"/>
        <w:bottom w:val="none" w:sz="0" w:space="0" w:color="auto"/>
        <w:right w:val="none" w:sz="0" w:space="0" w:color="auto"/>
      </w:divBdr>
      <w:divsChild>
        <w:div w:id="620847599">
          <w:marLeft w:val="0"/>
          <w:marRight w:val="0"/>
          <w:marTop w:val="0"/>
          <w:marBottom w:val="0"/>
          <w:divBdr>
            <w:top w:val="none" w:sz="0" w:space="0" w:color="auto"/>
            <w:left w:val="none" w:sz="0" w:space="0" w:color="auto"/>
            <w:bottom w:val="none" w:sz="0" w:space="0" w:color="auto"/>
            <w:right w:val="none" w:sz="0" w:space="0" w:color="auto"/>
          </w:divBdr>
        </w:div>
        <w:div w:id="776602915">
          <w:marLeft w:val="0"/>
          <w:marRight w:val="0"/>
          <w:marTop w:val="0"/>
          <w:marBottom w:val="0"/>
          <w:divBdr>
            <w:top w:val="none" w:sz="0" w:space="0" w:color="auto"/>
            <w:left w:val="none" w:sz="0" w:space="0" w:color="auto"/>
            <w:bottom w:val="none" w:sz="0" w:space="0" w:color="auto"/>
            <w:right w:val="none" w:sz="0" w:space="0" w:color="auto"/>
          </w:divBdr>
        </w:div>
      </w:divsChild>
    </w:div>
    <w:div w:id="308559939">
      <w:bodyDiv w:val="1"/>
      <w:marLeft w:val="0"/>
      <w:marRight w:val="0"/>
      <w:marTop w:val="0"/>
      <w:marBottom w:val="0"/>
      <w:divBdr>
        <w:top w:val="none" w:sz="0" w:space="0" w:color="auto"/>
        <w:left w:val="none" w:sz="0" w:space="0" w:color="auto"/>
        <w:bottom w:val="none" w:sz="0" w:space="0" w:color="auto"/>
        <w:right w:val="none" w:sz="0" w:space="0" w:color="auto"/>
      </w:divBdr>
    </w:div>
    <w:div w:id="424419327">
      <w:bodyDiv w:val="1"/>
      <w:marLeft w:val="0"/>
      <w:marRight w:val="0"/>
      <w:marTop w:val="0"/>
      <w:marBottom w:val="0"/>
      <w:divBdr>
        <w:top w:val="none" w:sz="0" w:space="0" w:color="auto"/>
        <w:left w:val="none" w:sz="0" w:space="0" w:color="auto"/>
        <w:bottom w:val="none" w:sz="0" w:space="0" w:color="auto"/>
        <w:right w:val="none" w:sz="0" w:space="0" w:color="auto"/>
      </w:divBdr>
    </w:div>
    <w:div w:id="427579579">
      <w:bodyDiv w:val="1"/>
      <w:marLeft w:val="0"/>
      <w:marRight w:val="0"/>
      <w:marTop w:val="0"/>
      <w:marBottom w:val="0"/>
      <w:divBdr>
        <w:top w:val="none" w:sz="0" w:space="0" w:color="auto"/>
        <w:left w:val="none" w:sz="0" w:space="0" w:color="auto"/>
        <w:bottom w:val="none" w:sz="0" w:space="0" w:color="auto"/>
        <w:right w:val="none" w:sz="0" w:space="0" w:color="auto"/>
      </w:divBdr>
      <w:divsChild>
        <w:div w:id="2134131120">
          <w:marLeft w:val="0"/>
          <w:marRight w:val="0"/>
          <w:marTop w:val="0"/>
          <w:marBottom w:val="0"/>
          <w:divBdr>
            <w:top w:val="none" w:sz="0" w:space="0" w:color="auto"/>
            <w:left w:val="none" w:sz="0" w:space="0" w:color="auto"/>
            <w:bottom w:val="none" w:sz="0" w:space="0" w:color="auto"/>
            <w:right w:val="none" w:sz="0" w:space="0" w:color="auto"/>
          </w:divBdr>
          <w:divsChild>
            <w:div w:id="1394700860">
              <w:marLeft w:val="0"/>
              <w:marRight w:val="0"/>
              <w:marTop w:val="0"/>
              <w:marBottom w:val="0"/>
              <w:divBdr>
                <w:top w:val="none" w:sz="0" w:space="0" w:color="auto"/>
                <w:left w:val="none" w:sz="0" w:space="0" w:color="auto"/>
                <w:bottom w:val="none" w:sz="0" w:space="0" w:color="auto"/>
                <w:right w:val="none" w:sz="0" w:space="0" w:color="auto"/>
              </w:divBdr>
              <w:divsChild>
                <w:div w:id="16678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7563">
      <w:bodyDiv w:val="1"/>
      <w:marLeft w:val="0"/>
      <w:marRight w:val="0"/>
      <w:marTop w:val="0"/>
      <w:marBottom w:val="0"/>
      <w:divBdr>
        <w:top w:val="none" w:sz="0" w:space="0" w:color="auto"/>
        <w:left w:val="none" w:sz="0" w:space="0" w:color="auto"/>
        <w:bottom w:val="none" w:sz="0" w:space="0" w:color="auto"/>
        <w:right w:val="none" w:sz="0" w:space="0" w:color="auto"/>
      </w:divBdr>
      <w:divsChild>
        <w:div w:id="740106446">
          <w:marLeft w:val="0"/>
          <w:marRight w:val="0"/>
          <w:marTop w:val="0"/>
          <w:marBottom w:val="0"/>
          <w:divBdr>
            <w:top w:val="none" w:sz="0" w:space="0" w:color="auto"/>
            <w:left w:val="none" w:sz="0" w:space="0" w:color="auto"/>
            <w:bottom w:val="none" w:sz="0" w:space="0" w:color="auto"/>
            <w:right w:val="none" w:sz="0" w:space="0" w:color="auto"/>
          </w:divBdr>
          <w:divsChild>
            <w:div w:id="1474247685">
              <w:marLeft w:val="0"/>
              <w:marRight w:val="0"/>
              <w:marTop w:val="0"/>
              <w:marBottom w:val="0"/>
              <w:divBdr>
                <w:top w:val="none" w:sz="0" w:space="0" w:color="auto"/>
                <w:left w:val="none" w:sz="0" w:space="0" w:color="auto"/>
                <w:bottom w:val="none" w:sz="0" w:space="0" w:color="auto"/>
                <w:right w:val="none" w:sz="0" w:space="0" w:color="auto"/>
              </w:divBdr>
              <w:divsChild>
                <w:div w:id="132955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053452">
      <w:bodyDiv w:val="1"/>
      <w:marLeft w:val="0"/>
      <w:marRight w:val="0"/>
      <w:marTop w:val="0"/>
      <w:marBottom w:val="0"/>
      <w:divBdr>
        <w:top w:val="none" w:sz="0" w:space="0" w:color="auto"/>
        <w:left w:val="none" w:sz="0" w:space="0" w:color="auto"/>
        <w:bottom w:val="none" w:sz="0" w:space="0" w:color="auto"/>
        <w:right w:val="none" w:sz="0" w:space="0" w:color="auto"/>
      </w:divBdr>
    </w:div>
    <w:div w:id="549151726">
      <w:bodyDiv w:val="1"/>
      <w:marLeft w:val="0"/>
      <w:marRight w:val="0"/>
      <w:marTop w:val="0"/>
      <w:marBottom w:val="0"/>
      <w:divBdr>
        <w:top w:val="none" w:sz="0" w:space="0" w:color="auto"/>
        <w:left w:val="none" w:sz="0" w:space="0" w:color="auto"/>
        <w:bottom w:val="none" w:sz="0" w:space="0" w:color="auto"/>
        <w:right w:val="none" w:sz="0" w:space="0" w:color="auto"/>
      </w:divBdr>
      <w:divsChild>
        <w:div w:id="97724923">
          <w:marLeft w:val="0"/>
          <w:marRight w:val="0"/>
          <w:marTop w:val="0"/>
          <w:marBottom w:val="0"/>
          <w:divBdr>
            <w:top w:val="none" w:sz="0" w:space="0" w:color="auto"/>
            <w:left w:val="none" w:sz="0" w:space="0" w:color="auto"/>
            <w:bottom w:val="none" w:sz="0" w:space="0" w:color="auto"/>
            <w:right w:val="none" w:sz="0" w:space="0" w:color="auto"/>
          </w:divBdr>
          <w:divsChild>
            <w:div w:id="1276214054">
              <w:marLeft w:val="0"/>
              <w:marRight w:val="0"/>
              <w:marTop w:val="0"/>
              <w:marBottom w:val="0"/>
              <w:divBdr>
                <w:top w:val="none" w:sz="0" w:space="0" w:color="auto"/>
                <w:left w:val="none" w:sz="0" w:space="0" w:color="auto"/>
                <w:bottom w:val="none" w:sz="0" w:space="0" w:color="auto"/>
                <w:right w:val="none" w:sz="0" w:space="0" w:color="auto"/>
              </w:divBdr>
              <w:divsChild>
                <w:div w:id="11268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02611">
      <w:bodyDiv w:val="1"/>
      <w:marLeft w:val="0"/>
      <w:marRight w:val="0"/>
      <w:marTop w:val="0"/>
      <w:marBottom w:val="0"/>
      <w:divBdr>
        <w:top w:val="none" w:sz="0" w:space="0" w:color="auto"/>
        <w:left w:val="none" w:sz="0" w:space="0" w:color="auto"/>
        <w:bottom w:val="none" w:sz="0" w:space="0" w:color="auto"/>
        <w:right w:val="none" w:sz="0" w:space="0" w:color="auto"/>
      </w:divBdr>
      <w:divsChild>
        <w:div w:id="517231573">
          <w:marLeft w:val="0"/>
          <w:marRight w:val="0"/>
          <w:marTop w:val="0"/>
          <w:marBottom w:val="0"/>
          <w:divBdr>
            <w:top w:val="none" w:sz="0" w:space="0" w:color="auto"/>
            <w:left w:val="none" w:sz="0" w:space="0" w:color="auto"/>
            <w:bottom w:val="none" w:sz="0" w:space="0" w:color="auto"/>
            <w:right w:val="none" w:sz="0" w:space="0" w:color="auto"/>
          </w:divBdr>
          <w:divsChild>
            <w:div w:id="1251425915">
              <w:marLeft w:val="0"/>
              <w:marRight w:val="0"/>
              <w:marTop w:val="0"/>
              <w:marBottom w:val="0"/>
              <w:divBdr>
                <w:top w:val="none" w:sz="0" w:space="0" w:color="auto"/>
                <w:left w:val="none" w:sz="0" w:space="0" w:color="auto"/>
                <w:bottom w:val="none" w:sz="0" w:space="0" w:color="auto"/>
                <w:right w:val="none" w:sz="0" w:space="0" w:color="auto"/>
              </w:divBdr>
              <w:divsChild>
                <w:div w:id="1392192363">
                  <w:marLeft w:val="0"/>
                  <w:marRight w:val="0"/>
                  <w:marTop w:val="0"/>
                  <w:marBottom w:val="0"/>
                  <w:divBdr>
                    <w:top w:val="none" w:sz="0" w:space="0" w:color="auto"/>
                    <w:left w:val="none" w:sz="0" w:space="0" w:color="auto"/>
                    <w:bottom w:val="none" w:sz="0" w:space="0" w:color="auto"/>
                    <w:right w:val="none" w:sz="0" w:space="0" w:color="auto"/>
                  </w:divBdr>
                  <w:divsChild>
                    <w:div w:id="79694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499937">
      <w:bodyDiv w:val="1"/>
      <w:marLeft w:val="0"/>
      <w:marRight w:val="0"/>
      <w:marTop w:val="0"/>
      <w:marBottom w:val="0"/>
      <w:divBdr>
        <w:top w:val="none" w:sz="0" w:space="0" w:color="auto"/>
        <w:left w:val="none" w:sz="0" w:space="0" w:color="auto"/>
        <w:bottom w:val="none" w:sz="0" w:space="0" w:color="auto"/>
        <w:right w:val="none" w:sz="0" w:space="0" w:color="auto"/>
      </w:divBdr>
    </w:div>
    <w:div w:id="801770231">
      <w:bodyDiv w:val="1"/>
      <w:marLeft w:val="0"/>
      <w:marRight w:val="0"/>
      <w:marTop w:val="0"/>
      <w:marBottom w:val="0"/>
      <w:divBdr>
        <w:top w:val="none" w:sz="0" w:space="0" w:color="auto"/>
        <w:left w:val="none" w:sz="0" w:space="0" w:color="auto"/>
        <w:bottom w:val="none" w:sz="0" w:space="0" w:color="auto"/>
        <w:right w:val="none" w:sz="0" w:space="0" w:color="auto"/>
      </w:divBdr>
    </w:div>
    <w:div w:id="851988613">
      <w:bodyDiv w:val="1"/>
      <w:marLeft w:val="0"/>
      <w:marRight w:val="0"/>
      <w:marTop w:val="0"/>
      <w:marBottom w:val="0"/>
      <w:divBdr>
        <w:top w:val="none" w:sz="0" w:space="0" w:color="auto"/>
        <w:left w:val="none" w:sz="0" w:space="0" w:color="auto"/>
        <w:bottom w:val="none" w:sz="0" w:space="0" w:color="auto"/>
        <w:right w:val="none" w:sz="0" w:space="0" w:color="auto"/>
      </w:divBdr>
      <w:divsChild>
        <w:div w:id="1503624382">
          <w:marLeft w:val="0"/>
          <w:marRight w:val="0"/>
          <w:marTop w:val="0"/>
          <w:marBottom w:val="0"/>
          <w:divBdr>
            <w:top w:val="none" w:sz="0" w:space="0" w:color="auto"/>
            <w:left w:val="none" w:sz="0" w:space="0" w:color="auto"/>
            <w:bottom w:val="none" w:sz="0" w:space="0" w:color="auto"/>
            <w:right w:val="none" w:sz="0" w:space="0" w:color="auto"/>
          </w:divBdr>
          <w:divsChild>
            <w:div w:id="1049379420">
              <w:marLeft w:val="0"/>
              <w:marRight w:val="0"/>
              <w:marTop w:val="0"/>
              <w:marBottom w:val="0"/>
              <w:divBdr>
                <w:top w:val="none" w:sz="0" w:space="0" w:color="auto"/>
                <w:left w:val="none" w:sz="0" w:space="0" w:color="auto"/>
                <w:bottom w:val="none" w:sz="0" w:space="0" w:color="auto"/>
                <w:right w:val="none" w:sz="0" w:space="0" w:color="auto"/>
              </w:divBdr>
              <w:divsChild>
                <w:div w:id="182538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027316">
      <w:bodyDiv w:val="1"/>
      <w:marLeft w:val="0"/>
      <w:marRight w:val="0"/>
      <w:marTop w:val="0"/>
      <w:marBottom w:val="0"/>
      <w:divBdr>
        <w:top w:val="none" w:sz="0" w:space="0" w:color="auto"/>
        <w:left w:val="none" w:sz="0" w:space="0" w:color="auto"/>
        <w:bottom w:val="none" w:sz="0" w:space="0" w:color="auto"/>
        <w:right w:val="none" w:sz="0" w:space="0" w:color="auto"/>
      </w:divBdr>
    </w:div>
    <w:div w:id="1019966985">
      <w:bodyDiv w:val="1"/>
      <w:marLeft w:val="0"/>
      <w:marRight w:val="0"/>
      <w:marTop w:val="0"/>
      <w:marBottom w:val="0"/>
      <w:divBdr>
        <w:top w:val="none" w:sz="0" w:space="0" w:color="auto"/>
        <w:left w:val="none" w:sz="0" w:space="0" w:color="auto"/>
        <w:bottom w:val="none" w:sz="0" w:space="0" w:color="auto"/>
        <w:right w:val="none" w:sz="0" w:space="0" w:color="auto"/>
      </w:divBdr>
      <w:divsChild>
        <w:div w:id="496269889">
          <w:marLeft w:val="0"/>
          <w:marRight w:val="0"/>
          <w:marTop w:val="0"/>
          <w:marBottom w:val="0"/>
          <w:divBdr>
            <w:top w:val="none" w:sz="0" w:space="0" w:color="auto"/>
            <w:left w:val="none" w:sz="0" w:space="0" w:color="auto"/>
            <w:bottom w:val="none" w:sz="0" w:space="0" w:color="auto"/>
            <w:right w:val="none" w:sz="0" w:space="0" w:color="auto"/>
          </w:divBdr>
          <w:divsChild>
            <w:div w:id="244925359">
              <w:marLeft w:val="0"/>
              <w:marRight w:val="0"/>
              <w:marTop w:val="0"/>
              <w:marBottom w:val="0"/>
              <w:divBdr>
                <w:top w:val="none" w:sz="0" w:space="0" w:color="auto"/>
                <w:left w:val="none" w:sz="0" w:space="0" w:color="auto"/>
                <w:bottom w:val="none" w:sz="0" w:space="0" w:color="auto"/>
                <w:right w:val="none" w:sz="0" w:space="0" w:color="auto"/>
              </w:divBdr>
              <w:divsChild>
                <w:div w:id="13117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210477">
      <w:bodyDiv w:val="1"/>
      <w:marLeft w:val="0"/>
      <w:marRight w:val="0"/>
      <w:marTop w:val="0"/>
      <w:marBottom w:val="0"/>
      <w:divBdr>
        <w:top w:val="none" w:sz="0" w:space="0" w:color="auto"/>
        <w:left w:val="none" w:sz="0" w:space="0" w:color="auto"/>
        <w:bottom w:val="none" w:sz="0" w:space="0" w:color="auto"/>
        <w:right w:val="none" w:sz="0" w:space="0" w:color="auto"/>
      </w:divBdr>
    </w:div>
    <w:div w:id="1147287706">
      <w:bodyDiv w:val="1"/>
      <w:marLeft w:val="0"/>
      <w:marRight w:val="0"/>
      <w:marTop w:val="0"/>
      <w:marBottom w:val="0"/>
      <w:divBdr>
        <w:top w:val="none" w:sz="0" w:space="0" w:color="auto"/>
        <w:left w:val="none" w:sz="0" w:space="0" w:color="auto"/>
        <w:bottom w:val="none" w:sz="0" w:space="0" w:color="auto"/>
        <w:right w:val="none" w:sz="0" w:space="0" w:color="auto"/>
      </w:divBdr>
      <w:divsChild>
        <w:div w:id="103841599">
          <w:marLeft w:val="0"/>
          <w:marRight w:val="0"/>
          <w:marTop w:val="0"/>
          <w:marBottom w:val="0"/>
          <w:divBdr>
            <w:top w:val="none" w:sz="0" w:space="0" w:color="auto"/>
            <w:left w:val="none" w:sz="0" w:space="0" w:color="auto"/>
            <w:bottom w:val="none" w:sz="0" w:space="0" w:color="auto"/>
            <w:right w:val="none" w:sz="0" w:space="0" w:color="auto"/>
          </w:divBdr>
          <w:divsChild>
            <w:div w:id="2102020111">
              <w:marLeft w:val="0"/>
              <w:marRight w:val="0"/>
              <w:marTop w:val="0"/>
              <w:marBottom w:val="0"/>
              <w:divBdr>
                <w:top w:val="none" w:sz="0" w:space="0" w:color="auto"/>
                <w:left w:val="none" w:sz="0" w:space="0" w:color="auto"/>
                <w:bottom w:val="none" w:sz="0" w:space="0" w:color="auto"/>
                <w:right w:val="none" w:sz="0" w:space="0" w:color="auto"/>
              </w:divBdr>
              <w:divsChild>
                <w:div w:id="2230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193292">
      <w:bodyDiv w:val="1"/>
      <w:marLeft w:val="0"/>
      <w:marRight w:val="0"/>
      <w:marTop w:val="0"/>
      <w:marBottom w:val="0"/>
      <w:divBdr>
        <w:top w:val="none" w:sz="0" w:space="0" w:color="auto"/>
        <w:left w:val="none" w:sz="0" w:space="0" w:color="auto"/>
        <w:bottom w:val="none" w:sz="0" w:space="0" w:color="auto"/>
        <w:right w:val="none" w:sz="0" w:space="0" w:color="auto"/>
      </w:divBdr>
    </w:div>
    <w:div w:id="1413091254">
      <w:bodyDiv w:val="1"/>
      <w:marLeft w:val="0"/>
      <w:marRight w:val="0"/>
      <w:marTop w:val="0"/>
      <w:marBottom w:val="0"/>
      <w:divBdr>
        <w:top w:val="none" w:sz="0" w:space="0" w:color="auto"/>
        <w:left w:val="none" w:sz="0" w:space="0" w:color="auto"/>
        <w:bottom w:val="none" w:sz="0" w:space="0" w:color="auto"/>
        <w:right w:val="none" w:sz="0" w:space="0" w:color="auto"/>
      </w:divBdr>
    </w:div>
    <w:div w:id="1433435873">
      <w:bodyDiv w:val="1"/>
      <w:marLeft w:val="0"/>
      <w:marRight w:val="0"/>
      <w:marTop w:val="0"/>
      <w:marBottom w:val="0"/>
      <w:divBdr>
        <w:top w:val="none" w:sz="0" w:space="0" w:color="auto"/>
        <w:left w:val="none" w:sz="0" w:space="0" w:color="auto"/>
        <w:bottom w:val="none" w:sz="0" w:space="0" w:color="auto"/>
        <w:right w:val="none" w:sz="0" w:space="0" w:color="auto"/>
      </w:divBdr>
    </w:div>
    <w:div w:id="1461339104">
      <w:bodyDiv w:val="1"/>
      <w:marLeft w:val="0"/>
      <w:marRight w:val="0"/>
      <w:marTop w:val="0"/>
      <w:marBottom w:val="0"/>
      <w:divBdr>
        <w:top w:val="none" w:sz="0" w:space="0" w:color="auto"/>
        <w:left w:val="none" w:sz="0" w:space="0" w:color="auto"/>
        <w:bottom w:val="none" w:sz="0" w:space="0" w:color="auto"/>
        <w:right w:val="none" w:sz="0" w:space="0" w:color="auto"/>
      </w:divBdr>
    </w:div>
    <w:div w:id="1472400478">
      <w:bodyDiv w:val="1"/>
      <w:marLeft w:val="0"/>
      <w:marRight w:val="0"/>
      <w:marTop w:val="0"/>
      <w:marBottom w:val="0"/>
      <w:divBdr>
        <w:top w:val="none" w:sz="0" w:space="0" w:color="auto"/>
        <w:left w:val="none" w:sz="0" w:space="0" w:color="auto"/>
        <w:bottom w:val="none" w:sz="0" w:space="0" w:color="auto"/>
        <w:right w:val="none" w:sz="0" w:space="0" w:color="auto"/>
      </w:divBdr>
      <w:divsChild>
        <w:div w:id="1476793411">
          <w:marLeft w:val="0"/>
          <w:marRight w:val="0"/>
          <w:marTop w:val="0"/>
          <w:marBottom w:val="0"/>
          <w:divBdr>
            <w:top w:val="none" w:sz="0" w:space="0" w:color="auto"/>
            <w:left w:val="none" w:sz="0" w:space="0" w:color="auto"/>
            <w:bottom w:val="none" w:sz="0" w:space="0" w:color="auto"/>
            <w:right w:val="none" w:sz="0" w:space="0" w:color="auto"/>
          </w:divBdr>
          <w:divsChild>
            <w:div w:id="287207694">
              <w:marLeft w:val="0"/>
              <w:marRight w:val="0"/>
              <w:marTop w:val="0"/>
              <w:marBottom w:val="0"/>
              <w:divBdr>
                <w:top w:val="none" w:sz="0" w:space="0" w:color="auto"/>
                <w:left w:val="none" w:sz="0" w:space="0" w:color="auto"/>
                <w:bottom w:val="none" w:sz="0" w:space="0" w:color="auto"/>
                <w:right w:val="none" w:sz="0" w:space="0" w:color="auto"/>
              </w:divBdr>
              <w:divsChild>
                <w:div w:id="67306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91008">
      <w:bodyDiv w:val="1"/>
      <w:marLeft w:val="0"/>
      <w:marRight w:val="0"/>
      <w:marTop w:val="0"/>
      <w:marBottom w:val="0"/>
      <w:divBdr>
        <w:top w:val="none" w:sz="0" w:space="0" w:color="auto"/>
        <w:left w:val="none" w:sz="0" w:space="0" w:color="auto"/>
        <w:bottom w:val="none" w:sz="0" w:space="0" w:color="auto"/>
        <w:right w:val="none" w:sz="0" w:space="0" w:color="auto"/>
      </w:divBdr>
      <w:divsChild>
        <w:div w:id="88812399">
          <w:marLeft w:val="0"/>
          <w:marRight w:val="0"/>
          <w:marTop w:val="0"/>
          <w:marBottom w:val="0"/>
          <w:divBdr>
            <w:top w:val="none" w:sz="0" w:space="0" w:color="auto"/>
            <w:left w:val="none" w:sz="0" w:space="0" w:color="auto"/>
            <w:bottom w:val="none" w:sz="0" w:space="0" w:color="auto"/>
            <w:right w:val="none" w:sz="0" w:space="0" w:color="auto"/>
          </w:divBdr>
          <w:divsChild>
            <w:div w:id="212618476">
              <w:marLeft w:val="0"/>
              <w:marRight w:val="0"/>
              <w:marTop w:val="0"/>
              <w:marBottom w:val="0"/>
              <w:divBdr>
                <w:top w:val="none" w:sz="0" w:space="0" w:color="auto"/>
                <w:left w:val="none" w:sz="0" w:space="0" w:color="auto"/>
                <w:bottom w:val="none" w:sz="0" w:space="0" w:color="auto"/>
                <w:right w:val="none" w:sz="0" w:space="0" w:color="auto"/>
              </w:divBdr>
              <w:divsChild>
                <w:div w:id="82841625">
                  <w:marLeft w:val="0"/>
                  <w:marRight w:val="0"/>
                  <w:marTop w:val="0"/>
                  <w:marBottom w:val="0"/>
                  <w:divBdr>
                    <w:top w:val="none" w:sz="0" w:space="0" w:color="auto"/>
                    <w:left w:val="none" w:sz="0" w:space="0" w:color="auto"/>
                    <w:bottom w:val="none" w:sz="0" w:space="0" w:color="auto"/>
                    <w:right w:val="none" w:sz="0" w:space="0" w:color="auto"/>
                  </w:divBdr>
                </w:div>
              </w:divsChild>
            </w:div>
            <w:div w:id="797840499">
              <w:marLeft w:val="0"/>
              <w:marRight w:val="0"/>
              <w:marTop w:val="0"/>
              <w:marBottom w:val="0"/>
              <w:divBdr>
                <w:top w:val="none" w:sz="0" w:space="0" w:color="auto"/>
                <w:left w:val="none" w:sz="0" w:space="0" w:color="auto"/>
                <w:bottom w:val="none" w:sz="0" w:space="0" w:color="auto"/>
                <w:right w:val="none" w:sz="0" w:space="0" w:color="auto"/>
              </w:divBdr>
              <w:divsChild>
                <w:div w:id="5914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04356">
      <w:bodyDiv w:val="1"/>
      <w:marLeft w:val="0"/>
      <w:marRight w:val="0"/>
      <w:marTop w:val="0"/>
      <w:marBottom w:val="0"/>
      <w:divBdr>
        <w:top w:val="none" w:sz="0" w:space="0" w:color="auto"/>
        <w:left w:val="none" w:sz="0" w:space="0" w:color="auto"/>
        <w:bottom w:val="none" w:sz="0" w:space="0" w:color="auto"/>
        <w:right w:val="none" w:sz="0" w:space="0" w:color="auto"/>
      </w:divBdr>
    </w:div>
    <w:div w:id="1837918841">
      <w:bodyDiv w:val="1"/>
      <w:marLeft w:val="0"/>
      <w:marRight w:val="0"/>
      <w:marTop w:val="0"/>
      <w:marBottom w:val="0"/>
      <w:divBdr>
        <w:top w:val="none" w:sz="0" w:space="0" w:color="auto"/>
        <w:left w:val="none" w:sz="0" w:space="0" w:color="auto"/>
        <w:bottom w:val="none" w:sz="0" w:space="0" w:color="auto"/>
        <w:right w:val="none" w:sz="0" w:space="0" w:color="auto"/>
      </w:divBdr>
    </w:div>
    <w:div w:id="210475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9.jpeg"/><Relationship Id="rId42" Type="http://schemas.openxmlformats.org/officeDocument/2006/relationships/image" Target="media/image25.jpeg"/><Relationship Id="rId47" Type="http://schemas.openxmlformats.org/officeDocument/2006/relationships/hyperlink" Target="https://doi.org/10.1016/j.fuel.2012.07.039" TargetMode="External"/><Relationship Id="rId63" Type="http://schemas.openxmlformats.org/officeDocument/2006/relationships/hyperlink" Target="https://doi.org/10.1080/10916460903226072" TargetMode="External"/><Relationship Id="rId68" Type="http://schemas.openxmlformats.org/officeDocument/2006/relationships/hyperlink" Target="https://doi.org/10.2118/113407-MS" TargetMode="External"/><Relationship Id="rId84" Type="http://schemas.openxmlformats.org/officeDocument/2006/relationships/hyperlink" Target="https://doi.org/10.1016/j.molliq.2020.114369" TargetMode="External"/><Relationship Id="rId89" Type="http://schemas.openxmlformats.org/officeDocument/2006/relationships/hyperlink" Target="https://doi.org/10.1016/j.molliq.2020.112553" TargetMode="External"/><Relationship Id="rId16" Type="http://schemas.openxmlformats.org/officeDocument/2006/relationships/image" Target="media/image4.png"/><Relationship Id="rId11" Type="http://schemas.openxmlformats.org/officeDocument/2006/relationships/header" Target="header1.xml"/><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hyperlink" Target="https://doi.org/10.1016/j.molliq.2020.114888." TargetMode="External"/><Relationship Id="rId58" Type="http://schemas.openxmlformats.org/officeDocument/2006/relationships/hyperlink" Target="http://dx.doi.org/10.1016%2Fj.colsurfa.2016.03.012" TargetMode="External"/><Relationship Id="rId74" Type="http://schemas.openxmlformats.org/officeDocument/2006/relationships/hyperlink" Target="https://doi.org/10.1016/B978-0-12-816776-2.00002-7" TargetMode="External"/><Relationship Id="rId79" Type="http://schemas.openxmlformats.org/officeDocument/2006/relationships/hyperlink" Target="https://doi.org/10.2118/20463-PA.%20" TargetMode="External"/><Relationship Id="rId102" Type="http://schemas.openxmlformats.org/officeDocument/2006/relationships/hyperlink" Target="https://onepetro.org/SPEIOR/proceedings-abstract/18IOR/3-18IOR/D031S006R004/215103" TargetMode="External"/><Relationship Id="rId5" Type="http://schemas.openxmlformats.org/officeDocument/2006/relationships/webSettings" Target="webSettings.xml"/><Relationship Id="rId90" Type="http://schemas.openxmlformats.org/officeDocument/2006/relationships/hyperlink" Target="https://doi.org/10.1080/10916466.2014.966916" TargetMode="External"/><Relationship Id="rId95" Type="http://schemas.openxmlformats.org/officeDocument/2006/relationships/hyperlink" Target="https://library.seg.org/doi/10.1190/1.1436968" TargetMode="External"/><Relationship Id="rId22" Type="http://schemas.openxmlformats.org/officeDocument/2006/relationships/image" Target="media/image10.jpeg"/><Relationship Id="rId27" Type="http://schemas.openxmlformats.org/officeDocument/2006/relationships/image" Target="media/image14.jpeg"/><Relationship Id="rId43" Type="http://schemas.openxmlformats.org/officeDocument/2006/relationships/image" Target="media/image26.jpeg"/><Relationship Id="rId48" Type="http://schemas.openxmlformats.org/officeDocument/2006/relationships/hyperlink" Target="https://doi.org/10.1016/j.fuel.2013.08.081" TargetMode="External"/><Relationship Id="rId64" Type="http://schemas.openxmlformats.org/officeDocument/2006/relationships/hyperlink" Target="https://onepetro.org/SPEATCE/proceedings-abstract/14ATCE/All-14ATCE/SPE-173474-STU/216844" TargetMode="External"/><Relationship Id="rId69" Type="http://schemas.openxmlformats.org/officeDocument/2006/relationships/hyperlink" Target="https://doi.org/10.1016/B978-0-12-821059-8.00011-9" TargetMode="External"/><Relationship Id="rId80" Type="http://schemas.openxmlformats.org/officeDocument/2006/relationships/hyperlink" Target="https://www.sciencedirect.com/science/article/abs/pii/S1386142516305558?via%3Dihub" TargetMode="External"/><Relationship Id="rId85" Type="http://schemas.openxmlformats.org/officeDocument/2006/relationships/hyperlink" Target="https://doi.org/10.1021/acs.energyfuels.0c03385" TargetMode="External"/><Relationship Id="rId12" Type="http://schemas.openxmlformats.org/officeDocument/2006/relationships/footer" Target="footer4.xml"/><Relationship Id="rId17" Type="http://schemas.openxmlformats.org/officeDocument/2006/relationships/image" Target="media/image5.jpeg"/><Relationship Id="rId33" Type="http://schemas.openxmlformats.org/officeDocument/2006/relationships/image" Target="media/image18.jpeg"/><Relationship Id="rId38" Type="http://schemas.openxmlformats.org/officeDocument/2006/relationships/image" Target="media/image22.png"/><Relationship Id="rId59" Type="http://schemas.openxmlformats.org/officeDocument/2006/relationships/hyperlink" Target="https://doi.org/10.1007/s13202-019-0633-x" TargetMode="External"/><Relationship Id="rId103" Type="http://schemas.openxmlformats.org/officeDocument/2006/relationships/hyperlink" Target="https://www.sciencedirect.com/science/article/pii/B9780123813732000375" TargetMode="External"/><Relationship Id="rId20" Type="http://schemas.openxmlformats.org/officeDocument/2006/relationships/image" Target="media/image8.jpeg"/><Relationship Id="rId41" Type="http://schemas.openxmlformats.org/officeDocument/2006/relationships/image" Target="media/image24.jpeg"/><Relationship Id="rId54" Type="http://schemas.openxmlformats.org/officeDocument/2006/relationships/hyperlink" Target="https://onepetro.org/SPEATCE/proceedings-abstract/07ATCE/All-07ATCE/SPE-113023-STU/143382" TargetMode="External"/><Relationship Id="rId62" Type="http://schemas.openxmlformats.org/officeDocument/2006/relationships/hyperlink" Target="https://doi.org/10.1021/ef200215y" TargetMode="External"/><Relationship Id="rId70" Type="http://schemas.openxmlformats.org/officeDocument/2006/relationships/hyperlink" Target="https://doi.org/10.1016/j.carres.2015.07.016" TargetMode="External"/><Relationship Id="rId75" Type="http://schemas.openxmlformats.org/officeDocument/2006/relationships/hyperlink" Target="https://doi.org/10.1021/acs.energyfuels.9b03109" TargetMode="External"/><Relationship Id="rId83" Type="http://schemas.openxmlformats.org/officeDocument/2006/relationships/hyperlink" Target="https://doi.org/10.1016/j.jtice.2017.09.014" TargetMode="External"/><Relationship Id="rId88" Type="http://schemas.openxmlformats.org/officeDocument/2006/relationships/hyperlink" Target="https://doi.org/10.1007/s00253-016-7980-z" TargetMode="External"/><Relationship Id="rId91" Type="http://schemas.openxmlformats.org/officeDocument/2006/relationships/hyperlink" Target="http://dx.doi.org/10.1016/j.petrol.2018.11.002" TargetMode="External"/><Relationship Id="rId96" Type="http://schemas.openxmlformats.org/officeDocument/2006/relationships/hyperlink" Target="https://doi.org/10.1016/B978-0-12-383848-3.00006-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chart" Target="charts/chart2.xml"/><Relationship Id="rId36" Type="http://schemas.openxmlformats.org/officeDocument/2006/relationships/image" Target="media/image20.jpeg"/><Relationship Id="rId49" Type="http://schemas.openxmlformats.org/officeDocument/2006/relationships/hyperlink" Target="https://www.osti.gov/biblio/5001552" TargetMode="External"/><Relationship Id="rId57" Type="http://schemas.openxmlformats.org/officeDocument/2006/relationships/hyperlink" Target="https://doi.org/10.2118/155679-MS" TargetMode="External"/><Relationship Id="rId10" Type="http://schemas.openxmlformats.org/officeDocument/2006/relationships/footer" Target="footer3.xml"/><Relationship Id="rId31" Type="http://schemas.openxmlformats.org/officeDocument/2006/relationships/image" Target="media/image16.png"/><Relationship Id="rId44" Type="http://schemas.openxmlformats.org/officeDocument/2006/relationships/chart" Target="charts/chart6.xml"/><Relationship Id="rId52" Type="http://schemas.openxmlformats.org/officeDocument/2006/relationships/hyperlink" Target="https://doi.org/10.1016/j.molliq.2020.114888" TargetMode="External"/><Relationship Id="rId60" Type="http://schemas.openxmlformats.org/officeDocument/2006/relationships/hyperlink" Target="https://doi.org/10.1007/s11706-019-0473-0" TargetMode="External"/><Relationship Id="rId65" Type="http://schemas.openxmlformats.org/officeDocument/2006/relationships/hyperlink" Target="https://doi.org/10.3390/resources7040075" TargetMode="External"/><Relationship Id="rId73" Type="http://schemas.openxmlformats.org/officeDocument/2006/relationships/hyperlink" Target="https://doi.org/10.1016/j.ces.2019.115222" TargetMode="External"/><Relationship Id="rId78" Type="http://schemas.openxmlformats.org/officeDocument/2006/relationships/hyperlink" Target="https://doi.org/10.1016/j.fuel.2018.10.105" TargetMode="External"/><Relationship Id="rId81" Type="http://schemas.openxmlformats.org/officeDocument/2006/relationships/hyperlink" Target="https://doi.org/10.1002/jsde.12442" TargetMode="External"/><Relationship Id="rId86" Type="http://schemas.openxmlformats.org/officeDocument/2006/relationships/hyperlink" Target="file:///Users/rishabhpandey/Desktop/Thesis/10.1088/1755-1315/665/1/012062" TargetMode="External"/><Relationship Id="rId94" Type="http://schemas.openxmlformats.org/officeDocument/2006/relationships/hyperlink" Target="https://www.sciencedirect.com/science/article/abs/pii/S0920410510002494" TargetMode="External"/><Relationship Id="rId99" Type="http://schemas.openxmlformats.org/officeDocument/2006/relationships/hyperlink" Target="https://doi.org/10.1007/s12182-011-0164-7" TargetMode="External"/><Relationship Id="rId101" Type="http://schemas.openxmlformats.org/officeDocument/2006/relationships/hyperlink" Target="https://doi.org/10.1016/j.petrol.2020.107591"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image" Target="media/image23.jpeg"/><Relationship Id="rId34" Type="http://schemas.openxmlformats.org/officeDocument/2006/relationships/image" Target="media/image19.jpeg"/><Relationship Id="rId50" Type="http://schemas.openxmlformats.org/officeDocument/2006/relationships/hyperlink" Target="https://doi.org/10.1021/acs.energyfuels.7b00573" TargetMode="External"/><Relationship Id="rId55" Type="http://schemas.openxmlformats.org/officeDocument/2006/relationships/hyperlink" Target="https://doi.org/10.1115/1.4036046" TargetMode="External"/><Relationship Id="rId76" Type="http://schemas.openxmlformats.org/officeDocument/2006/relationships/hyperlink" Target="file:///Users/rishabhpandey/Desktop/Thesis/10.1021/acs.energyfuels.9b03109" TargetMode="External"/><Relationship Id="rId97" Type="http://schemas.openxmlformats.org/officeDocument/2006/relationships/hyperlink" Target="https://doi.org/10.3906/biy-1406-44"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16/j.cis.2019.102061" TargetMode="External"/><Relationship Id="rId92" Type="http://schemas.openxmlformats.org/officeDocument/2006/relationships/hyperlink" Target="http://dx.doi.org/10.2307/3515635" TargetMode="External"/><Relationship Id="rId2" Type="http://schemas.openxmlformats.org/officeDocument/2006/relationships/numbering" Target="numbering.xml"/><Relationship Id="rId29" Type="http://schemas.openxmlformats.org/officeDocument/2006/relationships/chart" Target="charts/chart3.xml"/><Relationship Id="rId24" Type="http://schemas.openxmlformats.org/officeDocument/2006/relationships/image" Target="media/image12.png"/><Relationship Id="rId40" Type="http://schemas.openxmlformats.org/officeDocument/2006/relationships/chart" Target="charts/chart5.xml"/><Relationship Id="rId45" Type="http://schemas.openxmlformats.org/officeDocument/2006/relationships/chart" Target="charts/chart7.xml"/><Relationship Id="rId66" Type="http://schemas.openxmlformats.org/officeDocument/2006/relationships/hyperlink" Target="https://doi.org/10.1016/j.biortech.2014.11.069" TargetMode="External"/><Relationship Id="rId87" Type="http://schemas.openxmlformats.org/officeDocument/2006/relationships/hyperlink" Target="https://doi.org/10.1016/j.petrol.2020.107592" TargetMode="External"/><Relationship Id="rId61" Type="http://schemas.openxmlformats.org/officeDocument/2006/relationships/hyperlink" Target="https://chemistry-europe.onlinelibrary.wiley.com/doi/10.1002/cphc.200600042" TargetMode="External"/><Relationship Id="rId82" Type="http://schemas.openxmlformats.org/officeDocument/2006/relationships/hyperlink" Target="https://doi.org/10.1080/01932691.2013.785362" TargetMode="External"/><Relationship Id="rId19" Type="http://schemas.openxmlformats.org/officeDocument/2006/relationships/image" Target="media/image7.jpeg"/><Relationship Id="rId14" Type="http://schemas.openxmlformats.org/officeDocument/2006/relationships/image" Target="media/image2.jpeg"/><Relationship Id="rId30" Type="http://schemas.openxmlformats.org/officeDocument/2006/relationships/image" Target="media/image15.jpeg"/><Relationship Id="rId35" Type="http://schemas.openxmlformats.org/officeDocument/2006/relationships/chart" Target="charts/chart4.xml"/><Relationship Id="rId56" Type="http://schemas.openxmlformats.org/officeDocument/2006/relationships/hyperlink" Target="https://doi.org/10.1016/j.petsci.2021.11.021" TargetMode="External"/><Relationship Id="rId77" Type="http://schemas.openxmlformats.org/officeDocument/2006/relationships/hyperlink" Target="https://doi.org/10.1016/j.cis.2021.102467." TargetMode="External"/><Relationship Id="rId100" Type="http://schemas.openxmlformats.org/officeDocument/2006/relationships/hyperlink" Target="https://doi.org/10.1016/j.petrol.2020.107591" TargetMode="External"/><Relationship Id="rId105"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doi.org/10.1016/j.molliq.2018.11.080" TargetMode="External"/><Relationship Id="rId72" Type="http://schemas.openxmlformats.org/officeDocument/2006/relationships/hyperlink" Target="https://doi.org/10.3390/pr7120908" TargetMode="External"/><Relationship Id="rId93" Type="http://schemas.openxmlformats.org/officeDocument/2006/relationships/hyperlink" Target="https://doi.org/10.1016/B978-0-126-41750-0.X5001-4" TargetMode="External"/><Relationship Id="rId98" Type="http://schemas.openxmlformats.org/officeDocument/2006/relationships/hyperlink" Target="https://pubs.rsc.org/en/content/articlelanding/2015/RA/C5RA10694J" TargetMode="External"/><Relationship Id="rId3" Type="http://schemas.openxmlformats.org/officeDocument/2006/relationships/styles" Target="styles.xml"/><Relationship Id="rId25" Type="http://schemas.openxmlformats.org/officeDocument/2006/relationships/chart" Target="charts/chart1.xml"/><Relationship Id="rId46" Type="http://schemas.openxmlformats.org/officeDocument/2006/relationships/hyperlink" Target="https://doi.org/10.5599/jese.2012.0026" TargetMode="External"/><Relationship Id="rId67" Type="http://schemas.openxmlformats.org/officeDocument/2006/relationships/hyperlink" Target="http://dx.doi.org/10.2174/221155010566616082217025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rishabhpandey/Desktop/Adsorbtion%20Study/ICP%20Report.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Users\rishabhpandey\Desktop\Cimarex%20Project\Recovery%20Data_Cimarex.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Users\rishabhpandey\Desktop\Cimarex%20Project\Recovery%20Data_Cimarex.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Users\rishabhpandey\Desktop\Adsorbtion%20Study\UV%20Spectroscopy\Data.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Users/rishabhpandey/Desktop/Adsorbtion%20Study/UV%20Spectroscopy/Data.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file:////Users\rishabhpandey\Desktop\Cimarex%20Project\Recovery%20Data_Cimarex.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Users\rishabhpandey\Desktop\Cimarex%20Project\Recovery%20Data_Cimarex.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Analysis!$F$4</c:f>
              <c:strCache>
                <c:ptCount val="1"/>
                <c:pt idx="0">
                  <c:v>Pre</c:v>
                </c:pt>
              </c:strCache>
            </c:strRef>
          </c:tx>
          <c:spPr>
            <a:solidFill>
              <a:srgbClr val="4472C4"/>
            </a:solidFill>
            <a:ln w="6350">
              <a:solidFill>
                <a:schemeClr val="tx1"/>
              </a:solidFill>
            </a:ln>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2"/>
          </c:errBars>
          <c:cat>
            <c:strRef>
              <c:f>Analysis!$E$5:$E$8</c:f>
              <c:strCache>
                <c:ptCount val="4"/>
                <c:pt idx="0">
                  <c:v>Produced Brine</c:v>
                </c:pt>
                <c:pt idx="1">
                  <c:v>S1 - Amph</c:v>
                </c:pt>
                <c:pt idx="2">
                  <c:v>S2 - Amph</c:v>
                </c:pt>
                <c:pt idx="3">
                  <c:v>S3 - Bio</c:v>
                </c:pt>
              </c:strCache>
            </c:strRef>
          </c:cat>
          <c:val>
            <c:numRef>
              <c:f>Analysis!$F$5:$F$8</c:f>
              <c:numCache>
                <c:formatCode>0.0</c:formatCode>
                <c:ptCount val="4"/>
                <c:pt idx="0">
                  <c:v>7</c:v>
                </c:pt>
                <c:pt idx="1">
                  <c:v>6.9</c:v>
                </c:pt>
                <c:pt idx="2">
                  <c:v>7</c:v>
                </c:pt>
                <c:pt idx="3">
                  <c:v>7.1</c:v>
                </c:pt>
              </c:numCache>
            </c:numRef>
          </c:val>
          <c:extLst>
            <c:ext xmlns:c16="http://schemas.microsoft.com/office/drawing/2014/chart" uri="{C3380CC4-5D6E-409C-BE32-E72D297353CC}">
              <c16:uniqueId val="{00000000-F9EF-F145-B05B-EA7A43E75303}"/>
            </c:ext>
          </c:extLst>
        </c:ser>
        <c:dLbls>
          <c:showLegendKey val="0"/>
          <c:showVal val="0"/>
          <c:showCatName val="0"/>
          <c:showSerName val="0"/>
          <c:showPercent val="0"/>
          <c:showBubbleSize val="0"/>
        </c:dLbls>
        <c:gapWidth val="219"/>
        <c:overlap val="-27"/>
        <c:axId val="1478281744"/>
        <c:axId val="1"/>
      </c:barChart>
      <c:catAx>
        <c:axId val="14782817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ln>
                  <a:noFill/>
                </a:ln>
              </a:defRPr>
            </a:pPr>
            <a:endParaRPr lang="en-US"/>
          </a:p>
        </c:txPr>
        <c:crossAx val="1"/>
        <c:crosses val="autoZero"/>
        <c:auto val="1"/>
        <c:lblAlgn val="ctr"/>
        <c:lblOffset val="100"/>
        <c:noMultiLvlLbl val="0"/>
      </c:cat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pH </a:t>
                </a:r>
              </a:p>
            </c:rich>
          </c:tx>
          <c:overlay val="0"/>
        </c:title>
        <c:numFmt formatCode="0" sourceLinked="0"/>
        <c:majorTickMark val="none"/>
        <c:minorTickMark val="none"/>
        <c:tickLblPos val="nextTo"/>
        <c:spPr>
          <a:ln w="6350">
            <a:noFill/>
          </a:ln>
        </c:spPr>
        <c:txPr>
          <a:bodyPr rot="-60000000" vert="horz"/>
          <a:lstStyle/>
          <a:p>
            <a:pPr>
              <a:defRPr/>
            </a:pPr>
            <a:endParaRPr lang="en-US"/>
          </a:p>
        </c:txPr>
        <c:crossAx val="1478281744"/>
        <c:crosses val="autoZero"/>
        <c:crossBetween val="between"/>
        <c:majorUnit val="2"/>
      </c:valAx>
      <c:spPr>
        <a:noFill/>
        <a:ln w="9525">
          <a:solidFill>
            <a:schemeClr val="tx1"/>
          </a:solidFill>
        </a:ln>
      </c:spPr>
    </c:plotArea>
    <c:plotVisOnly val="1"/>
    <c:dispBlanksAs val="gap"/>
    <c:showDLblsOverMax val="0"/>
  </c:chart>
  <c:spPr>
    <a:solidFill>
      <a:schemeClr val="bg1"/>
    </a:solidFill>
    <a:ln w="9525" cap="flat" cmpd="sng" algn="ctr">
      <a:noFill/>
      <a:round/>
    </a:ln>
    <a:effectLst/>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solidFill>
            <a:ln w="0" cap="rnd">
              <a:solidFill>
                <a:schemeClr val="tx1"/>
              </a:solidFill>
              <a:round/>
            </a:ln>
            <a:effectLst/>
          </c:spPr>
          <c:invertIfNegative val="0"/>
          <c:dPt>
            <c:idx val="0"/>
            <c:invertIfNegative val="0"/>
            <c:bubble3D val="0"/>
            <c:spPr>
              <a:solidFill>
                <a:schemeClr val="accent1"/>
              </a:solidFill>
              <a:ln w="9525" cap="rnd">
                <a:solidFill>
                  <a:schemeClr val="tx1"/>
                </a:solidFill>
                <a:round/>
              </a:ln>
              <a:effectLst/>
            </c:spPr>
            <c:extLst>
              <c:ext xmlns:c16="http://schemas.microsoft.com/office/drawing/2014/chart" uri="{C3380CC4-5D6E-409C-BE32-E72D297353CC}">
                <c16:uniqueId val="{00000001-6B07-D849-8AA7-59F5B540DF1B}"/>
              </c:ext>
            </c:extLst>
          </c:dPt>
          <c:dPt>
            <c:idx val="1"/>
            <c:invertIfNegative val="0"/>
            <c:bubble3D val="0"/>
            <c:extLst>
              <c:ext xmlns:c16="http://schemas.microsoft.com/office/drawing/2014/chart" uri="{C3380CC4-5D6E-409C-BE32-E72D297353CC}">
                <c16:uniqueId val="{00000002-6B07-D849-8AA7-59F5B540DF1B}"/>
              </c:ext>
            </c:extLst>
          </c:dPt>
          <c:dPt>
            <c:idx val="2"/>
            <c:invertIfNegative val="0"/>
            <c:bubble3D val="0"/>
            <c:extLst>
              <c:ext xmlns:c16="http://schemas.microsoft.com/office/drawing/2014/chart" uri="{C3380CC4-5D6E-409C-BE32-E72D297353CC}">
                <c16:uniqueId val="{00000003-6B07-D849-8AA7-59F5B540DF1B}"/>
              </c:ext>
            </c:extLst>
          </c:dPt>
          <c:dPt>
            <c:idx val="3"/>
            <c:invertIfNegative val="0"/>
            <c:bubble3D val="0"/>
            <c:extLst>
              <c:ext xmlns:c16="http://schemas.microsoft.com/office/drawing/2014/chart" uri="{C3380CC4-5D6E-409C-BE32-E72D297353CC}">
                <c16:uniqueId val="{00000004-6B07-D849-8AA7-59F5B540DF1B}"/>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3"/>
            <c:spPr>
              <a:noFill/>
              <a:ln w="9525" cap="flat" cmpd="sng" algn="ctr">
                <a:solidFill>
                  <a:schemeClr val="tx1">
                    <a:lumMod val="65000"/>
                    <a:lumOff val="35000"/>
                  </a:schemeClr>
                </a:solidFill>
                <a:round/>
              </a:ln>
              <a:effectLst/>
            </c:spPr>
          </c:errBars>
          <c:cat>
            <c:strRef>
              <c:f>Sheet1!$K$7:$K$10</c:f>
              <c:strCache>
                <c:ptCount val="4"/>
                <c:pt idx="0">
                  <c:v>Produced Brine</c:v>
                </c:pt>
                <c:pt idx="1">
                  <c:v>Surf 1</c:v>
                </c:pt>
                <c:pt idx="2">
                  <c:v>Surf 2</c:v>
                </c:pt>
                <c:pt idx="3">
                  <c:v>Surf 3</c:v>
                </c:pt>
              </c:strCache>
            </c:strRef>
          </c:cat>
          <c:val>
            <c:numRef>
              <c:f>Sheet1!$N$7:$N$10</c:f>
              <c:numCache>
                <c:formatCode>0.0</c:formatCode>
                <c:ptCount val="4"/>
                <c:pt idx="0">
                  <c:v>17.329999999999998</c:v>
                </c:pt>
                <c:pt idx="1">
                  <c:v>3.6</c:v>
                </c:pt>
                <c:pt idx="2">
                  <c:v>4.4000000000000004</c:v>
                </c:pt>
                <c:pt idx="3">
                  <c:v>0.68500000000000005</c:v>
                </c:pt>
              </c:numCache>
            </c:numRef>
          </c:val>
          <c:extLst>
            <c:ext xmlns:c16="http://schemas.microsoft.com/office/drawing/2014/chart" uri="{C3380CC4-5D6E-409C-BE32-E72D297353CC}">
              <c16:uniqueId val="{00000005-6B07-D849-8AA7-59F5B540DF1B}"/>
            </c:ext>
          </c:extLst>
        </c:ser>
        <c:dLbls>
          <c:showLegendKey val="0"/>
          <c:showVal val="0"/>
          <c:showCatName val="0"/>
          <c:showSerName val="0"/>
          <c:showPercent val="0"/>
          <c:showBubbleSize val="0"/>
        </c:dLbls>
        <c:gapWidth val="150"/>
        <c:axId val="439921360"/>
        <c:axId val="439944112"/>
      </c:barChart>
      <c:catAx>
        <c:axId val="439921360"/>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9944112"/>
        <c:crosses val="autoZero"/>
        <c:auto val="1"/>
        <c:lblAlgn val="ctr"/>
        <c:lblOffset val="100"/>
        <c:noMultiLvlLbl val="0"/>
      </c:catAx>
      <c:valAx>
        <c:axId val="43994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IFT (mN/m)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9921360"/>
        <c:crosses val="autoZero"/>
        <c:crossBetween val="between"/>
        <c:majorUnit val="5"/>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b="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'Contact Angle'!$X$4</c:f>
              <c:strCache>
                <c:ptCount val="1"/>
                <c:pt idx="0">
                  <c:v>Post Oil Saturation</c:v>
                </c:pt>
              </c:strCache>
            </c:strRef>
          </c:tx>
          <c:spPr>
            <a:solidFill>
              <a:schemeClr val="accent1"/>
            </a:solidFill>
            <a:ln>
              <a:solidFill>
                <a:schemeClr val="tx1"/>
              </a:solidFill>
            </a:ln>
            <a:effectLst/>
          </c:spPr>
          <c:invertIfNegative val="0"/>
          <c:dLbls>
            <c:dLbl>
              <c:idx val="0"/>
              <c:layout>
                <c:manualLayout>
                  <c:x val="-2.674973353210736E-17"/>
                  <c:y val="-1.92081530723430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62-A644-8FF2-EAB24B5C686C}"/>
                </c:ext>
              </c:extLst>
            </c:dLbl>
            <c:dLbl>
              <c:idx val="1"/>
              <c:layout>
                <c:manualLayout>
                  <c:x val="-5.5864507925302486E-17"/>
                  <c:y val="-2.13324330038774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62-A644-8FF2-EAB24B5C686C}"/>
                </c:ext>
              </c:extLst>
            </c:dLbl>
            <c:dLbl>
              <c:idx val="2"/>
              <c:layout>
                <c:manualLayout>
                  <c:x val="2.9826473316451421E-3"/>
                  <c:y val="-3.261846586632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62-A644-8FF2-EAB24B5C686C}"/>
                </c:ext>
              </c:extLst>
            </c:dLbl>
            <c:dLbl>
              <c:idx val="3"/>
              <c:layout>
                <c:manualLayout>
                  <c:x val="-1.1172901585060497E-16"/>
                  <c:y val="-3.5439974081933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62-A644-8FF2-EAB24B5C686C}"/>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'Contact Angle'!$X$9:$X$12</c:f>
                <c:numCache>
                  <c:formatCode>General</c:formatCode>
                  <c:ptCount val="4"/>
                  <c:pt idx="0">
                    <c:v>4.3499999999999996</c:v>
                  </c:pt>
                  <c:pt idx="1">
                    <c:v>4.22</c:v>
                  </c:pt>
                  <c:pt idx="2">
                    <c:v>6.46</c:v>
                  </c:pt>
                  <c:pt idx="3">
                    <c:v>6.81</c:v>
                  </c:pt>
                </c:numCache>
              </c:numRef>
            </c:plus>
            <c:minus>
              <c:numRef>
                <c:f>'Contact Angle'!$X$9:$X$12</c:f>
                <c:numCache>
                  <c:formatCode>General</c:formatCode>
                  <c:ptCount val="4"/>
                  <c:pt idx="0">
                    <c:v>4.3499999999999996</c:v>
                  </c:pt>
                  <c:pt idx="1">
                    <c:v>4.22</c:v>
                  </c:pt>
                  <c:pt idx="2">
                    <c:v>6.46</c:v>
                  </c:pt>
                  <c:pt idx="3">
                    <c:v>6.81</c:v>
                  </c:pt>
                </c:numCache>
              </c:numRef>
            </c:minus>
            <c:spPr>
              <a:noFill/>
              <a:ln w="9525" cap="flat" cmpd="sng" algn="ctr">
                <a:solidFill>
                  <a:schemeClr val="tx1">
                    <a:lumMod val="65000"/>
                    <a:lumOff val="35000"/>
                  </a:schemeClr>
                </a:solidFill>
                <a:round/>
              </a:ln>
              <a:effectLst/>
            </c:spPr>
          </c:errBars>
          <c:cat>
            <c:strRef>
              <c:f>'Contact Angle'!$V$5:$V$8</c:f>
              <c:strCache>
                <c:ptCount val="4"/>
                <c:pt idx="0">
                  <c:v>Produced Water</c:v>
                </c:pt>
                <c:pt idx="1">
                  <c:v>Surf 1</c:v>
                </c:pt>
                <c:pt idx="2">
                  <c:v>Surf 2</c:v>
                </c:pt>
                <c:pt idx="3">
                  <c:v>Surf 3</c:v>
                </c:pt>
              </c:strCache>
            </c:strRef>
          </c:cat>
          <c:val>
            <c:numRef>
              <c:f>'Contact Angle'!$X$5:$X$8</c:f>
              <c:numCache>
                <c:formatCode>0</c:formatCode>
                <c:ptCount val="4"/>
                <c:pt idx="0">
                  <c:v>110.41</c:v>
                </c:pt>
                <c:pt idx="1">
                  <c:v>96.78</c:v>
                </c:pt>
                <c:pt idx="2">
                  <c:v>101.63</c:v>
                </c:pt>
                <c:pt idx="3">
                  <c:v>92</c:v>
                </c:pt>
              </c:numCache>
            </c:numRef>
          </c:val>
          <c:extLst>
            <c:ext xmlns:c16="http://schemas.microsoft.com/office/drawing/2014/chart" uri="{C3380CC4-5D6E-409C-BE32-E72D297353CC}">
              <c16:uniqueId val="{00000004-C462-A644-8FF2-EAB24B5C686C}"/>
            </c:ext>
          </c:extLst>
        </c:ser>
        <c:ser>
          <c:idx val="2"/>
          <c:order val="1"/>
          <c:tx>
            <c:strRef>
              <c:f>'Contact Angle'!$Y$4</c:f>
              <c:strCache>
                <c:ptCount val="1"/>
                <c:pt idx="0">
                  <c:v>Post Imbibition</c:v>
                </c:pt>
              </c:strCache>
            </c:strRef>
          </c:tx>
          <c:spPr>
            <a:solidFill>
              <a:schemeClr val="accent6"/>
            </a:solidFill>
            <a:ln>
              <a:solidFill>
                <a:schemeClr val="tx1"/>
              </a:solidFill>
            </a:ln>
            <a:effectLst/>
          </c:spPr>
          <c:invertIfNegative val="0"/>
          <c:dLbls>
            <c:dLbl>
              <c:idx val="0"/>
              <c:layout>
                <c:manualLayout>
                  <c:x val="1.4590932298533424E-3"/>
                  <c:y val="-4.1160328012163551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C462-A644-8FF2-EAB24B5C686C}"/>
                </c:ext>
              </c:extLst>
            </c:dLbl>
            <c:dLbl>
              <c:idx val="1"/>
              <c:layout>
                <c:manualLayout>
                  <c:x val="1.4590932298533157E-3"/>
                  <c:y val="-3.2928262409730916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C462-A644-8FF2-EAB24B5C686C}"/>
                </c:ext>
              </c:extLst>
            </c:dLbl>
            <c:dLbl>
              <c:idx val="2"/>
              <c:layout>
                <c:manualLayout>
                  <c:x val="-1.4590932298533693E-3"/>
                  <c:y val="-4.1160328012163579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C462-A644-8FF2-EAB24B5C686C}"/>
                </c:ext>
              </c:extLst>
            </c:dLbl>
            <c:dLbl>
              <c:idx val="3"/>
              <c:layout>
                <c:manualLayout>
                  <c:x val="-1.0699893412842944E-16"/>
                  <c:y val="-4.390434987964115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8-C462-A644-8FF2-EAB24B5C686C}"/>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errBars>
            <c:errBarType val="both"/>
            <c:errValType val="stdErr"/>
            <c:noEndCap val="0"/>
            <c:spPr>
              <a:noFill/>
              <a:ln w="9525" cap="flat" cmpd="sng" algn="ctr">
                <a:solidFill>
                  <a:schemeClr val="tx1">
                    <a:lumMod val="65000"/>
                    <a:lumOff val="35000"/>
                  </a:schemeClr>
                </a:solidFill>
                <a:round/>
              </a:ln>
              <a:effectLst/>
            </c:spPr>
          </c:errBars>
          <c:cat>
            <c:strRef>
              <c:f>'Contact Angle'!$V$5:$V$8</c:f>
              <c:strCache>
                <c:ptCount val="4"/>
                <c:pt idx="0">
                  <c:v>Produced Water</c:v>
                </c:pt>
                <c:pt idx="1">
                  <c:v>Surf 1</c:v>
                </c:pt>
                <c:pt idx="2">
                  <c:v>Surf 2</c:v>
                </c:pt>
                <c:pt idx="3">
                  <c:v>Surf 3</c:v>
                </c:pt>
              </c:strCache>
            </c:strRef>
          </c:cat>
          <c:val>
            <c:numRef>
              <c:f>'Contact Angle'!$Y$5:$Y$8</c:f>
              <c:numCache>
                <c:formatCode>0</c:formatCode>
                <c:ptCount val="4"/>
                <c:pt idx="0">
                  <c:v>94.49</c:v>
                </c:pt>
                <c:pt idx="1">
                  <c:v>72.819999999999993</c:v>
                </c:pt>
                <c:pt idx="2">
                  <c:v>75.86</c:v>
                </c:pt>
                <c:pt idx="3">
                  <c:v>55</c:v>
                </c:pt>
              </c:numCache>
            </c:numRef>
          </c:val>
          <c:extLst>
            <c:ext xmlns:c16="http://schemas.microsoft.com/office/drawing/2014/chart" uri="{C3380CC4-5D6E-409C-BE32-E72D297353CC}">
              <c16:uniqueId val="{00000009-C462-A644-8FF2-EAB24B5C686C}"/>
            </c:ext>
          </c:extLst>
        </c:ser>
        <c:dLbls>
          <c:showLegendKey val="0"/>
          <c:showVal val="0"/>
          <c:showCatName val="0"/>
          <c:showSerName val="0"/>
          <c:showPercent val="0"/>
          <c:showBubbleSize val="0"/>
        </c:dLbls>
        <c:gapWidth val="219"/>
        <c:overlap val="-27"/>
        <c:axId val="579325616"/>
        <c:axId val="579327296"/>
      </c:barChart>
      <c:catAx>
        <c:axId val="5793256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79327296"/>
        <c:crosses val="autoZero"/>
        <c:auto val="1"/>
        <c:lblAlgn val="ctr"/>
        <c:lblOffset val="100"/>
        <c:noMultiLvlLbl val="0"/>
      </c:catAx>
      <c:valAx>
        <c:axId val="579327296"/>
        <c:scaling>
          <c:orientation val="minMax"/>
          <c:max val="14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Contact Angle (</a:t>
                </a:r>
                <a:r>
                  <a:rPr lang="en-US" baseline="0"/>
                  <a:t>degree</a:t>
                </a:r>
                <a:r>
                  <a:rPr lang="en-US"/>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79325616"/>
        <c:crosses val="autoZero"/>
        <c:crossBetween val="between"/>
      </c:valAx>
      <c:spPr>
        <a:noFill/>
        <a:ln>
          <a:solidFill>
            <a:schemeClr val="tx1"/>
          </a:solidFill>
        </a:ln>
        <a:effectLst/>
      </c:spPr>
    </c:plotArea>
    <c:legend>
      <c:legendPos val="b"/>
      <c:layout>
        <c:manualLayout>
          <c:xMode val="edge"/>
          <c:yMode val="edge"/>
          <c:x val="0.26492553116397261"/>
          <c:y val="0.93272393299684797"/>
          <c:w val="0.47014893767205479"/>
          <c:h val="6.727606700315202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200" b="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tx1">
                  <a:lumMod val="15000"/>
                  <a:lumOff val="85000"/>
                </a:schemeClr>
              </a:solidFill>
            </a:ln>
            <a:effectLst/>
          </c:spPr>
          <c:invertIfNegative val="0"/>
          <c:dPt>
            <c:idx val="0"/>
            <c:invertIfNegative val="0"/>
            <c:bubble3D val="0"/>
            <c:spPr>
              <a:solidFill>
                <a:schemeClr val="accent6"/>
              </a:solidFill>
              <a:ln>
                <a:solidFill>
                  <a:schemeClr val="tx1"/>
                </a:solidFill>
              </a:ln>
              <a:effectLst/>
            </c:spPr>
            <c:extLst>
              <c:ext xmlns:c16="http://schemas.microsoft.com/office/drawing/2014/chart" uri="{C3380CC4-5D6E-409C-BE32-E72D297353CC}">
                <c16:uniqueId val="{00000001-E53C-A944-A2F5-F682708FC197}"/>
              </c:ext>
            </c:extLst>
          </c:dPt>
          <c:dPt>
            <c:idx val="1"/>
            <c:invertIfNegative val="0"/>
            <c:bubble3D val="0"/>
            <c:spPr>
              <a:solidFill>
                <a:schemeClr val="accent2"/>
              </a:solidFill>
              <a:ln>
                <a:solidFill>
                  <a:schemeClr val="tx1"/>
                </a:solidFill>
              </a:ln>
              <a:effectLst/>
            </c:spPr>
            <c:extLst>
              <c:ext xmlns:c16="http://schemas.microsoft.com/office/drawing/2014/chart" uri="{C3380CC4-5D6E-409C-BE32-E72D297353CC}">
                <c16:uniqueId val="{00000003-E53C-A944-A2F5-F682708FC197}"/>
              </c:ext>
            </c:extLst>
          </c:dPt>
          <c:dPt>
            <c:idx val="2"/>
            <c:invertIfNegative val="0"/>
            <c:bubble3D val="0"/>
            <c:spPr>
              <a:solidFill>
                <a:schemeClr val="accent4"/>
              </a:solidFill>
              <a:ln>
                <a:solidFill>
                  <a:schemeClr val="tx1"/>
                </a:solidFill>
              </a:ln>
              <a:effectLst/>
            </c:spPr>
            <c:extLst>
              <c:ext xmlns:c16="http://schemas.microsoft.com/office/drawing/2014/chart" uri="{C3380CC4-5D6E-409C-BE32-E72D297353CC}">
                <c16:uniqueId val="{00000005-E53C-A944-A2F5-F682708FC197}"/>
              </c:ext>
            </c:extLst>
          </c:dPt>
          <c:dLbls>
            <c:dLbl>
              <c:idx val="0"/>
              <c:layout>
                <c:manualLayout>
                  <c:x val="0"/>
                  <c:y val="-2.5252525252525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3C-A944-A2F5-F682708FC197}"/>
                </c:ext>
              </c:extLst>
            </c:dLbl>
            <c:dLbl>
              <c:idx val="1"/>
              <c:layout>
                <c:manualLayout>
                  <c:x val="0"/>
                  <c:y val="-2.5252525252525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3C-A944-A2F5-F682708FC197}"/>
                </c:ext>
              </c:extLst>
            </c:dLbl>
            <c:dLbl>
              <c:idx val="2"/>
              <c:layout>
                <c:manualLayout>
                  <c:x val="-1.1316741696017772E-16"/>
                  <c:y val="-1.26262626262626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3C-A944-A2F5-F682708FC197}"/>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6"/>
            <c:spPr>
              <a:noFill/>
              <a:ln w="9525" cap="flat" cmpd="sng" algn="ctr">
                <a:solidFill>
                  <a:schemeClr val="tx1">
                    <a:lumMod val="65000"/>
                    <a:lumOff val="35000"/>
                  </a:schemeClr>
                </a:solidFill>
                <a:round/>
              </a:ln>
              <a:effectLst/>
            </c:spPr>
          </c:errBars>
          <c:cat>
            <c:strRef>
              <c:f>'Adsorb Calc Repeat'!$F$15:$F$17</c:f>
              <c:strCache>
                <c:ptCount val="3"/>
                <c:pt idx="0">
                  <c:v>Surf 1</c:v>
                </c:pt>
                <c:pt idx="1">
                  <c:v>Surf 2</c:v>
                </c:pt>
                <c:pt idx="2">
                  <c:v>Surf 3</c:v>
                </c:pt>
              </c:strCache>
            </c:strRef>
          </c:cat>
          <c:val>
            <c:numRef>
              <c:f>'Adsorb Calc Repeat'!$L$15:$L$17</c:f>
              <c:numCache>
                <c:formatCode>0</c:formatCode>
                <c:ptCount val="3"/>
                <c:pt idx="0">
                  <c:v>15.489444444444448</c:v>
                </c:pt>
                <c:pt idx="1">
                  <c:v>17.256494845360823</c:v>
                </c:pt>
                <c:pt idx="2">
                  <c:v>8.9779310344827525</c:v>
                </c:pt>
              </c:numCache>
            </c:numRef>
          </c:val>
          <c:extLst>
            <c:ext xmlns:c16="http://schemas.microsoft.com/office/drawing/2014/chart" uri="{C3380CC4-5D6E-409C-BE32-E72D297353CC}">
              <c16:uniqueId val="{00000006-E53C-A944-A2F5-F682708FC197}"/>
            </c:ext>
          </c:extLst>
        </c:ser>
        <c:dLbls>
          <c:showLegendKey val="0"/>
          <c:showVal val="0"/>
          <c:showCatName val="0"/>
          <c:showSerName val="0"/>
          <c:showPercent val="0"/>
          <c:showBubbleSize val="0"/>
        </c:dLbls>
        <c:gapWidth val="219"/>
        <c:overlap val="-27"/>
        <c:axId val="1223564015"/>
        <c:axId val="1301446495"/>
      </c:barChart>
      <c:catAx>
        <c:axId val="1223564015"/>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01446495"/>
        <c:crosses val="autoZero"/>
        <c:auto val="1"/>
        <c:lblAlgn val="ctr"/>
        <c:lblOffset val="100"/>
        <c:noMultiLvlLbl val="0"/>
      </c:catAx>
      <c:valAx>
        <c:axId val="1301446495"/>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Surfactant Adsorption</a:t>
                </a:r>
              </a:p>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(mg/gm-rock)</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23564015"/>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'PW 14k + Surf 1'!$CO$11</c:f>
              <c:strCache>
                <c:ptCount val="1"/>
                <c:pt idx="0">
                  <c:v>Surf 1</c:v>
                </c:pt>
              </c:strCache>
            </c:strRef>
          </c:tx>
          <c:spPr>
            <a:solidFill>
              <a:schemeClr val="accent6"/>
            </a:solidFill>
            <a:ln>
              <a:solidFill>
                <a:schemeClr val="tx1"/>
              </a:solidFill>
            </a:ln>
            <a:effectLst/>
          </c:spPr>
          <c:invertIfNegative val="0"/>
          <c:dLbls>
            <c:dLbl>
              <c:idx val="2"/>
              <c:layout>
                <c:manualLayout>
                  <c:x val="0"/>
                  <c:y val="-1.31756747994470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64-7541-A71F-2E744AAFE8A8}"/>
                </c:ext>
              </c:extLst>
            </c:dLbl>
            <c:dLbl>
              <c:idx val="3"/>
              <c:layout>
                <c:manualLayout>
                  <c:x val="-1.3088095583018555E-16"/>
                  <c:y val="-1.31756747994470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64-7541-A71F-2E744AAFE8A8}"/>
                </c:ext>
              </c:extLst>
            </c:dLbl>
            <c:dLbl>
              <c:idx val="4"/>
              <c:layout>
                <c:manualLayout>
                  <c:x val="0"/>
                  <c:y val="-2.63513495988940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64-7541-A71F-2E744AAFE8A8}"/>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'PW 14k + Surf 1'!$CN$12:$CN$16</c:f>
              <c:strCache>
                <c:ptCount val="5"/>
                <c:pt idx="0">
                  <c:v>BS 1</c:v>
                </c:pt>
                <c:pt idx="1">
                  <c:v>BS 2</c:v>
                </c:pt>
                <c:pt idx="2">
                  <c:v>BS 3</c:v>
                </c:pt>
                <c:pt idx="3">
                  <c:v>BS 4</c:v>
                </c:pt>
                <c:pt idx="4">
                  <c:v>BS 5</c:v>
                </c:pt>
              </c:strCache>
            </c:strRef>
          </c:cat>
          <c:val>
            <c:numRef>
              <c:f>'PW 14k + Surf 1'!$CO$12:$CO$16</c:f>
              <c:numCache>
                <c:formatCode>0</c:formatCode>
                <c:ptCount val="5"/>
                <c:pt idx="0">
                  <c:v>7.7974074074074062</c:v>
                </c:pt>
                <c:pt idx="1">
                  <c:v>23.602962962962966</c:v>
                </c:pt>
                <c:pt idx="2">
                  <c:v>33.086296296296304</c:v>
                </c:pt>
                <c:pt idx="3">
                  <c:v>30.978888888888896</c:v>
                </c:pt>
                <c:pt idx="4">
                  <c:v>54.687222222222218</c:v>
                </c:pt>
              </c:numCache>
            </c:numRef>
          </c:val>
          <c:extLst>
            <c:ext xmlns:c16="http://schemas.microsoft.com/office/drawing/2014/chart" uri="{C3380CC4-5D6E-409C-BE32-E72D297353CC}">
              <c16:uniqueId val="{00000003-C864-7541-A71F-2E744AAFE8A8}"/>
            </c:ext>
          </c:extLst>
        </c:ser>
        <c:ser>
          <c:idx val="1"/>
          <c:order val="1"/>
          <c:tx>
            <c:strRef>
              <c:f>'PW 14k + Surf 1'!$CP$11</c:f>
              <c:strCache>
                <c:ptCount val="1"/>
                <c:pt idx="0">
                  <c:v>Surf 2</c:v>
                </c:pt>
              </c:strCache>
            </c:strRef>
          </c:tx>
          <c:spPr>
            <a:solidFill>
              <a:schemeClr val="accent2"/>
            </a:solidFill>
            <a:ln>
              <a:solidFill>
                <a:schemeClr val="tx1"/>
              </a:solidFill>
            </a:ln>
            <a:effectLst/>
          </c:spPr>
          <c:invertIfNegative val="0"/>
          <c:dLbls>
            <c:dLbl>
              <c:idx val="3"/>
              <c:layout>
                <c:manualLayout>
                  <c:x val="0"/>
                  <c:y val="-1.31756747994470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64-7541-A71F-2E744AAFE8A8}"/>
                </c:ext>
              </c:extLst>
            </c:dLbl>
            <c:dLbl>
              <c:idx val="4"/>
              <c:layout>
                <c:manualLayout>
                  <c:x val="-1.3088095583018555E-16"/>
                  <c:y val="-1.9763512199170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64-7541-A71F-2E744AAFE8A8}"/>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10"/>
            <c:spPr>
              <a:noFill/>
              <a:ln w="9525" cap="flat" cmpd="sng" algn="ctr">
                <a:solidFill>
                  <a:schemeClr val="tx1">
                    <a:lumMod val="65000"/>
                    <a:lumOff val="35000"/>
                  </a:schemeClr>
                </a:solidFill>
                <a:round/>
              </a:ln>
              <a:effectLst/>
            </c:spPr>
          </c:errBars>
          <c:cat>
            <c:strRef>
              <c:f>'PW 14k + Surf 1'!$CN$12:$CN$16</c:f>
              <c:strCache>
                <c:ptCount val="5"/>
                <c:pt idx="0">
                  <c:v>BS 1</c:v>
                </c:pt>
                <c:pt idx="1">
                  <c:v>BS 2</c:v>
                </c:pt>
                <c:pt idx="2">
                  <c:v>BS 3</c:v>
                </c:pt>
                <c:pt idx="3">
                  <c:v>BS 4</c:v>
                </c:pt>
                <c:pt idx="4">
                  <c:v>BS 5</c:v>
                </c:pt>
              </c:strCache>
            </c:strRef>
          </c:cat>
          <c:val>
            <c:numRef>
              <c:f>'PW 14k + Surf 1'!$CP$12:$CP$16</c:f>
              <c:numCache>
                <c:formatCode>0</c:formatCode>
                <c:ptCount val="5"/>
                <c:pt idx="0">
                  <c:v>9.3861340206185595</c:v>
                </c:pt>
                <c:pt idx="1">
                  <c:v>13.175567010309276</c:v>
                </c:pt>
                <c:pt idx="2">
                  <c:v>13.175567010309276</c:v>
                </c:pt>
                <c:pt idx="3">
                  <c:v>18.71396907216495</c:v>
                </c:pt>
                <c:pt idx="4">
                  <c:v>24.54386597938144</c:v>
                </c:pt>
              </c:numCache>
            </c:numRef>
          </c:val>
          <c:extLst>
            <c:ext xmlns:c16="http://schemas.microsoft.com/office/drawing/2014/chart" uri="{C3380CC4-5D6E-409C-BE32-E72D297353CC}">
              <c16:uniqueId val="{00000006-C864-7541-A71F-2E744AAFE8A8}"/>
            </c:ext>
          </c:extLst>
        </c:ser>
        <c:ser>
          <c:idx val="2"/>
          <c:order val="2"/>
          <c:tx>
            <c:strRef>
              <c:f>'PW 14k + Surf 1'!$CQ$11</c:f>
              <c:strCache>
                <c:ptCount val="1"/>
                <c:pt idx="0">
                  <c:v>Surf 3</c:v>
                </c:pt>
              </c:strCache>
            </c:strRef>
          </c:tx>
          <c:spPr>
            <a:solidFill>
              <a:schemeClr val="accent4"/>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15"/>
            <c:spPr>
              <a:noFill/>
              <a:ln w="9525" cap="flat" cmpd="sng" algn="ctr">
                <a:solidFill>
                  <a:schemeClr val="tx1">
                    <a:lumMod val="65000"/>
                    <a:lumOff val="35000"/>
                  </a:schemeClr>
                </a:solidFill>
                <a:round/>
              </a:ln>
              <a:effectLst/>
            </c:spPr>
          </c:errBars>
          <c:cat>
            <c:strRef>
              <c:f>'PW 14k + Surf 1'!$CN$12:$CN$16</c:f>
              <c:strCache>
                <c:ptCount val="5"/>
                <c:pt idx="0">
                  <c:v>BS 1</c:v>
                </c:pt>
                <c:pt idx="1">
                  <c:v>BS 2</c:v>
                </c:pt>
                <c:pt idx="2">
                  <c:v>BS 3</c:v>
                </c:pt>
                <c:pt idx="3">
                  <c:v>BS 4</c:v>
                </c:pt>
                <c:pt idx="4">
                  <c:v>BS 5</c:v>
                </c:pt>
              </c:strCache>
            </c:strRef>
          </c:cat>
          <c:val>
            <c:numRef>
              <c:f>'PW 14k + Surf 1'!$CQ$12:$CQ$16</c:f>
              <c:numCache>
                <c:formatCode>0</c:formatCode>
                <c:ptCount val="5"/>
                <c:pt idx="0">
                  <c:v>3</c:v>
                </c:pt>
                <c:pt idx="1">
                  <c:v>5</c:v>
                </c:pt>
                <c:pt idx="2">
                  <c:v>6.1154022988505803</c:v>
                </c:pt>
                <c:pt idx="3">
                  <c:v>6.3756321839080385</c:v>
                </c:pt>
                <c:pt idx="4">
                  <c:v>7.1563218390804488</c:v>
                </c:pt>
              </c:numCache>
            </c:numRef>
          </c:val>
          <c:extLst>
            <c:ext xmlns:c16="http://schemas.microsoft.com/office/drawing/2014/chart" uri="{C3380CC4-5D6E-409C-BE32-E72D297353CC}">
              <c16:uniqueId val="{00000007-C864-7541-A71F-2E744AAFE8A8}"/>
            </c:ext>
          </c:extLst>
        </c:ser>
        <c:dLbls>
          <c:showLegendKey val="0"/>
          <c:showVal val="0"/>
          <c:showCatName val="0"/>
          <c:showSerName val="0"/>
          <c:showPercent val="0"/>
          <c:showBubbleSize val="0"/>
        </c:dLbls>
        <c:gapWidth val="219"/>
        <c:overlap val="-27"/>
        <c:axId val="991233104"/>
        <c:axId val="991234752"/>
      </c:barChart>
      <c:catAx>
        <c:axId val="9912331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Sample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91234752"/>
        <c:crosses val="autoZero"/>
        <c:auto val="1"/>
        <c:lblAlgn val="ctr"/>
        <c:lblOffset val="100"/>
        <c:noMultiLvlLbl val="0"/>
      </c:catAx>
      <c:valAx>
        <c:axId val="991234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Amount of Surfactant </a:t>
                </a:r>
              </a:p>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(mg/gm-rock)</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91233104"/>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b="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77539916885389"/>
          <c:y val="0.12078715854962575"/>
          <c:w val="0.85020136154855641"/>
          <c:h val="0.59646592787012731"/>
        </c:manualLayout>
      </c:layout>
      <c:barChart>
        <c:barDir val="col"/>
        <c:grouping val="clustered"/>
        <c:varyColors val="0"/>
        <c:ser>
          <c:idx val="1"/>
          <c:order val="0"/>
          <c:tx>
            <c:v>PW, Pre-Surf 1</c:v>
          </c:tx>
          <c:spPr>
            <a:solidFill>
              <a:schemeClr val="accent1"/>
            </a:solidFill>
            <a:ln>
              <a:solidFill>
                <a:schemeClr val="tx1"/>
              </a:solidFill>
            </a:ln>
            <a:effectLst/>
          </c:spPr>
          <c:invertIfNegative val="0"/>
          <c:dLbls>
            <c:dLbl>
              <c:idx val="0"/>
              <c:dLblPos val="outEnd"/>
              <c:showLegendKey val="0"/>
              <c:showVal val="1"/>
              <c:showCatName val="0"/>
              <c:showSerName val="0"/>
              <c:showPercent val="0"/>
              <c:showBubbleSize val="0"/>
              <c:separator>, </c:separator>
              <c:extLst>
                <c:ext xmlns:c15="http://schemas.microsoft.com/office/drawing/2012/chart" uri="{CE6537A1-D6FC-4f65-9D91-7224C49458BB}">
                  <c15:layout>
                    <c:manualLayout>
                      <c:w val="6.4909366797900256E-2"/>
                      <c:h val="8.1830465636239899E-2"/>
                    </c:manualLayout>
                  </c15:layout>
                </c:ext>
                <c:ext xmlns:c16="http://schemas.microsoft.com/office/drawing/2014/chart" uri="{C3380CC4-5D6E-409C-BE32-E72D297353CC}">
                  <c16:uniqueId val="{00000000-C5D4-E94C-BEB4-ED2264F7EC58}"/>
                </c:ext>
              </c:extLst>
            </c:dLbl>
            <c:dLbl>
              <c:idx val="1"/>
              <c:layout>
                <c:manualLayout>
                  <c:x val="-1.7361727285618988E-3"/>
                  <c:y val="1.1595184405388941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4.5812144575678032E-2"/>
                      <c:h val="0.11578108292019053"/>
                    </c:manualLayout>
                  </c15:layout>
                </c:ext>
                <c:ext xmlns:c16="http://schemas.microsoft.com/office/drawing/2014/chart" uri="{C3380CC4-5D6E-409C-BE32-E72D297353CC}">
                  <c16:uniqueId val="{00000001-C5D4-E94C-BEB4-ED2264F7EC58}"/>
                </c:ext>
              </c:extLst>
            </c:dLbl>
            <c:dLbl>
              <c:idx val="2"/>
              <c:layout>
                <c:manualLayout>
                  <c:x val="2.4509803921568627E-3"/>
                  <c:y val="1.9587370818207252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6.164138490041686E-2"/>
                      <c:h val="0.10865978133369109"/>
                    </c:manualLayout>
                  </c15:layout>
                </c:ext>
                <c:ext xmlns:c16="http://schemas.microsoft.com/office/drawing/2014/chart" uri="{C3380CC4-5D6E-409C-BE32-E72D297353CC}">
                  <c16:uniqueId val="{00000002-C5D4-E94C-BEB4-ED2264F7EC58}"/>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'Recovery Comparison'!$AE$6:$AE$8</c:f>
                <c:numCache>
                  <c:formatCode>General</c:formatCode>
                  <c:ptCount val="3"/>
                  <c:pt idx="0">
                    <c:v>3.5260930888575457</c:v>
                  </c:pt>
                  <c:pt idx="1">
                    <c:v>3.6900369003690034</c:v>
                  </c:pt>
                  <c:pt idx="2">
                    <c:v>3.2959789057350037</c:v>
                  </c:pt>
                </c:numCache>
              </c:numRef>
            </c:plus>
            <c:minus>
              <c:numRef>
                <c:f>'Recovery Comparison'!$AE$6:$AE$8</c:f>
                <c:numCache>
                  <c:formatCode>General</c:formatCode>
                  <c:ptCount val="3"/>
                  <c:pt idx="0">
                    <c:v>3.5260930888575457</c:v>
                  </c:pt>
                  <c:pt idx="1">
                    <c:v>3.6900369003690034</c:v>
                  </c:pt>
                  <c:pt idx="2">
                    <c:v>3.2959789057350037</c:v>
                  </c:pt>
                </c:numCache>
              </c:numRef>
            </c:minus>
            <c:spPr>
              <a:noFill/>
              <a:ln w="9525" cap="flat" cmpd="sng" algn="ctr">
                <a:solidFill>
                  <a:schemeClr val="tx1">
                    <a:lumMod val="65000"/>
                    <a:lumOff val="35000"/>
                  </a:schemeClr>
                </a:solidFill>
                <a:round/>
              </a:ln>
              <a:effectLst/>
            </c:spPr>
          </c:errBars>
          <c:cat>
            <c:strRef>
              <c:f>'Recovery Comparison'!$AD$2:$AD$4</c:f>
              <c:strCache>
                <c:ptCount val="3"/>
                <c:pt idx="0">
                  <c:v>Sample 1</c:v>
                </c:pt>
                <c:pt idx="1">
                  <c:v>Sample 2</c:v>
                </c:pt>
                <c:pt idx="2">
                  <c:v>Sample 3</c:v>
                </c:pt>
              </c:strCache>
            </c:strRef>
          </c:cat>
          <c:val>
            <c:numRef>
              <c:f>'Recovery Comparison'!$AE$2:$AE$4</c:f>
              <c:numCache>
                <c:formatCode>0</c:formatCode>
                <c:ptCount val="3"/>
                <c:pt idx="0">
                  <c:v>54.910714285714292</c:v>
                </c:pt>
                <c:pt idx="1">
                  <c:v>52.233009708737868</c:v>
                </c:pt>
                <c:pt idx="2">
                  <c:v>55.121951219512191</c:v>
                </c:pt>
              </c:numCache>
            </c:numRef>
          </c:val>
          <c:extLst>
            <c:ext xmlns:c16="http://schemas.microsoft.com/office/drawing/2014/chart" uri="{C3380CC4-5D6E-409C-BE32-E72D297353CC}">
              <c16:uniqueId val="{00000003-C5D4-E94C-BEB4-ED2264F7EC58}"/>
            </c:ext>
          </c:extLst>
        </c:ser>
        <c:ser>
          <c:idx val="2"/>
          <c:order val="1"/>
          <c:tx>
            <c:v>Surf 1</c:v>
          </c:tx>
          <c:spPr>
            <a:solidFill>
              <a:schemeClr val="accent6"/>
            </a:solidFill>
            <a:ln>
              <a:solidFill>
                <a:schemeClr val="tx1"/>
              </a:solid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5.0711805555555559E-2"/>
                      <c:h val="0.11205259064839117"/>
                    </c:manualLayout>
                  </c15:layout>
                </c:ext>
                <c:ext xmlns:c16="http://schemas.microsoft.com/office/drawing/2014/chart" uri="{C3380CC4-5D6E-409C-BE32-E72D297353CC}">
                  <c16:uniqueId val="{00000004-C5D4-E94C-BEB4-ED2264F7EC58}"/>
                </c:ext>
              </c:extLst>
            </c:dLbl>
            <c:dLbl>
              <c:idx val="1"/>
              <c:layout>
                <c:manualLayout>
                  <c:x val="3.4722905730533685E-3"/>
                  <c:y val="-9.2592592592592587E-3"/>
                </c:manualLayout>
              </c:layout>
              <c:showLegendKey val="0"/>
              <c:showVal val="1"/>
              <c:showCatName val="0"/>
              <c:showSerName val="0"/>
              <c:showPercent val="0"/>
              <c:showBubbleSize val="0"/>
              <c:extLst>
                <c:ext xmlns:c15="http://schemas.microsoft.com/office/drawing/2012/chart" uri="{CE6537A1-D6FC-4f65-9D91-7224C49458BB}">
                  <c15:layout>
                    <c:manualLayout>
                      <c:w val="4.2031249999999992E-2"/>
                      <c:h val="0.10279333138913191"/>
                    </c:manualLayout>
                  </c15:layout>
                </c:ext>
                <c:ext xmlns:c16="http://schemas.microsoft.com/office/drawing/2014/chart" uri="{C3380CC4-5D6E-409C-BE32-E72D297353CC}">
                  <c16:uniqueId val="{00000005-C5D4-E94C-BEB4-ED2264F7EC58}"/>
                </c:ext>
              </c:extLst>
            </c:dLbl>
            <c:dLbl>
              <c:idx val="2"/>
              <c:layout>
                <c:manualLayout>
                  <c:x val="-1.736111111111111E-3"/>
                  <c:y val="3.0864197530863914E-3"/>
                </c:manualLayout>
              </c:layout>
              <c:showLegendKey val="0"/>
              <c:showVal val="1"/>
              <c:showCatName val="0"/>
              <c:showSerName val="0"/>
              <c:showPercent val="0"/>
              <c:showBubbleSize val="0"/>
              <c:extLst>
                <c:ext xmlns:c15="http://schemas.microsoft.com/office/drawing/2012/chart" uri="{CE6537A1-D6FC-4f65-9D91-7224C49458BB}">
                  <c15:layout>
                    <c:manualLayout>
                      <c:w val="5.2447916666666664E-2"/>
                      <c:h val="0.12131184990765043"/>
                    </c:manualLayout>
                  </c15:layout>
                </c:ext>
                <c:ext xmlns:c16="http://schemas.microsoft.com/office/drawing/2014/chart" uri="{C3380CC4-5D6E-409C-BE32-E72D297353CC}">
                  <c16:uniqueId val="{00000006-C5D4-E94C-BEB4-ED2264F7EC58}"/>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'Recovery Comparison'!$AF$6:$AF$8</c:f>
                <c:numCache>
                  <c:formatCode>General</c:formatCode>
                  <c:ptCount val="3"/>
                  <c:pt idx="0">
                    <c:v>3.4650034650034649</c:v>
                  </c:pt>
                  <c:pt idx="1">
                    <c:v>3.6363636363636367</c:v>
                  </c:pt>
                  <c:pt idx="2">
                    <c:v>3.6737692872887582</c:v>
                  </c:pt>
                </c:numCache>
              </c:numRef>
            </c:plus>
            <c:minus>
              <c:numRef>
                <c:f>'Recovery Comparison'!$AF$6:$AF$8</c:f>
                <c:numCache>
                  <c:formatCode>General</c:formatCode>
                  <c:ptCount val="3"/>
                  <c:pt idx="0">
                    <c:v>3.4650034650034649</c:v>
                  </c:pt>
                  <c:pt idx="1">
                    <c:v>3.6363636363636367</c:v>
                  </c:pt>
                  <c:pt idx="2">
                    <c:v>3.6737692872887582</c:v>
                  </c:pt>
                </c:numCache>
              </c:numRef>
            </c:minus>
            <c:spPr>
              <a:noFill/>
              <a:ln w="9525" cap="flat" cmpd="sng" algn="ctr">
                <a:solidFill>
                  <a:schemeClr val="tx1">
                    <a:lumMod val="65000"/>
                    <a:lumOff val="35000"/>
                  </a:schemeClr>
                </a:solidFill>
                <a:round/>
              </a:ln>
              <a:effectLst/>
            </c:spPr>
          </c:errBars>
          <c:cat>
            <c:strRef>
              <c:f>'Recovery Comparison'!$AD$2:$AD$4</c:f>
              <c:strCache>
                <c:ptCount val="3"/>
                <c:pt idx="0">
                  <c:v>Sample 1</c:v>
                </c:pt>
                <c:pt idx="1">
                  <c:v>Sample 2</c:v>
                </c:pt>
                <c:pt idx="2">
                  <c:v>Sample 3</c:v>
                </c:pt>
              </c:strCache>
            </c:strRef>
          </c:cat>
          <c:val>
            <c:numRef>
              <c:f>'Recovery Comparison'!$AF$2:$AF$4</c:f>
              <c:numCache>
                <c:formatCode>0</c:formatCode>
                <c:ptCount val="3"/>
                <c:pt idx="0">
                  <c:v>50.401427297056202</c:v>
                </c:pt>
                <c:pt idx="1">
                  <c:v>46.815165876777243</c:v>
                </c:pt>
                <c:pt idx="2">
                  <c:v>36.338546458141678</c:v>
                </c:pt>
              </c:numCache>
            </c:numRef>
          </c:val>
          <c:extLst>
            <c:ext xmlns:c16="http://schemas.microsoft.com/office/drawing/2014/chart" uri="{C3380CC4-5D6E-409C-BE32-E72D297353CC}">
              <c16:uniqueId val="{00000007-C5D4-E94C-BEB4-ED2264F7EC58}"/>
            </c:ext>
          </c:extLst>
        </c:ser>
        <c:ser>
          <c:idx val="0"/>
          <c:order val="2"/>
          <c:tx>
            <c:v>PW, Pre-Surf 2</c:v>
          </c:tx>
          <c:spPr>
            <a:solidFill>
              <a:schemeClr val="accent1"/>
            </a:solidFill>
            <a:ln>
              <a:solidFill>
                <a:schemeClr val="tx1"/>
              </a:solid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15:layout>
                    <c:manualLayout>
                      <c:w val="4.3767361111111104E-2"/>
                      <c:h val="0.10279333138913191"/>
                    </c:manualLayout>
                  </c15:layout>
                </c:ext>
                <c:ext xmlns:c16="http://schemas.microsoft.com/office/drawing/2014/chart" uri="{C3380CC4-5D6E-409C-BE32-E72D297353CC}">
                  <c16:uniqueId val="{00000008-C5D4-E94C-BEB4-ED2264F7EC58}"/>
                </c:ext>
              </c:extLst>
            </c:dLbl>
            <c:dLbl>
              <c:idx val="1"/>
              <c:showLegendKey val="0"/>
              <c:showVal val="1"/>
              <c:showCatName val="0"/>
              <c:showSerName val="0"/>
              <c:showPercent val="0"/>
              <c:showBubbleSize val="0"/>
              <c:extLst>
                <c:ext xmlns:c15="http://schemas.microsoft.com/office/drawing/2012/chart" uri="{CE6537A1-D6FC-4f65-9D91-7224C49458BB}">
                  <c15:layout>
                    <c:manualLayout>
                      <c:w val="4.3767361111111104E-2"/>
                      <c:h val="0.11205259064839117"/>
                    </c:manualLayout>
                  </c15:layout>
                </c:ext>
                <c:ext xmlns:c16="http://schemas.microsoft.com/office/drawing/2014/chart" uri="{C3380CC4-5D6E-409C-BE32-E72D297353CC}">
                  <c16:uniqueId val="{00000009-C5D4-E94C-BEB4-ED2264F7EC58}"/>
                </c:ext>
              </c:extLst>
            </c:dLbl>
            <c:dLbl>
              <c:idx val="2"/>
              <c:showLegendKey val="0"/>
              <c:showVal val="1"/>
              <c:showCatName val="0"/>
              <c:showSerName val="0"/>
              <c:showPercent val="0"/>
              <c:showBubbleSize val="0"/>
              <c:extLst>
                <c:ext xmlns:c15="http://schemas.microsoft.com/office/drawing/2012/chart" uri="{CE6537A1-D6FC-4f65-9D91-7224C49458BB}">
                  <c15:layout>
                    <c:manualLayout>
                      <c:w val="6.460069444444444E-2"/>
                      <c:h val="0.11513901040147757"/>
                    </c:manualLayout>
                  </c15:layout>
                </c:ext>
                <c:ext xmlns:c16="http://schemas.microsoft.com/office/drawing/2014/chart" uri="{C3380CC4-5D6E-409C-BE32-E72D297353CC}">
                  <c16:uniqueId val="{0000000A-C5D4-E94C-BEB4-ED2264F7EC58}"/>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'Recovery Comparison'!$AG$6:$AG$8</c:f>
                <c:numCache>
                  <c:formatCode>General</c:formatCode>
                  <c:ptCount val="3"/>
                  <c:pt idx="0">
                    <c:v>3.3579583613163195</c:v>
                  </c:pt>
                  <c:pt idx="1">
                    <c:v>3.4940600978336831</c:v>
                  </c:pt>
                  <c:pt idx="2">
                    <c:v>3.553660270078181</c:v>
                  </c:pt>
                </c:numCache>
              </c:numRef>
            </c:plus>
            <c:minus>
              <c:numRef>
                <c:f>'Recovery Comparison'!$AG$6:$AG$8</c:f>
                <c:numCache>
                  <c:formatCode>General</c:formatCode>
                  <c:ptCount val="3"/>
                  <c:pt idx="0">
                    <c:v>3.3579583613163195</c:v>
                  </c:pt>
                  <c:pt idx="1">
                    <c:v>3.4940600978336831</c:v>
                  </c:pt>
                  <c:pt idx="2">
                    <c:v>3.553660270078181</c:v>
                  </c:pt>
                </c:numCache>
              </c:numRef>
            </c:minus>
            <c:spPr>
              <a:noFill/>
              <a:ln w="9525" cap="flat" cmpd="sng" algn="ctr">
                <a:solidFill>
                  <a:schemeClr val="tx1">
                    <a:lumMod val="65000"/>
                    <a:lumOff val="35000"/>
                  </a:schemeClr>
                </a:solidFill>
                <a:round/>
              </a:ln>
              <a:effectLst/>
            </c:spPr>
          </c:errBars>
          <c:cat>
            <c:strRef>
              <c:f>'Recovery Comparison'!$AD$2:$AD$4</c:f>
              <c:strCache>
                <c:ptCount val="3"/>
                <c:pt idx="0">
                  <c:v>Sample 1</c:v>
                </c:pt>
                <c:pt idx="1">
                  <c:v>Sample 2</c:v>
                </c:pt>
                <c:pt idx="2">
                  <c:v>Sample 3</c:v>
                </c:pt>
              </c:strCache>
            </c:strRef>
          </c:cat>
          <c:val>
            <c:numRef>
              <c:f>'Recovery Comparison'!$AG$2:$AG$4</c:f>
              <c:numCache>
                <c:formatCode>0</c:formatCode>
                <c:ptCount val="3"/>
                <c:pt idx="0">
                  <c:v>56.113360323886639</c:v>
                </c:pt>
                <c:pt idx="1">
                  <c:v>55.200655200655206</c:v>
                </c:pt>
                <c:pt idx="2">
                  <c:v>52.881355932203391</c:v>
                </c:pt>
              </c:numCache>
            </c:numRef>
          </c:val>
          <c:extLst>
            <c:ext xmlns:c16="http://schemas.microsoft.com/office/drawing/2014/chart" uri="{C3380CC4-5D6E-409C-BE32-E72D297353CC}">
              <c16:uniqueId val="{0000000B-C5D4-E94C-BEB4-ED2264F7EC58}"/>
            </c:ext>
          </c:extLst>
        </c:ser>
        <c:ser>
          <c:idx val="3"/>
          <c:order val="3"/>
          <c:tx>
            <c:v>Surf 2</c:v>
          </c:tx>
          <c:spPr>
            <a:solidFill>
              <a:schemeClr val="accent2"/>
            </a:solidFill>
            <a:ln>
              <a:solidFill>
                <a:schemeClr val="tx1"/>
              </a:solidFill>
            </a:ln>
          </c:spPr>
          <c:invertIfNegative val="0"/>
          <c:dLbls>
            <c:dLbl>
              <c:idx val="0"/>
              <c:layout>
                <c:manualLayout>
                  <c:x val="0"/>
                  <c:y val="-1.2466237274049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5D4-E94C-BEB4-ED2264F7EC58}"/>
                </c:ext>
              </c:extLst>
            </c:dLbl>
            <c:dLbl>
              <c:idx val="1"/>
              <c:layout>
                <c:manualLayout>
                  <c:x val="0"/>
                  <c:y val="-1.66216496987325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5D4-E94C-BEB4-ED2264F7EC58}"/>
                </c:ext>
              </c:extLst>
            </c:dLbl>
            <c:dLbl>
              <c:idx val="2"/>
              <c:layout>
                <c:manualLayout>
                  <c:x val="-1.7973648576028225E-16"/>
                  <c:y val="-2.07770621234157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5D4-E94C-BEB4-ED2264F7EC5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'Recovery Comparison'!$AH$6:$AH$8</c:f>
                <c:numCache>
                  <c:formatCode>General</c:formatCode>
                  <c:ptCount val="3"/>
                  <c:pt idx="0">
                    <c:v>3.6205648081100654</c:v>
                  </c:pt>
                  <c:pt idx="1">
                    <c:v>3.5063113604488083</c:v>
                  </c:pt>
                  <c:pt idx="2">
                    <c:v>3.5186488388458828</c:v>
                  </c:pt>
                </c:numCache>
              </c:numRef>
            </c:plus>
            <c:minus>
              <c:numRef>
                <c:f>'Recovery Comparison'!$AH$6:$AH$8</c:f>
                <c:numCache>
                  <c:formatCode>General</c:formatCode>
                  <c:ptCount val="3"/>
                  <c:pt idx="0">
                    <c:v>3.6205648081100654</c:v>
                  </c:pt>
                  <c:pt idx="1">
                    <c:v>3.5063113604488083</c:v>
                  </c:pt>
                  <c:pt idx="2">
                    <c:v>3.5186488388458828</c:v>
                  </c:pt>
                </c:numCache>
              </c:numRef>
            </c:minus>
            <c:spPr>
              <a:noFill/>
              <a:ln w="9525" cap="flat" cmpd="sng" algn="ctr">
                <a:solidFill>
                  <a:schemeClr val="tx1">
                    <a:lumMod val="65000"/>
                    <a:lumOff val="35000"/>
                  </a:schemeClr>
                </a:solidFill>
                <a:round/>
              </a:ln>
              <a:effectLst/>
            </c:spPr>
          </c:errBars>
          <c:cat>
            <c:strRef>
              <c:f>'Recovery Comparison'!$AD$2:$AD$4</c:f>
              <c:strCache>
                <c:ptCount val="3"/>
                <c:pt idx="0">
                  <c:v>Sample 1</c:v>
                </c:pt>
                <c:pt idx="1">
                  <c:v>Sample 2</c:v>
                </c:pt>
                <c:pt idx="2">
                  <c:v>Sample 3</c:v>
                </c:pt>
              </c:strCache>
            </c:strRef>
          </c:cat>
          <c:val>
            <c:numRef>
              <c:f>'Recovery Comparison'!$AH$2:$AH$4</c:f>
              <c:numCache>
                <c:formatCode>0</c:formatCode>
                <c:ptCount val="3"/>
                <c:pt idx="0">
                  <c:v>38.902538902538907</c:v>
                </c:pt>
                <c:pt idx="1">
                  <c:v>45.937743190661486</c:v>
                </c:pt>
                <c:pt idx="2">
                  <c:v>37.182506307821697</c:v>
                </c:pt>
              </c:numCache>
            </c:numRef>
          </c:val>
          <c:extLst>
            <c:ext xmlns:c16="http://schemas.microsoft.com/office/drawing/2014/chart" uri="{C3380CC4-5D6E-409C-BE32-E72D297353CC}">
              <c16:uniqueId val="{0000000F-C5D4-E94C-BEB4-ED2264F7EC58}"/>
            </c:ext>
          </c:extLst>
        </c:ser>
        <c:ser>
          <c:idx val="4"/>
          <c:order val="4"/>
          <c:tx>
            <c:v>PW, Pre Surf 3</c:v>
          </c:tx>
          <c:spPr>
            <a:solidFill>
              <a:schemeClr val="accent1"/>
            </a:solidFill>
            <a:ln>
              <a:solidFill>
                <a:schemeClr val="tx1"/>
              </a:solidFill>
            </a:ln>
          </c:spPr>
          <c:invertIfNegative val="0"/>
          <c:dLbls>
            <c:dLbl>
              <c:idx val="0"/>
              <c:layout>
                <c:manualLayout>
                  <c:x val="2.0488269336529771E-3"/>
                  <c:y val="-1.96443344270054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5D4-E94C-BEB4-ED2264F7EC58}"/>
                </c:ext>
              </c:extLst>
            </c:dLbl>
            <c:dLbl>
              <c:idx val="1"/>
              <c:layout>
                <c:manualLayout>
                  <c:x val="0"/>
                  <c:y val="-2.2918390164839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5D4-E94C-BEB4-ED2264F7EC58}"/>
                </c:ext>
              </c:extLst>
            </c:dLbl>
            <c:dLbl>
              <c:idx val="2"/>
              <c:layout>
                <c:manualLayout>
                  <c:x val="-1.5024557281820961E-16"/>
                  <c:y val="-2.2918390164839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5D4-E94C-BEB4-ED2264F7EC5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7"/>
            <c:spPr>
              <a:ln>
                <a:solidFill>
                  <a:schemeClr val="tx1">
                    <a:lumMod val="65000"/>
                    <a:lumOff val="35000"/>
                  </a:schemeClr>
                </a:solidFill>
              </a:ln>
            </c:spPr>
          </c:errBars>
          <c:cat>
            <c:strRef>
              <c:f>'Recovery Comparison'!$AD$2:$AD$4</c:f>
              <c:strCache>
                <c:ptCount val="3"/>
                <c:pt idx="0">
                  <c:v>Sample 1</c:v>
                </c:pt>
                <c:pt idx="1">
                  <c:v>Sample 2</c:v>
                </c:pt>
                <c:pt idx="2">
                  <c:v>Sample 3</c:v>
                </c:pt>
              </c:strCache>
            </c:strRef>
          </c:cat>
          <c:val>
            <c:numRef>
              <c:f>'Recovery Comparison'!$AI$2:$AI$4</c:f>
              <c:numCache>
                <c:formatCode>0</c:formatCode>
                <c:ptCount val="3"/>
                <c:pt idx="0">
                  <c:v>50</c:v>
                </c:pt>
                <c:pt idx="1">
                  <c:v>55</c:v>
                </c:pt>
                <c:pt idx="2">
                  <c:v>55</c:v>
                </c:pt>
              </c:numCache>
            </c:numRef>
          </c:val>
          <c:extLst>
            <c:ext xmlns:c16="http://schemas.microsoft.com/office/drawing/2014/chart" uri="{C3380CC4-5D6E-409C-BE32-E72D297353CC}">
              <c16:uniqueId val="{00000013-C5D4-E94C-BEB4-ED2264F7EC58}"/>
            </c:ext>
          </c:extLst>
        </c:ser>
        <c:ser>
          <c:idx val="5"/>
          <c:order val="5"/>
          <c:tx>
            <c:v>Surf 3</c:v>
          </c:tx>
          <c:spPr>
            <a:solidFill>
              <a:schemeClr val="accent4"/>
            </a:solidFill>
            <a:ln>
              <a:solidFill>
                <a:schemeClr val="tx1"/>
              </a:solidFill>
            </a:ln>
          </c:spPr>
          <c:invertIfNegative val="0"/>
          <c:dLbls>
            <c:dLbl>
              <c:idx val="0"/>
              <c:layout>
                <c:manualLayout>
                  <c:x val="0"/>
                  <c:y val="-1.30962229513369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5D4-E94C-BEB4-ED2264F7EC58}"/>
                </c:ext>
              </c:extLst>
            </c:dLbl>
            <c:dLbl>
              <c:idx val="1"/>
              <c:layout>
                <c:manualLayout>
                  <c:x val="0"/>
                  <c:y val="-1.6370278689171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C5D4-E94C-BEB4-ED2264F7EC58}"/>
                </c:ext>
              </c:extLst>
            </c:dLbl>
            <c:dLbl>
              <c:idx val="2"/>
              <c:layout>
                <c:manualLayout>
                  <c:x val="0"/>
                  <c:y val="-2.2918390164839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C5D4-E94C-BEB4-ED2264F7EC5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6"/>
            <c:spPr>
              <a:ln>
                <a:solidFill>
                  <a:schemeClr val="tx1">
                    <a:lumMod val="65000"/>
                    <a:lumOff val="35000"/>
                  </a:schemeClr>
                </a:solidFill>
              </a:ln>
            </c:spPr>
          </c:errBars>
          <c:cat>
            <c:strRef>
              <c:f>'Recovery Comparison'!$AD$2:$AD$4</c:f>
              <c:strCache>
                <c:ptCount val="3"/>
                <c:pt idx="0">
                  <c:v>Sample 1</c:v>
                </c:pt>
                <c:pt idx="1">
                  <c:v>Sample 2</c:v>
                </c:pt>
                <c:pt idx="2">
                  <c:v>Sample 3</c:v>
                </c:pt>
              </c:strCache>
            </c:strRef>
          </c:cat>
          <c:val>
            <c:numRef>
              <c:f>'Recovery Comparison'!$AJ$2:$AJ$4</c:f>
              <c:numCache>
                <c:formatCode>0</c:formatCode>
                <c:ptCount val="3"/>
                <c:pt idx="0">
                  <c:v>55</c:v>
                </c:pt>
                <c:pt idx="1">
                  <c:v>68</c:v>
                </c:pt>
                <c:pt idx="2">
                  <c:v>59</c:v>
                </c:pt>
              </c:numCache>
            </c:numRef>
          </c:val>
          <c:extLst>
            <c:ext xmlns:c16="http://schemas.microsoft.com/office/drawing/2014/chart" uri="{C3380CC4-5D6E-409C-BE32-E72D297353CC}">
              <c16:uniqueId val="{00000017-C5D4-E94C-BEB4-ED2264F7EC58}"/>
            </c:ext>
          </c:extLst>
        </c:ser>
        <c:dLbls>
          <c:showLegendKey val="0"/>
          <c:showVal val="0"/>
          <c:showCatName val="0"/>
          <c:showSerName val="0"/>
          <c:showPercent val="0"/>
          <c:showBubbleSize val="0"/>
        </c:dLbls>
        <c:gapWidth val="219"/>
        <c:overlap val="-27"/>
        <c:axId val="1594219263"/>
        <c:axId val="1594220911"/>
      </c:barChart>
      <c:catAx>
        <c:axId val="159421926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1594220911"/>
        <c:crosses val="autoZero"/>
        <c:auto val="1"/>
        <c:lblAlgn val="ctr"/>
        <c:lblOffset val="100"/>
        <c:noMultiLvlLbl val="0"/>
      </c:catAx>
      <c:valAx>
        <c:axId val="1594220911"/>
        <c:scaling>
          <c:orientation val="minMax"/>
          <c:max val="80"/>
          <c:min val="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 Oil Recovery (%)</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en-US"/>
          </a:p>
        </c:txPr>
        <c:crossAx val="1594219263"/>
        <c:crosses val="autoZero"/>
        <c:crossBetween val="between"/>
        <c:majorUnit val="10"/>
      </c:valAx>
      <c:spPr>
        <a:noFill/>
        <a:ln>
          <a:solidFill>
            <a:schemeClr val="tx1"/>
          </a:solidFill>
        </a:ln>
        <a:effectLst/>
      </c:spPr>
    </c:plotArea>
    <c:legend>
      <c:legendPos val="b"/>
      <c:layout>
        <c:manualLayout>
          <c:xMode val="edge"/>
          <c:yMode val="edge"/>
          <c:x val="0.10161269284228909"/>
          <c:y val="0.86119292669904801"/>
          <c:w val="0.8489267615354199"/>
          <c:h val="6.3142614000945091E-2"/>
        </c:manualLayout>
      </c:layout>
      <c:overlay val="0"/>
    </c:legend>
    <c:plotVisOnly val="1"/>
    <c:dispBlanksAs val="gap"/>
    <c:showDLblsOverMax val="0"/>
  </c:chart>
  <c:spPr>
    <a:noFill/>
    <a:ln>
      <a:noFill/>
    </a:ln>
    <a:effectLst/>
  </c:spPr>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'Recovery Comparison'!$AI$51</c:f>
              <c:strCache>
                <c:ptCount val="1"/>
              </c:strCache>
            </c:strRef>
          </c:tx>
          <c:spPr>
            <a:solidFill>
              <a:schemeClr val="accent1"/>
            </a:solidFill>
            <a:ln>
              <a:solidFill>
                <a:schemeClr val="tx1"/>
              </a:solidFill>
            </a:ln>
            <a:effectLst/>
          </c:spPr>
          <c:invertIfNegative val="0"/>
          <c:dPt>
            <c:idx val="0"/>
            <c:invertIfNegative val="0"/>
            <c:bubble3D val="0"/>
            <c:extLst>
              <c:ext xmlns:c16="http://schemas.microsoft.com/office/drawing/2014/chart" uri="{C3380CC4-5D6E-409C-BE32-E72D297353CC}">
                <c16:uniqueId val="{00000000-F010-4040-871D-4960CFAC302B}"/>
              </c:ext>
            </c:extLst>
          </c:dPt>
          <c:dPt>
            <c:idx val="1"/>
            <c:invertIfNegative val="0"/>
            <c:bubble3D val="0"/>
            <c:spPr>
              <a:solidFill>
                <a:schemeClr val="accent6"/>
              </a:solidFill>
              <a:ln>
                <a:solidFill>
                  <a:schemeClr val="tx1"/>
                </a:solidFill>
              </a:ln>
              <a:effectLst/>
            </c:spPr>
            <c:extLst>
              <c:ext xmlns:c16="http://schemas.microsoft.com/office/drawing/2014/chart" uri="{C3380CC4-5D6E-409C-BE32-E72D297353CC}">
                <c16:uniqueId val="{00000002-F010-4040-871D-4960CFAC302B}"/>
              </c:ext>
            </c:extLst>
          </c:dPt>
          <c:dPt>
            <c:idx val="2"/>
            <c:invertIfNegative val="0"/>
            <c:bubble3D val="0"/>
            <c:spPr>
              <a:solidFill>
                <a:schemeClr val="accent2"/>
              </a:solidFill>
              <a:ln>
                <a:solidFill>
                  <a:schemeClr val="tx1"/>
                </a:solidFill>
              </a:ln>
              <a:effectLst/>
            </c:spPr>
            <c:extLst>
              <c:ext xmlns:c16="http://schemas.microsoft.com/office/drawing/2014/chart" uri="{C3380CC4-5D6E-409C-BE32-E72D297353CC}">
                <c16:uniqueId val="{00000004-F010-4040-871D-4960CFAC302B}"/>
              </c:ext>
            </c:extLst>
          </c:dPt>
          <c:dPt>
            <c:idx val="3"/>
            <c:invertIfNegative val="0"/>
            <c:bubble3D val="0"/>
            <c:spPr>
              <a:solidFill>
                <a:schemeClr val="accent4"/>
              </a:solidFill>
              <a:ln>
                <a:solidFill>
                  <a:schemeClr val="tx1"/>
                </a:solidFill>
              </a:ln>
              <a:effectLst/>
            </c:spPr>
            <c:extLst>
              <c:ext xmlns:c16="http://schemas.microsoft.com/office/drawing/2014/chart" uri="{C3380CC4-5D6E-409C-BE32-E72D297353CC}">
                <c16:uniqueId val="{00000006-F010-4040-871D-4960CFAC302B}"/>
              </c:ext>
            </c:extLst>
          </c:dPt>
          <c:dLbls>
            <c:dLbl>
              <c:idx val="0"/>
              <c:layout>
                <c:manualLayout>
                  <c:x val="-3.4406113618900425E-17"/>
                  <c:y val="-5.25811550796293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10-4040-871D-4960CFAC302B}"/>
                </c:ext>
              </c:extLst>
            </c:dLbl>
            <c:dLbl>
              <c:idx val="1"/>
              <c:layout>
                <c:manualLayout>
                  <c:x val="0"/>
                  <c:y val="-3.8559513725061556E-2"/>
                </c:manualLayout>
              </c:layout>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010-4040-871D-4960CFAC302B}"/>
                </c:ext>
              </c:extLst>
            </c:dLbl>
            <c:dLbl>
              <c:idx val="2"/>
              <c:layout>
                <c:manualLayout>
                  <c:x val="0"/>
                  <c:y val="-4.90757447409874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10-4040-871D-4960CFAC302B}"/>
                </c:ext>
              </c:extLst>
            </c:dLbl>
            <c:dLbl>
              <c:idx val="3"/>
              <c:layout>
                <c:manualLayout>
                  <c:x val="0"/>
                  <c:y val="-6.3097386095555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010-4040-871D-4960CFAC302B}"/>
                </c:ext>
              </c:extLst>
            </c:dLbl>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percentage"/>
            <c:noEndCap val="0"/>
            <c:val val="10"/>
            <c:spPr>
              <a:noFill/>
              <a:ln w="9525" cap="flat" cmpd="sng" algn="ctr">
                <a:solidFill>
                  <a:schemeClr val="tx1">
                    <a:lumMod val="65000"/>
                    <a:lumOff val="35000"/>
                  </a:schemeClr>
                </a:solidFill>
                <a:round/>
              </a:ln>
              <a:effectLst/>
            </c:spPr>
          </c:errBars>
          <c:cat>
            <c:strRef>
              <c:f>'Recovery Comparison'!$AQ$2:$AQ$5</c:f>
              <c:strCache>
                <c:ptCount val="4"/>
                <c:pt idx="0">
                  <c:v>Produced Water</c:v>
                </c:pt>
                <c:pt idx="1">
                  <c:v>Surf 1</c:v>
                </c:pt>
                <c:pt idx="2">
                  <c:v>Surf 2</c:v>
                </c:pt>
                <c:pt idx="3">
                  <c:v>Surf 3</c:v>
                </c:pt>
              </c:strCache>
            </c:strRef>
          </c:cat>
          <c:val>
            <c:numRef>
              <c:f>'Recovery Comparison'!$AR$2:$AR$5</c:f>
              <c:numCache>
                <c:formatCode>General</c:formatCode>
                <c:ptCount val="4"/>
                <c:pt idx="0">
                  <c:v>54</c:v>
                </c:pt>
                <c:pt idx="1">
                  <c:v>45</c:v>
                </c:pt>
                <c:pt idx="2">
                  <c:v>41</c:v>
                </c:pt>
                <c:pt idx="3">
                  <c:v>61</c:v>
                </c:pt>
              </c:numCache>
            </c:numRef>
          </c:val>
          <c:extLst>
            <c:ext xmlns:c16="http://schemas.microsoft.com/office/drawing/2014/chart" uri="{C3380CC4-5D6E-409C-BE32-E72D297353CC}">
              <c16:uniqueId val="{00000007-F010-4040-871D-4960CFAC302B}"/>
            </c:ext>
          </c:extLst>
        </c:ser>
        <c:dLbls>
          <c:showLegendKey val="0"/>
          <c:showVal val="0"/>
          <c:showCatName val="0"/>
          <c:showSerName val="0"/>
          <c:showPercent val="0"/>
          <c:showBubbleSize val="0"/>
        </c:dLbls>
        <c:gapWidth val="219"/>
        <c:overlap val="-27"/>
        <c:axId val="548773311"/>
        <c:axId val="548775071"/>
      </c:barChart>
      <c:catAx>
        <c:axId val="54877331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8775071"/>
        <c:crosses val="autoZero"/>
        <c:auto val="1"/>
        <c:lblAlgn val="ctr"/>
        <c:lblOffset val="100"/>
        <c:noMultiLvlLbl val="0"/>
      </c:catAx>
      <c:valAx>
        <c:axId val="548775071"/>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Oil Recovery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8773311"/>
        <c:crosses val="autoZero"/>
        <c:crossBetween val="between"/>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sz="1200" b="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06F309-23FC-A242-951A-E648D5C0697F}">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531E1-8E1A-BF46-B1B3-F709ED92D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79</Pages>
  <Words>15962</Words>
  <Characters>92421</Characters>
  <Application>Microsoft Office Word</Application>
  <DocSecurity>0</DocSecurity>
  <Lines>1925</Lines>
  <Paragraphs>881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Pandey, Rishabh</dc:creator>
  <cp:keywords/>
  <dc:description/>
  <cp:lastModifiedBy>Pandey, Rishabh</cp:lastModifiedBy>
  <cp:revision>162</cp:revision>
  <dcterms:created xsi:type="dcterms:W3CDTF">2022-12-08T20:13:00Z</dcterms:created>
  <dcterms:modified xsi:type="dcterms:W3CDTF">2022-12-09T15:23:00Z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documentId_6462</vt:lpwstr>
  </property>
  <property fmtid="{D5CDD505-2E9C-101B-9397-08002B2CF9AE}" pid="3" name="grammarly_documentContext">
    <vt:lpwstr>{"goals":[],"domain":"general","emotions":[],"dialect":"american"}</vt:lpwstr>
  </property>
</Properties>
</file>